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618562_10ka-ecor.htm"/>
      <w:bookmarkStart w:id="1" w:name="kse618562_10kaecor"/>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20101__20"/>
      <w:bookmarkEnd w:id="2"/>
      <w:r>
        <w:rPr>
          <w:rFonts w:ascii="Times New Roman;Times;Serif" w:hAnsi="Times New Roman;Times;Serif"/>
          <w:b/>
          <w:i w:val="false"/>
          <w:caps w:val="false"/>
          <w:smallCaps w:val="false"/>
          <w:sz w:val="20"/>
        </w:rPr>
        <w:t>10-K/A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pBdr>
          <w:bottom w:val="single" w:sz="8" w:space="1" w:color="000000"/>
        </w:pBdr>
        <w:rPr/>
      </w:pPr>
      <w:r>
        <w:rPr/>
        <w:t> </w:t>
      </w:r>
    </w:p>
    <w:p>
      <w:pPr>
        <w:pStyle w:val="TextBody"/>
        <w:rPr/>
      </w:pPr>
      <w:r>
        <w:rPr/>
        <w:t> </w:t>
      </w:r>
    </w:p>
    <w:tbl>
      <w:tblPr>
        <w:tblW w:w="9640" w:type="dxa"/>
        <w:jc w:val="left"/>
        <w:tblInd w:w="0" w:type="dxa"/>
        <w:tblCellMar>
          <w:top w:w="0" w:type="dxa"/>
          <w:left w:w="0" w:type="dxa"/>
          <w:bottom w:w="0" w:type="dxa"/>
          <w:right w:w="0" w:type="dxa"/>
        </w:tblCellMar>
      </w:tblPr>
      <w:tblGrid>
        <w:gridCol w:w="245"/>
        <w:gridCol w:w="9395"/>
      </w:tblGrid>
      <w:tr>
        <w:trPr/>
        <w:tc>
          <w:tcPr>
            <w:tcW w:w="245" w:type="dxa"/>
            <w:tcBorders/>
            <w:shd w:fill="auto" w:val="clear"/>
            <w:vAlign w:val="center"/>
          </w:tcPr>
          <w:p>
            <w:pPr>
              <w:pStyle w:val="TableContents"/>
              <w:spacing w:before="0" w:after="283"/>
              <w:rPr/>
            </w:pPr>
            <w:bookmarkStart w:id="3" w:name="xdx_90B_edei--DocumentAnnualReport_c2022"/>
            <w:bookmarkEnd w:id="3"/>
            <w:r>
              <w:rPr/>
              <w:t>☒</w:t>
            </w:r>
          </w:p>
        </w:tc>
        <w:tc>
          <w:tcPr>
            <w:tcW w:w="9395" w:type="dxa"/>
            <w:tcBorders/>
            <w:shd w:fill="auto" w:val="clear"/>
            <w:vAlign w:val="center"/>
          </w:tcPr>
          <w:p>
            <w:pPr>
              <w:pStyle w:val="TableContents"/>
              <w:spacing w:before="0" w:after="283"/>
              <w:rPr>
                <w:sz w:val="20"/>
              </w:rPr>
            </w:pPr>
            <w:r>
              <w:rPr>
                <w:sz w:val="20"/>
              </w:rPr>
              <w:t>ANNUAL REPORT PURSUANT TO SECTION 13 OR 15 (d) OF THE SECURITIES EXCHANGE ACT OF 1934</w:t>
            </w:r>
          </w:p>
        </w:tc>
      </w:tr>
      <w:tr>
        <w:trPr/>
        <w:tc>
          <w:tcPr>
            <w:tcW w:w="9640" w:type="dxa"/>
            <w:gridSpan w:val="2"/>
            <w:tcBorders/>
            <w:shd w:fill="auto" w:val="clear"/>
            <w:vAlign w:val="center"/>
          </w:tcPr>
          <w:p>
            <w:pPr>
              <w:pStyle w:val="TableContents"/>
              <w:spacing w:before="0" w:after="283"/>
              <w:rPr/>
            </w:pPr>
            <w:r>
              <w:rPr/>
              <w:t> </w:t>
            </w:r>
          </w:p>
        </w:tc>
      </w:tr>
      <w:tr>
        <w:trPr/>
        <w:tc>
          <w:tcPr>
            <w:tcW w:w="9640" w:type="dxa"/>
            <w:gridSpan w:val="2"/>
            <w:tcBorders/>
            <w:shd w:fill="auto" w:val="clear"/>
            <w:vAlign w:val="center"/>
          </w:tcPr>
          <w:p>
            <w:pPr>
              <w:pStyle w:val="TableContents"/>
              <w:spacing w:before="0" w:after="283"/>
              <w:jc w:val="center"/>
              <w:rPr>
                <w:sz w:val="20"/>
              </w:rPr>
            </w:pPr>
            <w:r>
              <w:rPr>
                <w:sz w:val="20"/>
              </w:rPr>
              <w:t xml:space="preserve">For the Fiscal Year Ended: </w:t>
            </w:r>
            <w:bookmarkStart w:id="4" w:name="xdx_901_edei--DocumentPeriodEndDate_c202"/>
            <w:bookmarkEnd w:id="4"/>
            <w:r>
              <w:rPr>
                <w:sz w:val="20"/>
              </w:rPr>
              <w:t>December 31, 2022</w:t>
            </w:r>
          </w:p>
        </w:tc>
      </w:tr>
      <w:tr>
        <w:trPr/>
        <w:tc>
          <w:tcPr>
            <w:tcW w:w="9640" w:type="dxa"/>
            <w:gridSpan w:val="2"/>
            <w:tcBorders/>
            <w:shd w:fill="auto" w:val="clear"/>
            <w:vAlign w:val="center"/>
          </w:tcPr>
          <w:p>
            <w:pPr>
              <w:pStyle w:val="TableContents"/>
              <w:spacing w:before="0" w:after="283"/>
              <w:jc w:val="center"/>
              <w:rPr/>
            </w:pPr>
            <w:r>
              <w:rPr/>
              <w:t> </w:t>
            </w:r>
          </w:p>
        </w:tc>
      </w:tr>
      <w:tr>
        <w:trPr/>
        <w:tc>
          <w:tcPr>
            <w:tcW w:w="245" w:type="dxa"/>
            <w:tcBorders/>
            <w:shd w:fill="auto" w:val="clear"/>
            <w:vAlign w:val="center"/>
          </w:tcPr>
          <w:p>
            <w:pPr>
              <w:pStyle w:val="TableContents"/>
              <w:spacing w:before="0" w:after="283"/>
              <w:rPr/>
            </w:pPr>
            <w:bookmarkStart w:id="5" w:name="xdx_90E_edei--DocumentTransitionReport_c"/>
            <w:bookmarkEnd w:id="5"/>
            <w:r>
              <w:rPr/>
              <w:t>☐</w:t>
            </w:r>
          </w:p>
        </w:tc>
        <w:tc>
          <w:tcPr>
            <w:tcW w:w="9395" w:type="dxa"/>
            <w:tcBorders/>
            <w:shd w:fill="auto" w:val="clear"/>
            <w:vAlign w:val="center"/>
          </w:tcPr>
          <w:p>
            <w:pPr>
              <w:pStyle w:val="TableContents"/>
              <w:spacing w:before="0" w:after="283"/>
              <w:rPr>
                <w:sz w:val="20"/>
              </w:rPr>
            </w:pPr>
            <w:r>
              <w:rPr>
                <w:sz w:val="20"/>
              </w:rPr>
              <w:t>TRANSITION REPORT PURSUANT TO SECTION 13 OR 15 (d) OF THE SECURITIES EXCHANGE ACT OF 1934</w:t>
            </w:r>
          </w:p>
        </w:tc>
      </w:tr>
    </w:tbl>
    <w:tbl>
      <w:tblPr>
        <w:tblW w:w="4175" w:type="dxa"/>
        <w:jc w:val="left"/>
        <w:tblInd w:w="0" w:type="dxa"/>
        <w:tblCellMar>
          <w:top w:w="0" w:type="dxa"/>
          <w:left w:w="0" w:type="dxa"/>
          <w:bottom w:w="0" w:type="dxa"/>
          <w:right w:w="0" w:type="dxa"/>
        </w:tblCellMar>
      </w:tblPr>
      <w:tblGrid>
        <w:gridCol w:w="4175"/>
      </w:tblGrid>
      <w:tr>
        <w:trPr/>
        <w:tc>
          <w:tcPr>
            <w:tcW w:w="41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jc w:val="center"/>
              <w:rPr>
                <w:sz w:val="20"/>
              </w:rPr>
            </w:pPr>
            <w:r>
              <w:rPr>
                <w:sz w:val="20"/>
              </w:rPr>
              <w:t>For the transition period from to</w:t>
            </w:r>
          </w:p>
        </w:tc>
      </w:tr>
      <w:tr>
        <w:trPr/>
        <w:tc>
          <w:tcPr>
            <w:tcW w:w="41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jc w:val="center"/>
              <w:rPr>
                <w:b/>
                <w:sz w:val="20"/>
              </w:rPr>
            </w:pPr>
            <w:r>
              <w:rPr>
                <w:b/>
                <w:sz w:val="20"/>
              </w:rPr>
              <w:t xml:space="preserve">Commission File Number: </w:t>
            </w:r>
            <w:bookmarkStart w:id="6" w:name="xdx_909_edei--EntityFileNumber_c20220101"/>
            <w:bookmarkEnd w:id="6"/>
            <w:r>
              <w:rPr>
                <w:b/>
                <w:sz w:val="20"/>
              </w:rPr>
              <w:t>001-38538</w:t>
            </w:r>
          </w:p>
        </w:tc>
      </w:tr>
      <w:tr>
        <w:trPr/>
        <w:tc>
          <w:tcPr>
            <w:tcW w:w="417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val="false"/>
                <w:caps w:val="false"/>
                <w:smallCaps w:val="false"/>
                <w:sz w:val="36"/>
              </w:rPr>
            </w:pPr>
            <w:bookmarkStart w:id="7" w:name="xdx_908_edei--EntityRegistrantName_c2022"/>
            <w:bookmarkEnd w:id="7"/>
            <w:r>
              <w:rPr>
                <w:rFonts w:ascii="Times New Roman;Times;Serif" w:hAnsi="Times New Roman;Times;Serif"/>
                <w:b w:val="false"/>
                <w:i w:val="false"/>
                <w:caps w:val="false"/>
                <w:smallCaps w:val="false"/>
                <w:sz w:val="36"/>
              </w:rPr>
              <w:t>electroCore, Inc.</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hanging="0"/>
              <w:jc w:val="center"/>
              <w:rPr>
                <w:caps w:val="false"/>
                <w:smallCaps w:val="false"/>
              </w:rPr>
            </w:pPr>
            <w:r>
              <w:rPr>
                <w:caps w:val="false"/>
                <w:smallCaps w:val="false"/>
              </w:rPr>
              <w:t> </w:t>
            </w:r>
          </w:p>
        </w:tc>
      </w:tr>
    </w:tbl>
    <w:tbl>
      <w:tblPr>
        <w:tblW w:w="4840" w:type="dxa"/>
        <w:jc w:val="left"/>
        <w:tblInd w:w="0" w:type="dxa"/>
        <w:tblCellMar>
          <w:top w:w="0" w:type="dxa"/>
          <w:left w:w="0" w:type="dxa"/>
          <w:bottom w:w="0" w:type="dxa"/>
          <w:right w:w="0" w:type="dxa"/>
        </w:tblCellMar>
      </w:tblPr>
      <w:tblGrid>
        <w:gridCol w:w="1925"/>
        <w:gridCol w:w="2915"/>
      </w:tblGrid>
      <w:tr>
        <w:trPr/>
        <w:tc>
          <w:tcPr>
            <w:tcW w:w="192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9_edei--EntityIncorporationStateCo"/>
            <w:bookmarkEnd w:id="8"/>
            <w:r>
              <w:rPr>
                <w:rFonts w:ascii="Times New Roman;Times;Serif" w:hAnsi="Times New Roman;Times;Serif"/>
                <w:b/>
                <w:i w:val="false"/>
                <w:caps w:val="false"/>
                <w:smallCaps w:val="false"/>
                <w:sz w:val="20"/>
              </w:rPr>
              <w:t>Delaware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29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E_edei--EntityTaxIdentificationNum"/>
            <w:bookmarkEnd w:id="9"/>
            <w:r>
              <w:rPr>
                <w:rFonts w:ascii="Times New Roman;Times;Serif" w:hAnsi="Times New Roman;Times;Serif"/>
                <w:b/>
                <w:i w:val="false"/>
                <w:caps w:val="false"/>
                <w:smallCaps w:val="false"/>
                <w:sz w:val="20"/>
              </w:rPr>
              <w:t>20-3454976</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rPr/>
      </w:pPr>
      <w:r>
        <w:rPr/>
        <w:t> </w:t>
      </w:r>
    </w:p>
    <w:p>
      <w:pPr>
        <w:pStyle w:val="TextBody"/>
        <w:jc w:val="center"/>
        <w:rPr>
          <w:b/>
        </w:rPr>
      </w:pPr>
      <w:bookmarkStart w:id="10" w:name="xdx_90F_edei--EntityAddressAddressLine1_"/>
      <w:bookmarkEnd w:id="10"/>
      <w:r>
        <w:rPr>
          <w:b/>
        </w:rPr>
        <w:t xml:space="preserve">200 Forge Way, </w:t>
      </w:r>
      <w:bookmarkStart w:id="11" w:name="xdx_90A_edei--EntityAddressAddressLine2_"/>
      <w:bookmarkEnd w:id="11"/>
      <w:r>
        <w:rPr>
          <w:b/>
        </w:rPr>
        <w:t xml:space="preserve">Suite 205, </w:t>
      </w:r>
      <w:bookmarkStart w:id="12" w:name="xdx_903_edei--EntityAddressCityOrTown_c2"/>
      <w:bookmarkEnd w:id="12"/>
      <w:r>
        <w:rPr>
          <w:b/>
        </w:rPr>
        <w:t xml:space="preserve">Rockaway, </w:t>
      </w:r>
      <w:bookmarkStart w:id="13" w:name="xdx_906_edei--EntityAddressStateOrProvin"/>
      <w:bookmarkEnd w:id="13"/>
      <w:r>
        <w:rPr>
          <w:b/>
        </w:rPr>
        <w:t xml:space="preserve">NJ </w:t>
      </w:r>
      <w:bookmarkStart w:id="14" w:name="xdx_90F_edei--EntityAddressPostalZipCode"/>
      <w:bookmarkEnd w:id="14"/>
      <w:r>
        <w:rPr>
          <w:b/>
        </w:rPr>
        <w:t>07866</w:t>
      </w:r>
    </w:p>
    <w:p>
      <w:pPr>
        <w:pStyle w:val="TextBody"/>
        <w:jc w:val="center"/>
        <w:rPr/>
      </w:pPr>
      <w:r>
        <w:rPr/>
        <w:t>(Address of principal executive offices) (Zip Code)</w:t>
      </w:r>
    </w:p>
    <w:p>
      <w:pPr>
        <w:pStyle w:val="TextBody"/>
        <w:jc w:val="center"/>
        <w:rPr/>
      </w:pPr>
      <w:r>
        <w:rPr/>
        <w:t> </w:t>
      </w:r>
    </w:p>
    <w:p>
      <w:pPr>
        <w:pStyle w:val="TextBody"/>
        <w:jc w:val="center"/>
        <w:rPr>
          <w:b/>
        </w:rPr>
      </w:pPr>
      <w:bookmarkStart w:id="15" w:name="xdx_904_edei--CityAreaCode_c20220101__20"/>
      <w:bookmarkEnd w:id="15"/>
      <w:r>
        <w:rPr>
          <w:b/>
        </w:rPr>
        <w:t xml:space="preserve">(973) </w:t>
      </w:r>
      <w:bookmarkStart w:id="16" w:name="xdx_907_edei--LocalPhoneNumber_c20220101"/>
      <w:bookmarkEnd w:id="16"/>
      <w:r>
        <w:rPr>
          <w:b/>
        </w:rPr>
        <w:t>290-0097</w:t>
      </w:r>
    </w:p>
    <w:p>
      <w:pPr>
        <w:pStyle w:val="TextBody"/>
        <w:jc w:val="center"/>
        <w:rPr/>
      </w:pPr>
      <w:r>
        <w:rPr/>
        <w:t>(Registrant’s telephone number, including area code)</w:t>
      </w:r>
    </w:p>
    <w:p>
      <w:pPr>
        <w:pStyle w:val="TextBody"/>
        <w:jc w:val="center"/>
        <w:rPr/>
      </w:pPr>
      <w:r>
        <w:rPr/>
        <w:t> </w:t>
      </w:r>
    </w:p>
    <w:p>
      <w:pPr>
        <w:pStyle w:val="TextBody"/>
        <w:jc w:val="center"/>
        <w:rPr>
          <w:b/>
        </w:rPr>
      </w:pPr>
      <w:r>
        <w:rPr>
          <w:b/>
        </w:rPr>
        <w:t>Securities Registered Pursuant to Section 12(b) of the Act:</w:t>
      </w:r>
    </w:p>
    <w:p>
      <w:pPr>
        <w:pStyle w:val="TextBody"/>
        <w:rPr/>
      </w:pPr>
      <w:r>
        <w:rPr/>
        <w:t> </w:t>
      </w:r>
    </w:p>
    <w:tbl>
      <w:tblPr>
        <w:tblW w:w="7845" w:type="dxa"/>
        <w:jc w:val="left"/>
        <w:tblInd w:w="0" w:type="dxa"/>
        <w:tblCellMar>
          <w:top w:w="0" w:type="dxa"/>
          <w:left w:w="0" w:type="dxa"/>
          <w:bottom w:w="0" w:type="dxa"/>
          <w:right w:w="0" w:type="dxa"/>
        </w:tblCellMar>
      </w:tblPr>
      <w:tblGrid>
        <w:gridCol w:w="2750"/>
        <w:gridCol w:w="1505"/>
        <w:gridCol w:w="3590"/>
      </w:tblGrid>
      <w:tr>
        <w:trPr/>
        <w:tc>
          <w:tcPr>
            <w:tcW w:w="2750" w:type="dxa"/>
            <w:tcBorders/>
            <w:shd w:fill="auto" w:val="clear"/>
            <w:vAlign w:val="center"/>
          </w:tcPr>
          <w:p>
            <w:pPr>
              <w:pStyle w:val="TableContents"/>
              <w:spacing w:before="0" w:after="283"/>
              <w:jc w:val="center"/>
              <w:rPr>
                <w:sz w:val="20"/>
              </w:rPr>
            </w:pPr>
            <w:r>
              <w:rPr>
                <w:sz w:val="20"/>
              </w:rPr>
              <w:t>Title of each class</w:t>
            </w:r>
          </w:p>
        </w:tc>
        <w:tc>
          <w:tcPr>
            <w:tcW w:w="1505" w:type="dxa"/>
            <w:tcBorders/>
            <w:shd w:fill="auto" w:val="clear"/>
            <w:vAlign w:val="center"/>
          </w:tcPr>
          <w:p>
            <w:pPr>
              <w:pStyle w:val="TableContents"/>
              <w:spacing w:before="0" w:after="283"/>
              <w:jc w:val="center"/>
              <w:rPr>
                <w:sz w:val="20"/>
              </w:rPr>
            </w:pPr>
            <w:r>
              <w:rPr>
                <w:sz w:val="20"/>
              </w:rPr>
              <w:t>Trading symbol(s)</w:t>
            </w:r>
          </w:p>
        </w:tc>
        <w:tc>
          <w:tcPr>
            <w:tcW w:w="3590" w:type="dxa"/>
            <w:tcBorders/>
            <w:shd w:fill="auto" w:val="clear"/>
            <w:vAlign w:val="center"/>
          </w:tcPr>
          <w:p>
            <w:pPr>
              <w:pStyle w:val="TableContents"/>
              <w:spacing w:before="0" w:after="283"/>
              <w:jc w:val="center"/>
              <w:rPr>
                <w:sz w:val="20"/>
              </w:rPr>
            </w:pPr>
            <w:r>
              <w:rPr>
                <w:sz w:val="20"/>
              </w:rPr>
              <w:t>Name of each exchange on which registered</w:t>
            </w:r>
          </w:p>
        </w:tc>
      </w:tr>
      <w:tr>
        <w:trPr/>
        <w:tc>
          <w:tcPr>
            <w:tcW w:w="2750" w:type="dxa"/>
            <w:tcBorders/>
            <w:shd w:fill="auto" w:val="clear"/>
            <w:vAlign w:val="center"/>
          </w:tcPr>
          <w:p>
            <w:pPr>
              <w:pStyle w:val="TableContents"/>
              <w:spacing w:before="0" w:after="283"/>
              <w:jc w:val="center"/>
              <w:rPr>
                <w:sz w:val="20"/>
              </w:rPr>
            </w:pPr>
            <w:bookmarkStart w:id="17" w:name="xdx_908_edei--Security12bTitle_c20220101"/>
            <w:bookmarkEnd w:id="17"/>
            <w:r>
              <w:rPr>
                <w:sz w:val="20"/>
              </w:rPr>
              <w:t>Common Stock, $0.001 par value</w:t>
            </w:r>
          </w:p>
        </w:tc>
        <w:tc>
          <w:tcPr>
            <w:tcW w:w="1505" w:type="dxa"/>
            <w:tcBorders/>
            <w:shd w:fill="auto" w:val="clear"/>
            <w:vAlign w:val="center"/>
          </w:tcPr>
          <w:p>
            <w:pPr>
              <w:pStyle w:val="TableContents"/>
              <w:spacing w:before="0" w:after="283"/>
              <w:jc w:val="center"/>
              <w:rPr>
                <w:sz w:val="20"/>
              </w:rPr>
            </w:pPr>
            <w:bookmarkStart w:id="18" w:name="xdx_901_edei--TradingSymbol_c20220101__2"/>
            <w:bookmarkEnd w:id="18"/>
            <w:r>
              <w:rPr>
                <w:sz w:val="20"/>
              </w:rPr>
              <w:t>ECOR</w:t>
            </w:r>
          </w:p>
        </w:tc>
        <w:tc>
          <w:tcPr>
            <w:tcW w:w="3590" w:type="dxa"/>
            <w:tcBorders/>
            <w:shd w:fill="auto" w:val="clear"/>
            <w:vAlign w:val="center"/>
          </w:tcPr>
          <w:p>
            <w:pPr>
              <w:pStyle w:val="TableContents"/>
              <w:spacing w:before="0" w:after="283"/>
              <w:jc w:val="center"/>
              <w:rPr>
                <w:sz w:val="20"/>
              </w:rPr>
            </w:pPr>
            <w:bookmarkStart w:id="19" w:name="xdx_905_edei--SecurityExchangeName_dxL_c"/>
            <w:bookmarkEnd w:id="19"/>
            <w:r>
              <w:rPr>
                <w:sz w:val="20"/>
              </w:rPr>
              <w:t>Nasdaq Capital Market</w:t>
            </w:r>
          </w:p>
        </w:tc>
      </w:tr>
      <w:tr>
        <w:trPr/>
        <w:tc>
          <w:tcPr>
            <w:tcW w:w="7845" w:type="dxa"/>
            <w:gridSpan w:val="3"/>
            <w:tcBorders/>
            <w:shd w:fill="auto" w:val="clear"/>
            <w:vAlign w:val="center"/>
          </w:tcPr>
          <w:p>
            <w:pPr>
              <w:pStyle w:val="TableContents"/>
              <w:spacing w:before="0" w:after="283"/>
              <w:jc w:val="center"/>
              <w:rPr/>
            </w:pPr>
            <w:r>
              <w:rPr/>
              <w:t> </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20" w:name="xdx_90F_edei--EntityWellKnownSeasonedIss"/>
      <w:bookmarkEnd w:id="20"/>
      <w:r>
        <w:rPr>
          <w:rFonts w:ascii="Times New Roman;Times;Serif" w:hAnsi="Times New Roman;Times;Serif"/>
          <w:b w:val="false"/>
          <w:i w:val="false"/>
          <w:caps w:val="false"/>
          <w:smallCaps w:val="false"/>
          <w:sz w:val="20"/>
        </w:rPr>
        <w:t>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21" w:name="xdx_909_edei--EntityVoluntaryFilers_c202"/>
      <w:bookmarkEnd w:id="21"/>
      <w:r>
        <w:rPr>
          <w:rFonts w:ascii="Times New Roman;Times;Serif" w:hAnsi="Times New Roman;Times;Serif"/>
          <w:b w:val="false"/>
          <w:i w:val="false"/>
          <w:caps w:val="false"/>
          <w:smallCaps w:val="false"/>
          <w:sz w:val="20"/>
        </w:rPr>
        <w:t>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22" w:name="xdx_908_edei--EntityCurrentReportingStat"/>
      <w:bookmarkEnd w:id="22"/>
      <w:r>
        <w:rPr>
          <w:rFonts w:ascii="Times New Roman;Times;Serif" w:hAnsi="Times New Roman;Times;Serif"/>
          <w:b w:val="false"/>
          <w:i w:val="false"/>
          <w:caps w:val="false"/>
          <w:smallCaps w:val="false"/>
          <w:sz w:val="20"/>
        </w:rPr>
        <w:t>Yes ☒ 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23" w:name="xdx_905_edei--EntityInteractiveDataCurre"/>
      <w:bookmarkEnd w:id="23"/>
      <w:r>
        <w:rPr>
          <w:rFonts w:ascii="Times New Roman;Times;Serif" w:hAnsi="Times New Roman;Times;Serif"/>
          <w:b w:val="false"/>
          <w:i w:val="false"/>
          <w:caps w:val="false"/>
          <w:smallCaps w:val="false"/>
          <w:sz w:val="20"/>
        </w:rPr>
        <w:t>Yes ☒ 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835"/>
        <w:gridCol w:w="230"/>
        <w:gridCol w:w="2225"/>
        <w:gridCol w:w="245"/>
      </w:tblGrid>
      <w:tr>
        <w:trPr/>
        <w:tc>
          <w:tcPr>
            <w:tcW w:w="1835" w:type="dxa"/>
            <w:tcBorders/>
            <w:shd w:fill="auto" w:val="clear"/>
            <w:vAlign w:val="center"/>
          </w:tcPr>
          <w:p>
            <w:pPr>
              <w:pStyle w:val="TableContents"/>
              <w:spacing w:before="0" w:after="283"/>
              <w:rPr>
                <w:sz w:val="20"/>
              </w:rPr>
            </w:pPr>
            <w:r>
              <w:rPr>
                <w:sz w:val="20"/>
              </w:rPr>
              <w:t>Large accelerated filer</w:t>
            </w:r>
          </w:p>
        </w:tc>
        <w:tc>
          <w:tcPr>
            <w:tcW w:w="230" w:type="dxa"/>
            <w:tcBorders/>
            <w:shd w:fill="auto" w:val="clear"/>
            <w:vAlign w:val="center"/>
          </w:tcPr>
          <w:p>
            <w:pPr>
              <w:pStyle w:val="TableContents"/>
              <w:spacing w:before="0" w:after="283"/>
              <w:jc w:val="center"/>
              <w:rPr/>
            </w:pPr>
            <w:r>
              <w:rPr/>
              <w:t>☐</w:t>
            </w:r>
          </w:p>
        </w:tc>
        <w:tc>
          <w:tcPr>
            <w:tcW w:w="2225" w:type="dxa"/>
            <w:tcBorders/>
            <w:shd w:fill="auto" w:val="clear"/>
            <w:vAlign w:val="center"/>
          </w:tcPr>
          <w:p>
            <w:pPr>
              <w:pStyle w:val="TableContents"/>
              <w:spacing w:before="0" w:after="283"/>
              <w:rPr>
                <w:sz w:val="20"/>
              </w:rPr>
            </w:pPr>
            <w:r>
              <w:rPr>
                <w:sz w:val="20"/>
              </w:rPr>
              <w:t>Accelerated filer</w:t>
            </w:r>
          </w:p>
        </w:tc>
        <w:tc>
          <w:tcPr>
            <w:tcW w:w="245" w:type="dxa"/>
            <w:tcBorders/>
            <w:shd w:fill="auto" w:val="clear"/>
            <w:vAlign w:val="center"/>
          </w:tcPr>
          <w:p>
            <w:pPr>
              <w:pStyle w:val="TableContents"/>
              <w:spacing w:before="0" w:after="283"/>
              <w:jc w:val="center"/>
              <w:rPr/>
            </w:pPr>
            <w:r>
              <w:rPr/>
              <w:t>☐</w:t>
            </w:r>
          </w:p>
        </w:tc>
      </w:tr>
      <w:tr>
        <w:trPr/>
        <w:tc>
          <w:tcPr>
            <w:tcW w:w="1835" w:type="dxa"/>
            <w:tcBorders/>
            <w:shd w:fill="auto" w:val="clear"/>
            <w:vAlign w:val="center"/>
          </w:tcPr>
          <w:p>
            <w:pPr>
              <w:pStyle w:val="TableContents"/>
              <w:spacing w:before="0" w:after="283"/>
              <w:rPr>
                <w:sz w:val="20"/>
              </w:rPr>
            </w:pPr>
            <w:bookmarkStart w:id="24" w:name="xdx_90D_edei--EntityFilerCategory_c20220"/>
            <w:bookmarkEnd w:id="24"/>
            <w:r>
              <w:rPr>
                <w:sz w:val="20"/>
              </w:rPr>
              <w:t>Non-accelerated filer</w:t>
            </w:r>
          </w:p>
        </w:tc>
        <w:tc>
          <w:tcPr>
            <w:tcW w:w="230" w:type="dxa"/>
            <w:tcBorders/>
            <w:shd w:fill="auto" w:val="clear"/>
            <w:vAlign w:val="center"/>
          </w:tcPr>
          <w:p>
            <w:pPr>
              <w:pStyle w:val="TableContents"/>
              <w:spacing w:before="0" w:after="283"/>
              <w:jc w:val="center"/>
              <w:rPr/>
            </w:pPr>
            <w:r>
              <w:rPr/>
              <w:t>☒</w:t>
            </w:r>
          </w:p>
        </w:tc>
        <w:tc>
          <w:tcPr>
            <w:tcW w:w="2225" w:type="dxa"/>
            <w:tcBorders/>
            <w:shd w:fill="auto" w:val="clear"/>
            <w:vAlign w:val="center"/>
          </w:tcPr>
          <w:p>
            <w:pPr>
              <w:pStyle w:val="TableContents"/>
              <w:spacing w:before="0" w:after="283"/>
              <w:rPr>
                <w:sz w:val="20"/>
              </w:rPr>
            </w:pPr>
            <w:r>
              <w:rPr>
                <w:sz w:val="20"/>
              </w:rPr>
              <w:t>Smaller reporting company</w:t>
            </w:r>
          </w:p>
        </w:tc>
        <w:tc>
          <w:tcPr>
            <w:tcW w:w="245" w:type="dxa"/>
            <w:tcBorders/>
            <w:shd w:fill="auto" w:val="clear"/>
            <w:vAlign w:val="center"/>
          </w:tcPr>
          <w:p>
            <w:pPr>
              <w:pStyle w:val="TableContents"/>
              <w:spacing w:before="0" w:after="283"/>
              <w:jc w:val="center"/>
              <w:rPr/>
            </w:pPr>
            <w:bookmarkStart w:id="25" w:name="xdx_904_edei--EntitySmallBusiness_c20220"/>
            <w:bookmarkEnd w:id="25"/>
            <w:r>
              <w:rPr/>
              <w:t>☒</w:t>
            </w:r>
          </w:p>
        </w:tc>
      </w:tr>
      <w:tr>
        <w:trPr/>
        <w:tc>
          <w:tcPr>
            <w:tcW w:w="183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t> </w:t>
            </w:r>
          </w:p>
        </w:tc>
        <w:tc>
          <w:tcPr>
            <w:tcW w:w="2225" w:type="dxa"/>
            <w:tcBorders/>
            <w:shd w:fill="auto" w:val="clear"/>
            <w:vAlign w:val="center"/>
          </w:tcPr>
          <w:p>
            <w:pPr>
              <w:pStyle w:val="TableContents"/>
              <w:spacing w:before="0" w:after="283"/>
              <w:rPr>
                <w:sz w:val="20"/>
              </w:rPr>
            </w:pPr>
            <w:r>
              <w:rPr>
                <w:sz w:val="20"/>
              </w:rPr>
              <w:t>Emerging growth company</w:t>
            </w:r>
          </w:p>
        </w:tc>
        <w:tc>
          <w:tcPr>
            <w:tcW w:w="245" w:type="dxa"/>
            <w:tcBorders/>
            <w:shd w:fill="auto" w:val="clear"/>
            <w:vAlign w:val="center"/>
          </w:tcPr>
          <w:p>
            <w:pPr>
              <w:pStyle w:val="TableContents"/>
              <w:spacing w:before="0" w:after="283"/>
              <w:jc w:val="center"/>
              <w:rPr/>
            </w:pPr>
            <w:bookmarkStart w:id="26" w:name="xdx_90C_edei--EntityEmergingGrowthCompan"/>
            <w:bookmarkEnd w:id="26"/>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E_edei--EntityExTransitionPeriod_c"/>
      <w:bookmarkEnd w:id="27"/>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28" w:name="xdx_90D_edei--EntityShellCompany_c202201"/>
      <w:bookmarkEnd w:id="28"/>
      <w:r>
        <w:rPr>
          <w:rFonts w:ascii="Times New Roman;Times;Serif" w:hAnsi="Times New Roman;Times;Serif"/>
          <w:b w:val="false"/>
          <w:i w:val="false"/>
          <w:caps w:val="false"/>
          <w:smallCaps w:val="false"/>
          <w:sz w:val="20"/>
        </w:rPr>
        <w:t>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based on the closing price of the shares of common stock on the Nasdaq Capital Market on June 30, 2022 was $</w:t>
      </w:r>
      <w:bookmarkStart w:id="29" w:name="xdx_908_edei--EntityPublicFloat_iI_c2022"/>
      <w:bookmarkEnd w:id="29"/>
      <w:r>
        <w:rPr>
          <w:rFonts w:ascii="Times New Roman;Times;Serif" w:hAnsi="Times New Roman;Times;Serif"/>
          <w:b w:val="false"/>
          <w:i w:val="false"/>
          <w:caps w:val="false"/>
          <w:smallCaps w:val="false"/>
          <w:sz w:val="20"/>
        </w:rPr>
        <w:t>33,125,433.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Common Stock outstanding as of April 20, 2023 was </w:t>
      </w:r>
      <w:bookmarkStart w:id="30" w:name="xdx_905_edei--EntityCommonStockSharesOut"/>
      <w:bookmarkEnd w:id="30"/>
      <w:r>
        <w:rPr>
          <w:rFonts w:ascii="Times New Roman;Times;Serif" w:hAnsi="Times New Roman;Times;Serif"/>
          <w:b w:val="false"/>
          <w:i w:val="false"/>
          <w:caps w:val="false"/>
          <w:smallCaps w:val="false"/>
          <w:sz w:val="20"/>
        </w:rPr>
        <w:t>4,749,221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4335" w:type="dxa"/>
        <w:jc w:val="left"/>
        <w:tblInd w:w="0" w:type="dxa"/>
        <w:tblCellMar>
          <w:top w:w="0" w:type="dxa"/>
          <w:left w:w="0" w:type="dxa"/>
          <w:bottom w:w="0" w:type="dxa"/>
          <w:right w:w="0" w:type="dxa"/>
        </w:tblCellMar>
      </w:tblPr>
      <w:tblGrid>
        <w:gridCol w:w="1295"/>
        <w:gridCol w:w="1550"/>
        <w:gridCol w:w="1490"/>
      </w:tblGrid>
      <w:tr>
        <w:trPr/>
        <w:tc>
          <w:tcPr>
            <w:tcW w:w="1295" w:type="dxa"/>
            <w:tcBorders/>
            <w:shd w:fill="auto" w:val="clear"/>
            <w:vAlign w:val="center"/>
          </w:tcPr>
          <w:p>
            <w:pPr>
              <w:pStyle w:val="TableContents"/>
              <w:spacing w:before="0" w:after="283"/>
              <w:jc w:val="center"/>
              <w:rPr>
                <w:b/>
                <w:sz w:val="20"/>
              </w:rPr>
            </w:pPr>
            <w:r>
              <w:rPr>
                <w:b/>
                <w:sz w:val="20"/>
              </w:rPr>
              <w:t>Auditor Name:</w:t>
            </w:r>
          </w:p>
        </w:tc>
        <w:tc>
          <w:tcPr>
            <w:tcW w:w="1550" w:type="dxa"/>
            <w:tcBorders/>
            <w:shd w:fill="auto" w:val="clear"/>
            <w:vAlign w:val="center"/>
          </w:tcPr>
          <w:p>
            <w:pPr>
              <w:pStyle w:val="TableContents"/>
              <w:spacing w:before="0" w:after="283"/>
              <w:jc w:val="center"/>
              <w:rPr>
                <w:b/>
                <w:sz w:val="20"/>
              </w:rPr>
            </w:pPr>
            <w:r>
              <w:rPr>
                <w:b/>
                <w:sz w:val="20"/>
              </w:rPr>
              <w:t>Auditor Location:</w:t>
            </w:r>
          </w:p>
        </w:tc>
        <w:tc>
          <w:tcPr>
            <w:tcW w:w="1490" w:type="dxa"/>
            <w:tcBorders/>
            <w:shd w:fill="auto" w:val="clear"/>
            <w:vAlign w:val="center"/>
          </w:tcPr>
          <w:p>
            <w:pPr>
              <w:pStyle w:val="TableContents"/>
              <w:spacing w:before="0" w:after="283"/>
              <w:jc w:val="center"/>
              <w:rPr>
                <w:b/>
                <w:sz w:val="20"/>
              </w:rPr>
            </w:pPr>
            <w:r>
              <w:rPr>
                <w:b/>
                <w:sz w:val="20"/>
              </w:rPr>
              <w:t>Auditor Firm ID:</w:t>
            </w:r>
          </w:p>
        </w:tc>
      </w:tr>
      <w:tr>
        <w:trPr/>
        <w:tc>
          <w:tcPr>
            <w:tcW w:w="1295" w:type="dxa"/>
            <w:tcBorders/>
            <w:shd w:fill="auto" w:val="clear"/>
            <w:vAlign w:val="center"/>
          </w:tcPr>
          <w:p>
            <w:pPr>
              <w:pStyle w:val="TableContents"/>
              <w:spacing w:before="0" w:after="283"/>
              <w:jc w:val="center"/>
              <w:rPr>
                <w:sz w:val="20"/>
              </w:rPr>
            </w:pPr>
            <w:bookmarkStart w:id="31" w:name="xdx_903_edei--AuditorName_c20220101__202"/>
            <w:bookmarkEnd w:id="31"/>
            <w:r>
              <w:rPr>
                <w:sz w:val="20"/>
              </w:rPr>
              <w:t>Marcum LLP</w:t>
            </w:r>
          </w:p>
        </w:tc>
        <w:tc>
          <w:tcPr>
            <w:tcW w:w="1550" w:type="dxa"/>
            <w:tcBorders/>
            <w:shd w:fill="auto" w:val="clear"/>
            <w:vAlign w:val="center"/>
          </w:tcPr>
          <w:p>
            <w:pPr>
              <w:pStyle w:val="TableContents"/>
              <w:spacing w:before="0" w:after="283"/>
              <w:jc w:val="center"/>
              <w:rPr>
                <w:sz w:val="20"/>
              </w:rPr>
            </w:pPr>
            <w:bookmarkStart w:id="32" w:name="xdx_908_edei--AuditorLocation_c20220101_"/>
            <w:bookmarkEnd w:id="32"/>
            <w:r>
              <w:rPr>
                <w:sz w:val="20"/>
              </w:rPr>
              <w:t>New York, NY</w:t>
            </w:r>
          </w:p>
        </w:tc>
        <w:tc>
          <w:tcPr>
            <w:tcW w:w="1490" w:type="dxa"/>
            <w:tcBorders/>
            <w:shd w:fill="auto" w:val="clear"/>
            <w:vAlign w:val="center"/>
          </w:tcPr>
          <w:p>
            <w:pPr>
              <w:pStyle w:val="TableContents"/>
              <w:spacing w:before="0" w:after="283"/>
              <w:jc w:val="center"/>
              <w:rPr>
                <w:sz w:val="20"/>
              </w:rPr>
            </w:pPr>
            <w:bookmarkStart w:id="33" w:name="xdx_903_edei--AuditorFirmId_c20220101__2"/>
            <w:bookmarkEnd w:id="33"/>
            <w:r>
              <w:rPr>
                <w:sz w:val="20"/>
              </w:rPr>
              <w:t>688</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“Amendment”) amends the Annual Report on Form 10-K for the year ended December 31, 2022, of electroCore, Inc. (the “Company,” “we”, or “our”) which we filed with the Securities and Exchange Commission (the “SEC”) on March 8, 2023 (the “Original Filing”). This Amendment is being filed to amend and restate Items 10, 11, 12, 13, and 14 of Part III of the Form 10-K in their entirety to provide the information that the Company indicated that it would incorporate by reference from its Proxy Statement for the 2022 annual report of the stockholders in reliance on General Instruction G(3) to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required by Rule 12b-15 under the Securities Exchange Action of 1934, as amended (the “Exchange Act”), this Amendment revises Item 15 of Part IV to include update certain exhibits and file currently-dated certifications by the Company’s principal executive officer and principal financial officer as exhibits to this Amendment and updates the Exhibit Index to reflect the inclusion of these certifications.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items outlined above, this Amendment does not attempt to modify or update the Original Filing. This Amendment does not reflect events occurring after the date of the Original Filing or modify or update those disclosures that may be affected by subsequent events. Such subsequent matters are addressed in subsequent reports filed by the Company with the SEC. Accordingly, this Amendment should be read in conjunction with the Original Filing. Capitalized terms not defined in this Amendment have the meaning given to them in the Original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ELECTROCORE, INC.</w:t>
        <w:br/>
        <w:t>ANNUAL REPORT ON FORM 10-K/A</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spacing w:before="0" w:after="0"/>
        <w:ind w:left="0" w:right="0" w:hanging="0"/>
        <w:jc w:val="center"/>
        <w:rPr>
          <w:caps/>
        </w:rPr>
      </w:pPr>
      <w:r>
        <w:rPr>
          <w:caps/>
        </w:rPr>
        <w:t> </w:t>
      </w:r>
    </w:p>
    <w:tbl>
      <w:tblPr>
        <w:tblW w:w="10205" w:type="dxa"/>
        <w:jc w:val="left"/>
        <w:tblInd w:w="0" w:type="dxa"/>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spacing w:before="0" w:after="283"/>
              <w:jc w:val="left"/>
              <w:rPr/>
            </w:pPr>
            <w:hyperlink w:anchor="a1">
              <w:r>
                <w:rPr>
                  <w:rStyle w:val="InternetLink"/>
                </w:rPr>
                <w:t>PART III</w:t>
              </w:r>
            </w:hyperlink>
          </w:p>
        </w:tc>
        <w:tc>
          <w:tcPr>
            <w:tcW w:w="275" w:type="dxa"/>
            <w:tcBorders/>
            <w:shd w:fill="CCEEFF" w:val="clear"/>
            <w:vAlign w:val="center"/>
          </w:tcPr>
          <w:p>
            <w:pPr>
              <w:pStyle w:val="TableContents"/>
              <w:spacing w:before="0" w:after="283"/>
              <w:jc w:val="right"/>
              <w:rPr/>
            </w:pPr>
            <w:r>
              <w:rPr/>
              <w:t>1</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1">
              <w:r>
                <w:rPr>
                  <w:rStyle w:val="InternetLink"/>
                </w:rPr>
                <w:t>ITEM 10.   DIRECTORS, EXECUTIVE OFFICERS AND CORPORATE GOVERNANCE.</w:t>
              </w:r>
            </w:hyperlink>
          </w:p>
        </w:tc>
        <w:tc>
          <w:tcPr>
            <w:tcW w:w="275" w:type="dxa"/>
            <w:tcBorders/>
            <w:shd w:fill="CCEEFF" w:val="clear"/>
            <w:vAlign w:val="center"/>
          </w:tcPr>
          <w:p>
            <w:pPr>
              <w:pStyle w:val="TableContents"/>
              <w:spacing w:before="0" w:after="283"/>
              <w:jc w:val="right"/>
              <w:rPr/>
            </w:pPr>
            <w:r>
              <w:rPr/>
              <w:t>1</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7">
              <w:r>
                <w:rPr>
                  <w:rStyle w:val="InternetLink"/>
                </w:rPr>
                <w:t>CORPORATE GOVERNANCE</w:t>
              </w:r>
            </w:hyperlink>
          </w:p>
        </w:tc>
        <w:tc>
          <w:tcPr>
            <w:tcW w:w="275" w:type="dxa"/>
            <w:tcBorders/>
            <w:shd w:fill="CCEEFF" w:val="clear"/>
            <w:vAlign w:val="center"/>
          </w:tcPr>
          <w:p>
            <w:pPr>
              <w:pStyle w:val="TableContents"/>
              <w:spacing w:before="0" w:after="283"/>
              <w:jc w:val="right"/>
              <w:rPr/>
            </w:pPr>
            <w:r>
              <w:rPr/>
              <w:t>7</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12">
              <w:r>
                <w:rPr>
                  <w:rStyle w:val="InternetLink"/>
                </w:rPr>
                <w:t>ITEM 11.   EXECUTIVE COMPENSATION.</w:t>
              </w:r>
            </w:hyperlink>
          </w:p>
        </w:tc>
        <w:tc>
          <w:tcPr>
            <w:tcW w:w="275" w:type="dxa"/>
            <w:tcBorders/>
            <w:shd w:fill="CCEEFF" w:val="clear"/>
            <w:vAlign w:val="center"/>
          </w:tcPr>
          <w:p>
            <w:pPr>
              <w:pStyle w:val="TableContents"/>
              <w:spacing w:before="0" w:after="283"/>
              <w:jc w:val="right"/>
              <w:rPr/>
            </w:pPr>
            <w:r>
              <w:rPr/>
              <w:t>12</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17">
              <w:r>
                <w:rPr>
                  <w:rStyle w:val="InternetLink"/>
                </w:rPr>
                <w:t>COMPENSATION OF DIRECTORS</w:t>
              </w:r>
            </w:hyperlink>
          </w:p>
        </w:tc>
        <w:tc>
          <w:tcPr>
            <w:tcW w:w="275" w:type="dxa"/>
            <w:tcBorders/>
            <w:shd w:fill="CCEEFF" w:val="clear"/>
            <w:vAlign w:val="center"/>
          </w:tcPr>
          <w:p>
            <w:pPr>
              <w:pStyle w:val="TableContents"/>
              <w:spacing w:before="0" w:after="283"/>
              <w:jc w:val="right"/>
              <w:rPr/>
            </w:pPr>
            <w:r>
              <w:rPr/>
              <w:t>17</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19">
              <w:r>
                <w:rPr>
                  <w:rStyle w:val="InternetLink"/>
                </w:rPr>
                <w:t>ITEM 12.   SECURITY OWNERSHIP OF CERTAIN BENEFICIAL OWNERS AND MANAGEMENT AND RELATED STOCKHOLDER MATTERS.</w:t>
              </w:r>
            </w:hyperlink>
          </w:p>
        </w:tc>
        <w:tc>
          <w:tcPr>
            <w:tcW w:w="275" w:type="dxa"/>
            <w:tcBorders/>
            <w:shd w:fill="CCEEFF" w:val="clear"/>
            <w:vAlign w:val="center"/>
          </w:tcPr>
          <w:p>
            <w:pPr>
              <w:pStyle w:val="TableContents"/>
              <w:spacing w:before="0" w:after="283"/>
              <w:jc w:val="right"/>
              <w:rPr/>
            </w:pPr>
            <w:r>
              <w:rPr/>
              <w:t>19</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0">
              <w:r>
                <w:rPr>
                  <w:rStyle w:val="InternetLink"/>
                </w:rPr>
                <w:t>SECURITY OWNERSHIP OF CERTAIN BENEFICIAL OWNERS AND MANAGEMENT OF ELECTROCORE, INC.</w:t>
              </w:r>
            </w:hyperlink>
          </w:p>
        </w:tc>
        <w:tc>
          <w:tcPr>
            <w:tcW w:w="275" w:type="dxa"/>
            <w:tcBorders/>
            <w:shd w:fill="CCEEFF" w:val="clear"/>
            <w:vAlign w:val="center"/>
          </w:tcPr>
          <w:p>
            <w:pPr>
              <w:pStyle w:val="TableContents"/>
              <w:spacing w:before="0" w:after="283"/>
              <w:jc w:val="right"/>
              <w:rPr/>
            </w:pPr>
            <w:r>
              <w:rPr/>
              <w:t>20</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1">
              <w:r>
                <w:rPr>
                  <w:rStyle w:val="InternetLink"/>
                </w:rPr>
                <w:t>ITEM 13.   CERTAIN RELATIONSHIPS AND RELATED TRANSACTIONS, AND DIRECTOR INDEPENDENCE.</w:t>
              </w:r>
            </w:hyperlink>
          </w:p>
        </w:tc>
        <w:tc>
          <w:tcPr>
            <w:tcW w:w="275" w:type="dxa"/>
            <w:tcBorders/>
            <w:shd w:fill="CCEEFF" w:val="clear"/>
            <w:vAlign w:val="center"/>
          </w:tcPr>
          <w:p>
            <w:pPr>
              <w:pStyle w:val="TableContents"/>
              <w:spacing w:before="0" w:after="283"/>
              <w:jc w:val="right"/>
              <w:rPr/>
            </w:pPr>
            <w:r>
              <w:rPr/>
              <w:t>21</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2">
              <w:r>
                <w:rPr>
                  <w:rStyle w:val="InternetLink"/>
                </w:rPr>
                <w:t>ITEM 14.   PRINCIPAL ACCOUNTING FEES AND SERVICES.</w:t>
              </w:r>
            </w:hyperlink>
          </w:p>
        </w:tc>
        <w:tc>
          <w:tcPr>
            <w:tcW w:w="275" w:type="dxa"/>
            <w:tcBorders/>
            <w:shd w:fill="CCEEFF" w:val="clear"/>
            <w:vAlign w:val="center"/>
          </w:tcPr>
          <w:p>
            <w:pPr>
              <w:pStyle w:val="TableContents"/>
              <w:spacing w:before="0" w:after="283"/>
              <w:jc w:val="right"/>
              <w:rPr/>
            </w:pPr>
            <w:r>
              <w:rPr/>
              <w:t>22</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3">
              <w:r>
                <w:rPr>
                  <w:rStyle w:val="InternetLink"/>
                </w:rPr>
                <w:t>PART IV</w:t>
              </w:r>
            </w:hyperlink>
          </w:p>
        </w:tc>
        <w:tc>
          <w:tcPr>
            <w:tcW w:w="275" w:type="dxa"/>
            <w:tcBorders/>
            <w:shd w:fill="CCEEFF" w:val="clear"/>
            <w:vAlign w:val="center"/>
          </w:tcPr>
          <w:p>
            <w:pPr>
              <w:pStyle w:val="TableContents"/>
              <w:spacing w:before="0" w:after="283"/>
              <w:jc w:val="right"/>
              <w:rPr/>
            </w:pPr>
            <w:r>
              <w:rPr/>
              <w:t>23</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3">
              <w:r>
                <w:rPr>
                  <w:rStyle w:val="InternetLink"/>
                </w:rPr>
                <w:t>ITEM 15.   EXHIBITS AND FINANCIAL STATEMENT SCHEDULES.</w:t>
              </w:r>
            </w:hyperlink>
          </w:p>
        </w:tc>
        <w:tc>
          <w:tcPr>
            <w:tcW w:w="275" w:type="dxa"/>
            <w:tcBorders/>
            <w:shd w:fill="CCEEFF" w:val="clear"/>
            <w:vAlign w:val="center"/>
          </w:tcPr>
          <w:p>
            <w:pPr>
              <w:pStyle w:val="TableContents"/>
              <w:spacing w:before="0" w:after="283"/>
              <w:jc w:val="right"/>
              <w:rPr/>
            </w:pPr>
            <w:r>
              <w:rPr/>
              <w:t>23</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CEEFF" w:val="clear"/>
            <w:vAlign w:val="center"/>
          </w:tcPr>
          <w:p>
            <w:pPr>
              <w:pStyle w:val="TableContents"/>
              <w:spacing w:before="0" w:after="283"/>
              <w:jc w:val="left"/>
              <w:rPr/>
            </w:pPr>
            <w:hyperlink w:anchor="a26">
              <w:r>
                <w:rPr>
                  <w:rStyle w:val="InternetLink"/>
                </w:rPr>
                <w:t>SIGNATURES</w:t>
              </w:r>
            </w:hyperlink>
          </w:p>
        </w:tc>
        <w:tc>
          <w:tcPr>
            <w:tcW w:w="275" w:type="dxa"/>
            <w:tcBorders/>
            <w:shd w:fill="CCEEFF" w:val="clear"/>
            <w:vAlign w:val="center"/>
          </w:tcPr>
          <w:p>
            <w:pPr>
              <w:pStyle w:val="TableContents"/>
              <w:spacing w:before="0" w:after="283"/>
              <w:jc w:val="right"/>
              <w:rPr/>
            </w:pPr>
            <w:r>
              <w:rPr/>
              <w:t>26</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i</w:t>
      </w:r>
    </w:p>
    <w:p>
      <w:pPr>
        <w:pStyle w:val="TextBody"/>
        <w:spacing w:before="0" w:after="0"/>
        <w:ind w:left="0" w:right="0" w:hanging="0"/>
        <w:rPr/>
      </w:pPr>
      <w:r>
        <w:rPr/>
        <w:t> </w:t>
      </w:r>
    </w:p>
    <w:p>
      <w:pPr>
        <w:pStyle w:val="TextBody"/>
        <w:spacing w:before="0" w:after="0"/>
        <w:ind w:left="0" w:right="0" w:hanging="0"/>
        <w:jc w:val="center"/>
        <w:rPr>
          <w:caps w:val="false"/>
          <w:smallCaps w:val="false"/>
        </w:rPr>
      </w:pPr>
      <w:bookmarkStart w:id="34" w:name="a1"/>
      <w:bookmarkEnd w:id="34"/>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spacing w:before="0" w:after="0"/>
        <w:ind w:left="0" w:right="0" w:hanging="0"/>
        <w:jc w:val="center"/>
        <w:rPr>
          <w:caps w:val="false"/>
          <w:smallCaps w:val="false"/>
        </w:rPr>
      </w:pPr>
      <w:r>
        <w:rPr>
          <w:caps w:val="false"/>
          <w:smallCaps w:val="false"/>
        </w:rPr>
        <w:t> </w:t>
      </w:r>
    </w:p>
    <w:tbl>
      <w:tblPr>
        <w:tblW w:w="9063" w:type="dxa"/>
        <w:jc w:val="left"/>
        <w:tblInd w:w="0" w:type="dxa"/>
        <w:tblCellMar>
          <w:top w:w="0" w:type="dxa"/>
          <w:left w:w="0" w:type="dxa"/>
          <w:bottom w:w="0" w:type="dxa"/>
          <w:right w:w="0" w:type="dxa"/>
        </w:tblCellMar>
      </w:tblPr>
      <w:tblGrid>
        <w:gridCol w:w="38"/>
        <w:gridCol w:w="965"/>
        <w:gridCol w:w="806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pPr>
            <w:r>
              <w:rPr/>
              <w:t>ITEM 10.</w:t>
            </w:r>
          </w:p>
        </w:tc>
        <w:tc>
          <w:tcPr>
            <w:tcW w:w="8060" w:type="dxa"/>
            <w:tcBorders/>
            <w:shd w:fill="auto" w:val="clear"/>
            <w:vAlign w:val="center"/>
          </w:tcPr>
          <w:p>
            <w:pPr>
              <w:pStyle w:val="TableContents"/>
              <w:spacing w:before="0" w:after="283"/>
              <w:jc w:val="both"/>
              <w:rPr/>
            </w:pPr>
            <w:r>
              <w:rPr>
                <w:u w:val="single"/>
              </w:rPr>
              <w:t>DIRECTORS, EXECUTIVE OFFICERS AND CORPORATE GOVERNANCE</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initial public offering (the “IPO”) in 2018, our Board has been divided into three classes, each elected for a three-year term. The classification results in staggered elections, with a different class of directors standing for election every year. Set forth below is the name, age as of April 20, 2023, and certain biographical information with respect to each of our current directors, by class.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 Directors (Terms Expiring in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Joseph P. Errico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 Errico, 54, served as the Company’s Chief Science and Strategy Officer from July 2016 to June 2019, and previously served as the Company’s Chief Executive Officer from January 2010 to July 2016. Mr. Errico has also served as a member of the Board since 2005, when he co-founded the Company with Thomas J. Errico, M.D., and Peter S. Staats, M.D., and as chairman of the Board from March 2013 until June 2018. Prior to founding the Company, Mr. Errico served as the General Manager of the Motion Preservation Unit of Stryker Spine, a Division of Stryker Corporation, from August 2004 through December 2007. Prior to that, Mr. Errico co-founded and served as the Chief Executive Officer and director for Spinecore, Inc., from September 2001 through August 2004, when that company was sold to Stryker Corporation. Mr. Errico received his B.S. in Aeronautical Engineering from the Massachusetts Institute of Technology, his M.S. in Mechanical Engineering and Materials Science from Duke University School of Engineering and his J.D. from Duke University School of Law. Mr. Errico also serves as the Managing Member of Core Ventures II, LLC and certain affiliated entities with an equity interest in the Company. The Board believes that Mr. Errico’s extensive senior management experience in innovative healthcare technology companies, and his extensive knowledge and contributions to the Company’s intellectual property, products, business, and the science of vagus nerve stimulation (VNS), qualify him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Trevor J. Moody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Trevor J. Moody, 58, has served as a member of the Board since March 2013. Mr. Moody has served since January 2010 as President of TM Strategic Advisors LLC, a management consultancy serving the boards, investors, and senior management of both emerging and established medical technology companies. He also served as Medical Device Partner at MH Carnegie &amp; Co. Pty Ltd from October 2013 until April 2022, where he made venture capital investments in medical device companies. He served on the board of Simplify Medical Pty Ltd. from its recapitalization in December 2014 through to its sale to NuVasive Inc. in February 2021. From July 2015 to December 2015, Mr. Moody served as interim CEO of a MH Carnegie &amp; Co. portfolio company, Cardiac Dimensions Pty Ltd. From 1999 to 2010, Mr. Moody was at Frazier Healthcare Ventures, a large healthcare-focused venture capital and private equity investment firm. He was a General Partner at Frazier Healthcare Ventures from 2005 to 2010. Prior to that, he was a Senior Consultant at The Wilkerson Group, a leading healthcare strategic consultancy. Mr. Moody currently also serves on the board of directors of a non-profit called Angel Flight West, and on the boards of several private corporations, including Cardiac Dimensions Pty Ltd., EBR Systems, Inc., Renew Medical Pty Ltd, Brain Protection Company Pty Ltd, and CurvaFix, Inc. Mr. Moody received his B.E. from the University of Southern Queensland, Australia, and his M.S. in Management from the Massachusetts Institute of Technology (Sloan School). The Board believes that Mr. Moody’s experience, with over 25 years in the development, commercialization and funding of innovative, growth-oriented medical technologies, qualify him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M. Patton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 Patton, 59, has served as a member of the Board since April 2020. He is a seasoned healthcare executive and board member with operational, strategic, financial, legal, compliance and transactional experience, from start-ups to growth companies, both public and private. He currently is an Advisor to the private equity firm SV Health Investors and serves on the board of the Connecticut Port Authority and is Co-Chair of its audit committee. He was the Chief Executive Officer and member of the board of directors of Ximedica, LLC, a private medical products outsource design and development company from August 2020 to May 2021. From 2015 to 2021, he also served on the Board of Misonix, Inc., a publicly traded ultrasonic surgical tools and wound care company, and chaired that company’s audit committee, from October 2015 to November 2021 and served as President and Chief Executive Officer of CAS Medical Systems, a publicly traded developer and distributor of patient monitoring equipment, from 2010-2019. His prior experience includes as Co-Founder, President and CEO of QDx, Inc., a developer of unique micro-fluidic diagnostic technology utilizing digital imaging techniques for hematologic analysis, as President and Chief Operating Officer of Novametrix Medical Systems, Inc., and as CEO of Wright Medical Technology, Inc. Mr. Patton has served on more than a dozen boards of directors for both public and private medical products and services companies. The Board believes that Mr. Patton’s business and financial experience, as well as his medical device industry expertise, qualify him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III Directors (Terms Expiring in 2024)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Peter Cuneo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Cuneo, 79, has served as a member of the Board since April 2020 and been the Chairman of the Board since October 2021. He brings significant executive leadership and turn-around experience to the Board. He currently serves as executive chairman of CIIG Capital Partners II, a special acquisition corporation listed on Nasdaq. He also currently serves as a Managing Principal of Cuneo &amp; Company LLC, a private investment and management company that he founded. He was formerly the Chairman of Arrival Ltd., a global electric vehicle company, from September 2021 until February 2023. Mr. Cuneo’s past experience includes serving as Chief Executive Officer of Marvel Entertainment and as Vice Chairmen until its sale to Disney in 2009, and as Chairman of Iconix Brand Group from 2007 through 2021. Earlier in his career, he successfully led three turnarounds, first as President of Clairol’s Personal Care Division, as President of Black and Decker’s Security Hardware Group, and as Chief Executive Officer of Remington Products. Mr. Cuneo’s board experience includes serving as Chairman of Valiant Entertainment from 2012 to 2018 following Cuneo &amp; Company LLC’s investment in the company. He currently serves as Chairman emeritus of the Alfred University Board of Trustees and on the Board of the National Archives Foundation in Washington, D.C. Mr. Cuneo holds an M.B.A. from Harvard Business School, a B.S. from Alfred University and was a Lieutenant in the United States Navy, having served two deployments during the Vietnam War. The Board believes that Mr. Cuneo’s extensive business and financial background, including his significant consumer-focused expertise, qualify him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J. Errico, M.D.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Errico, M.D., 71, has served as a member of the Board since 2005, when he co-founded the company with Joseph P. Errico and Peter S. Staats, M.D. Dr. Errico has been a board-certified orthopedic surgeon since 1986, and currently serves as a pediatric orthopedic spine surgeon at Nicklaus Children’s Hospital. He served as the Chief, Division of Spine Surgery in Orthopedics, NYU Langone Health from 1997 until 2019. He currently serves on the board of Setting Scoliosis Straight, a nonprofit organization focused on advancing medical techniques in the treatment of spinal deformities and is also an Adjunct Professor of the Department of Orthopaedic Surgery in the NYU Grossman School of Medicine.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2001,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a world-class medical institution, as well as serving as a co-founder, director and investor in a number of successful early stage healthcare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P. Gandolfo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P. Gandolfo, 62, has served as a member of the Board since April 2020. He brings to the Board more than 30 years of financial leadership at both public and private companies across multiple industry sectors, including in expense control and cash flow optimization. He currently serves as Chief Financial Officer of Eyenovia, Inc., a publicly held, late clinical stage biopharmaceutical company focusing on the development of ophthalmic drugs since 2018. Prior to Eyenovia, he served as Chief Financial Officer of Xtant Medical Holdings, Inc., a publicly held orthopedic and spine medical device company with multiple operations throughout the United States from 2010 to 2017.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including the Odyssey Health, Inc., a medical device company which he has served as a director since 2019. The Board believes that these experiences, and his ability to serve as a financial expert on the Company’s audit committee, qualify him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 Directors (Terms Expiring in 2025)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S. Goldberger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Goldberger, 61, has served as the Company’s Chief Executive Officer and a member of the Board since October 2019. Mr. Goldberger served as a Director of Koru Medical Systems, a manufacturer of infusion pump systems, from April 2017 until May 2022 and he served as its Executive Chairman from August 2017 until September 2019. .. From January 2018 to September 2019, Mr. Goldberger served as the Chief Executive Officer of Synergy Disc Replacement Inc., a private company commercializing a proprietary total disc implant for cervical spine therapy. From July 2017 to September 2017, Mr. Goldberger served as chief executive officer of Milestone Medical, Inc. Prior to this he served as the chief executive officer of Xtant Medical Holdings, Inc. from August 2013 to January 2017. He also served as the chief executive officer of Sound Surgical Technologies LLC from April 2007 to February 2013. Mr. Goldberger also served on the boards of Xtant Medical Holdings, Inc., Sound Surgical, Xcorporeal and Glucon. He currently serves as an advisor to investment funds Meridian Capital and Wellfleet Capital. Mr. Goldberger earned a B.S. in Mechanical Engineering from The Massachusetts Institute of Technology, and a M.S. in Mechanical Engineering from Stanford University. The Board believes that Mr. Goldberger’s extensive senior management experience in the medical device industry, including as the Company’s Chief Executive Officer, qualify him for service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Julie A. Goldstein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A. Goldstein, 63, has served as a member of the Board since March 2022. Ms. Goldstein has more than 30 years of leadership expertise in product, media and entertainment marketing, which spans a career in radio, television, music and theater. Ms. Goldstein’s specific expertise includes operations, sales development, advertising, and project management. She has also spearheaded many major national and international marketing campaigns. She was a producer for the Broadway musical First Date from 2013 to 2014. At music labels JIVE Records, RCA Records, and Virgin Records, she served as Vice President of marketing and development. She also held the position of Vice President of marketing and sales at NewsCorp / TV Guide Television Network and began her career in radio marketing. Her expertise around spending and strategic marketing techniques contributed to RCA’s turnaround. She received the Billboard Magazine’s Radio Promotion Director of the Year, Bertelsmann Key Management Award, and Virgin Records Promotion Director of the Year. Ms. Goldstein holds a B.A. in Communications and Social Welfare from California State University at Chico. The Board believes Ms. Goldstein’s extensive media and marketing expertise qualifies her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Patricia Wilber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Wilber, 61, has served as a member of the Board since March 2022. Ms. Wilber has been a Chief Marketing Officer, global business strategist, and board member who delivers organizational and cultural transformation for branding. She is a pioneer in new franchise models and branded partnerships. Ms. Wilber last served as the Executive Vice President, CMO, and Managing Director of Partnerships, EMEA, the highest position in the marketing department at Disney from 2015 to 2018, where she drove growth for Walt Disney Company’s marquee brands by leading marketing and communications for Disney, Pixar, Star Wars, and Marvel. Additionally, she established and led EMEA’s 40-country integrated marketing, franchise and partnership functions, including a major reorganization of the EMEA channels to boost growth and profitability by significantly reducing expenses. Ms. Wilber has also served as a member of the board of CIIG Capital Partners II, a special acquisition corporation listed on Nasdaq since March 2023. She also currently serves on the board of the medical nonprofit organizations, Vibrant Emotional Health and Yale New Haven Hospital. She served on the board of Euro Disney SCA from 2015 to 2018, and Magical Cruise Company, more commonly known as the Disney Cruise Line from 2013 to 2018. Ms. Wilber holds a B.A. in History from Brown University. The Board believes Ms. Wilber’s strategic marketing expertise qualifies her to serve on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6353175" cy="449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53175" cy="4495800"/>
                    </a:xfrm>
                    <a:prstGeom prst="rect">
                      <a:avLst/>
                    </a:prstGeom>
                  </pic:spPr>
                </pic:pic>
              </a:graphicData>
            </a:graphic>
          </wp:inline>
        </w:drawing>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Demographic Background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w:t>
      </w:r>
    </w:p>
    <w:p>
      <w:pPr>
        <w:pStyle w:val="TextBody"/>
        <w:spacing w:before="0" w:after="0"/>
        <w:ind w:left="0" w:right="0" w:hanging="0"/>
        <w:jc w:val="both"/>
        <w:rPr>
          <w:caps w:val="false"/>
          <w:smallCaps w:val="false"/>
        </w:rPr>
      </w:pPr>
      <w:r>
        <w:rPr>
          <w:caps w:val="false"/>
          <w:smallCaps w:val="false"/>
        </w:rPr>
        <w:t> </w:t>
      </w:r>
    </w:p>
    <w:tbl>
      <w:tblPr>
        <w:tblW w:w="9780" w:type="dxa"/>
        <w:jc w:val="left"/>
        <w:tblInd w:w="0" w:type="dxa"/>
        <w:tblCellMar>
          <w:top w:w="0" w:type="dxa"/>
          <w:left w:w="0" w:type="dxa"/>
          <w:bottom w:w="0" w:type="dxa"/>
          <w:right w:w="0" w:type="dxa"/>
        </w:tblCellMar>
      </w:tblPr>
      <w:tblGrid>
        <w:gridCol w:w="4890"/>
        <w:gridCol w:w="4890"/>
      </w:tblGrid>
      <w:tr>
        <w:trPr/>
        <w:tc>
          <w:tcPr>
            <w:tcW w:w="4890" w:type="dxa"/>
            <w:tcBorders/>
            <w:shd w:fill="auto" w:val="clear"/>
            <w:vAlign w:val="center"/>
          </w:tcPr>
          <w:p>
            <w:pPr>
              <w:pStyle w:val="TableContents"/>
              <w:spacing w:before="0" w:after="0"/>
              <w:jc w:val="center"/>
              <w:rPr>
                <w:caps w:val="false"/>
                <w:smallCaps w:val="false"/>
              </w:rPr>
            </w:pPr>
            <w:r>
              <w:rPr>
                <w:caps w:val="false"/>
                <w:smallCaps w:val="false"/>
              </w:rPr>
              <w:drawing>
                <wp:inline distT="0" distB="0" distL="0" distR="0">
                  <wp:extent cx="3095625" cy="261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95625" cy="2619375"/>
                          </a:xfrm>
                          <a:prstGeom prst="rect">
                            <a:avLst/>
                          </a:prstGeom>
                        </pic:spPr>
                      </pic:pic>
                    </a:graphicData>
                  </a:graphic>
                </wp:inline>
              </w:drawing>
            </w:r>
          </w:p>
          <w:p>
            <w:pPr>
              <w:pStyle w:val="TableContents"/>
              <w:spacing w:before="0" w:after="0"/>
              <w:ind w:left="0" w:right="0" w:hanging="0"/>
              <w:jc w:val="both"/>
              <w:rPr>
                <w:caps w:val="false"/>
                <w:smallCaps w:val="false"/>
              </w:rPr>
            </w:pPr>
            <w:r>
              <w:rPr>
                <w:caps w:val="false"/>
                <w:smallCaps w:val="false"/>
              </w:rPr>
              <w:t> </w:t>
            </w:r>
          </w:p>
        </w:tc>
        <w:tc>
          <w:tcPr>
            <w:tcW w:w="4890" w:type="dxa"/>
            <w:tcBorders/>
            <w:shd w:fill="auto" w:val="clear"/>
            <w:vAlign w:val="center"/>
          </w:tcPr>
          <w:p>
            <w:pPr>
              <w:pStyle w:val="TableContents"/>
              <w:spacing w:before="0" w:after="283"/>
              <w:jc w:val="center"/>
              <w:rPr/>
            </w:pPr>
            <w:r>
              <w:rPr/>
              <w:drawing>
                <wp:inline distT="0" distB="0" distL="0" distR="0">
                  <wp:extent cx="3095625" cy="2543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95625" cy="2543175"/>
                          </a:xfrm>
                          <a:prstGeom prst="rect">
                            <a:avLst/>
                          </a:prstGeom>
                        </pic:spPr>
                      </pic:pic>
                    </a:graphicData>
                  </a:graphic>
                </wp:inline>
              </w:drawing>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categories listed in the below table has the meaning as it is used in Nasdaq Rule 5605(f).</w:t>
      </w:r>
    </w:p>
    <w:p>
      <w:pPr>
        <w:pStyle w:val="TextBody"/>
        <w:spacing w:before="0" w:after="0"/>
        <w:ind w:left="0" w:right="0" w:hanging="0"/>
        <w:jc w:val="both"/>
        <w:rPr>
          <w:caps w:val="false"/>
          <w:smallCaps w:val="false"/>
        </w:rPr>
      </w:pPr>
      <w:r>
        <w:rPr>
          <w:caps w:val="false"/>
          <w:smallCaps w:val="false"/>
        </w:rPr>
        <w:t> </w:t>
      </w:r>
    </w:p>
    <w:tbl>
      <w:tblPr>
        <w:tblW w:w="9265" w:type="dxa"/>
        <w:jc w:val="left"/>
        <w:tblInd w:w="0" w:type="dxa"/>
        <w:tblCellMar>
          <w:top w:w="0" w:type="dxa"/>
          <w:left w:w="0" w:type="dxa"/>
          <w:bottom w:w="28" w:type="dxa"/>
          <w:right w:w="0" w:type="dxa"/>
        </w:tblCellMar>
      </w:tblPr>
      <w:tblGrid>
        <w:gridCol w:w="5420"/>
        <w:gridCol w:w="455"/>
        <w:gridCol w:w="650"/>
        <w:gridCol w:w="1025"/>
        <w:gridCol w:w="1715"/>
      </w:tblGrid>
      <w:tr>
        <w:trPr/>
        <w:tc>
          <w:tcPr>
            <w:tcW w:w="9265" w:type="dxa"/>
            <w:gridSpan w:val="5"/>
            <w:tcBorders>
              <w:bottom w:val="single" w:sz="8" w:space="0" w:color="000000"/>
            </w:tcBorders>
            <w:shd w:fill="auto" w:val="clear"/>
            <w:vAlign w:val="center"/>
          </w:tcPr>
          <w:p>
            <w:pPr>
              <w:pStyle w:val="TableContents"/>
              <w:spacing w:before="0" w:after="283"/>
              <w:jc w:val="center"/>
              <w:rPr>
                <w:b/>
                <w:sz w:val="20"/>
              </w:rPr>
            </w:pPr>
            <w:r>
              <w:rPr>
                <w:b/>
                <w:sz w:val="20"/>
              </w:rPr>
              <w:t>Board Diversity Matrix</w:t>
            </w:r>
          </w:p>
        </w:tc>
      </w:tr>
      <w:tr>
        <w:trPr/>
        <w:tc>
          <w:tcPr>
            <w:tcW w:w="5420" w:type="dxa"/>
            <w:tcBorders/>
            <w:shd w:fill="CCEEFF" w:val="clear"/>
            <w:tcMar>
              <w:bottom w:w="0" w:type="dxa"/>
            </w:tcMar>
            <w:vAlign w:val="center"/>
          </w:tcPr>
          <w:p>
            <w:pPr>
              <w:pStyle w:val="TableContents"/>
              <w:spacing w:before="0" w:after="283"/>
              <w:rPr>
                <w:b/>
                <w:sz w:val="20"/>
              </w:rPr>
            </w:pPr>
            <w:r>
              <w:rPr>
                <w:b/>
                <w:sz w:val="20"/>
              </w:rPr>
              <w:t>Board Size</w:t>
            </w:r>
          </w:p>
        </w:tc>
        <w:tc>
          <w:tcPr>
            <w:tcW w:w="455" w:type="dxa"/>
            <w:tcBorders/>
            <w:shd w:fill="CCEEFF" w:val="clear"/>
            <w:tcMar>
              <w:bottom w:w="0" w:type="dxa"/>
            </w:tcMar>
            <w:vAlign w:val="center"/>
          </w:tcPr>
          <w:p>
            <w:pPr>
              <w:pStyle w:val="TableContents"/>
              <w:spacing w:before="0" w:after="283"/>
              <w:jc w:val="right"/>
              <w:rPr/>
            </w:pPr>
            <w:r>
              <w:rPr/>
              <w:t> </w:t>
            </w:r>
          </w:p>
        </w:tc>
        <w:tc>
          <w:tcPr>
            <w:tcW w:w="650" w:type="dxa"/>
            <w:tcBorders/>
            <w:shd w:fill="CCEEFF" w:val="clear"/>
            <w:tcMar>
              <w:bottom w:w="0" w:type="dxa"/>
            </w:tcMar>
            <w:vAlign w:val="center"/>
          </w:tcPr>
          <w:p>
            <w:pPr>
              <w:pStyle w:val="TableContents"/>
              <w:spacing w:before="0" w:after="283"/>
              <w:jc w:val="right"/>
              <w:rPr/>
            </w:pPr>
            <w:r>
              <w:rPr/>
              <w:t> </w:t>
            </w:r>
          </w:p>
        </w:tc>
        <w:tc>
          <w:tcPr>
            <w:tcW w:w="1025" w:type="dxa"/>
            <w:tcBorders/>
            <w:shd w:fill="CCEEFF" w:val="clear"/>
            <w:tcMar>
              <w:bottom w:w="0" w:type="dxa"/>
            </w:tcMar>
            <w:vAlign w:val="center"/>
          </w:tcPr>
          <w:p>
            <w:pPr>
              <w:pStyle w:val="TableContents"/>
              <w:spacing w:before="0" w:after="283"/>
              <w:jc w:val="right"/>
              <w:rPr/>
            </w:pPr>
            <w:r>
              <w:rPr/>
              <w:t> </w:t>
            </w:r>
          </w:p>
        </w:tc>
        <w:tc>
          <w:tcPr>
            <w:tcW w:w="1715" w:type="dxa"/>
            <w:tcBorders/>
            <w:shd w:fill="CCEEFF" w:val="clear"/>
            <w:tcMar>
              <w:bottom w:w="0" w:type="dxa"/>
            </w:tcMar>
            <w:vAlign w:val="center"/>
          </w:tcPr>
          <w:p>
            <w:pPr>
              <w:pStyle w:val="TableContents"/>
              <w:spacing w:before="0" w:after="283"/>
              <w:jc w:val="right"/>
              <w:rPr/>
            </w:pPr>
            <w:r>
              <w:rPr/>
              <w:t> </w:t>
            </w:r>
          </w:p>
        </w:tc>
      </w:tr>
      <w:tr>
        <w:trPr/>
        <w:tc>
          <w:tcPr>
            <w:tcW w:w="5420" w:type="dxa"/>
            <w:tcBorders/>
            <w:shd w:fill="FFFFFF" w:val="clear"/>
            <w:tcMar>
              <w:bottom w:w="0" w:type="dxa"/>
            </w:tcMar>
            <w:vAlign w:val="center"/>
          </w:tcPr>
          <w:p>
            <w:pPr>
              <w:pStyle w:val="TableContents"/>
              <w:spacing w:before="0" w:after="283"/>
              <w:jc w:val="both"/>
              <w:rPr/>
            </w:pPr>
            <w:r>
              <w:rPr>
                <w:rFonts w:ascii="Symbol" w:hAnsi="Symbol"/>
              </w:rPr>
              <w:t>·</w:t>
            </w:r>
            <w:r>
              <w:rPr/>
              <w:t>         Total Number of Directors</w:t>
            </w:r>
          </w:p>
        </w:tc>
        <w:tc>
          <w:tcPr>
            <w:tcW w:w="455" w:type="dxa"/>
            <w:tcBorders/>
            <w:shd w:fill="FFFFFF" w:val="clear"/>
            <w:tcMar>
              <w:bottom w:w="0" w:type="dxa"/>
            </w:tcMar>
            <w:vAlign w:val="center"/>
          </w:tcPr>
          <w:p>
            <w:pPr>
              <w:pStyle w:val="TableContents"/>
              <w:spacing w:before="0" w:after="283"/>
              <w:jc w:val="right"/>
              <w:rPr>
                <w:sz w:val="20"/>
              </w:rPr>
            </w:pPr>
            <w:r>
              <w:rPr>
                <w:sz w:val="20"/>
              </w:rPr>
              <w:t>9</w:t>
            </w:r>
          </w:p>
        </w:tc>
        <w:tc>
          <w:tcPr>
            <w:tcW w:w="650" w:type="dxa"/>
            <w:tcBorders/>
            <w:shd w:fill="FFFFFF" w:val="clear"/>
            <w:tcMar>
              <w:bottom w:w="0" w:type="dxa"/>
            </w:tcMar>
            <w:vAlign w:val="center"/>
          </w:tcPr>
          <w:p>
            <w:pPr>
              <w:pStyle w:val="TableContents"/>
              <w:spacing w:before="0" w:after="283"/>
              <w:jc w:val="right"/>
              <w:rPr/>
            </w:pPr>
            <w:r>
              <w:rPr/>
              <w:t> </w:t>
            </w:r>
          </w:p>
        </w:tc>
        <w:tc>
          <w:tcPr>
            <w:tcW w:w="1025" w:type="dxa"/>
            <w:tcBorders/>
            <w:shd w:fill="FFFFFF" w:val="clear"/>
            <w:tcMar>
              <w:bottom w:w="0" w:type="dxa"/>
            </w:tcMar>
            <w:vAlign w:val="center"/>
          </w:tcPr>
          <w:p>
            <w:pPr>
              <w:pStyle w:val="TableContents"/>
              <w:spacing w:before="0" w:after="283"/>
              <w:jc w:val="right"/>
              <w:rPr/>
            </w:pPr>
            <w:r>
              <w:rPr/>
              <w:t> </w:t>
            </w:r>
          </w:p>
        </w:tc>
        <w:tc>
          <w:tcPr>
            <w:tcW w:w="1715" w:type="dxa"/>
            <w:tcBorders/>
            <w:shd w:fill="FFFFFF" w:val="clear"/>
            <w:tcMar>
              <w:bottom w:w="0" w:type="dxa"/>
            </w:tcMar>
            <w:vAlign w:val="center"/>
          </w:tcPr>
          <w:p>
            <w:pPr>
              <w:pStyle w:val="TableContents"/>
              <w:spacing w:before="0" w:after="283"/>
              <w:jc w:val="right"/>
              <w:rPr/>
            </w:pPr>
            <w:r>
              <w:rPr/>
              <w:t> </w:t>
            </w:r>
          </w:p>
        </w:tc>
      </w:tr>
      <w:tr>
        <w:trPr/>
        <w:tc>
          <w:tcPr>
            <w:tcW w:w="5420" w:type="dxa"/>
            <w:tcBorders/>
            <w:shd w:fill="CCEEFF" w:val="clear"/>
            <w:tcMar>
              <w:bottom w:w="0" w:type="dxa"/>
            </w:tcMar>
            <w:vAlign w:val="center"/>
          </w:tcPr>
          <w:p>
            <w:pPr>
              <w:pStyle w:val="TableContents"/>
              <w:spacing w:before="0" w:after="283"/>
              <w:rPr/>
            </w:pPr>
            <w:r>
              <w:rPr/>
              <w:t> </w:t>
            </w:r>
          </w:p>
        </w:tc>
        <w:tc>
          <w:tcPr>
            <w:tcW w:w="455" w:type="dxa"/>
            <w:tcBorders/>
            <w:shd w:fill="CCEEFF" w:val="clear"/>
            <w:tcMar>
              <w:bottom w:w="0" w:type="dxa"/>
            </w:tcMar>
            <w:vAlign w:val="center"/>
          </w:tcPr>
          <w:p>
            <w:pPr>
              <w:pStyle w:val="TableContents"/>
              <w:spacing w:before="0" w:after="283"/>
              <w:jc w:val="right"/>
              <w:rPr/>
            </w:pPr>
            <w:r>
              <w:rPr/>
              <w:t> </w:t>
            </w:r>
          </w:p>
        </w:tc>
        <w:tc>
          <w:tcPr>
            <w:tcW w:w="650" w:type="dxa"/>
            <w:tcBorders/>
            <w:shd w:fill="CCEEFF" w:val="clear"/>
            <w:tcMar>
              <w:bottom w:w="0" w:type="dxa"/>
            </w:tcMar>
            <w:vAlign w:val="center"/>
          </w:tcPr>
          <w:p>
            <w:pPr>
              <w:pStyle w:val="TableContents"/>
              <w:spacing w:before="0" w:after="283"/>
              <w:jc w:val="right"/>
              <w:rPr/>
            </w:pPr>
            <w:r>
              <w:rPr/>
              <w:t> </w:t>
            </w:r>
          </w:p>
        </w:tc>
        <w:tc>
          <w:tcPr>
            <w:tcW w:w="1025" w:type="dxa"/>
            <w:tcBorders/>
            <w:shd w:fill="CCEEFF" w:val="clear"/>
            <w:tcMar>
              <w:bottom w:w="0" w:type="dxa"/>
            </w:tcMar>
            <w:vAlign w:val="center"/>
          </w:tcPr>
          <w:p>
            <w:pPr>
              <w:pStyle w:val="TableContents"/>
              <w:spacing w:before="0" w:after="283"/>
              <w:jc w:val="right"/>
              <w:rPr/>
            </w:pPr>
            <w:r>
              <w:rPr/>
              <w:t> </w:t>
            </w:r>
          </w:p>
        </w:tc>
        <w:tc>
          <w:tcPr>
            <w:tcW w:w="1715" w:type="dxa"/>
            <w:tcBorders/>
            <w:shd w:fill="CCEEFF" w:val="clear"/>
            <w:tcMar>
              <w:bottom w:w="0" w:type="dxa"/>
            </w:tcMar>
            <w:vAlign w:val="center"/>
          </w:tcPr>
          <w:p>
            <w:pPr>
              <w:pStyle w:val="TableContents"/>
              <w:spacing w:before="0" w:after="283"/>
              <w:jc w:val="right"/>
              <w:rPr/>
            </w:pPr>
            <w:r>
              <w:rPr/>
              <w:t> </w:t>
            </w:r>
          </w:p>
        </w:tc>
      </w:tr>
      <w:tr>
        <w:trPr/>
        <w:tc>
          <w:tcPr>
            <w:tcW w:w="5420" w:type="dxa"/>
            <w:tcBorders/>
            <w:shd w:fill="FFFFFF" w:val="clear"/>
            <w:tcMar>
              <w:bottom w:w="0" w:type="dxa"/>
            </w:tcMar>
            <w:vAlign w:val="center"/>
          </w:tcPr>
          <w:p>
            <w:pPr>
              <w:pStyle w:val="TableContents"/>
              <w:spacing w:before="0" w:after="283"/>
              <w:rPr>
                <w:b/>
                <w:sz w:val="20"/>
              </w:rPr>
            </w:pPr>
            <w:r>
              <w:rPr>
                <w:b/>
                <w:sz w:val="20"/>
              </w:rPr>
              <w:t>Gender:</w:t>
            </w:r>
          </w:p>
        </w:tc>
        <w:tc>
          <w:tcPr>
            <w:tcW w:w="455" w:type="dxa"/>
            <w:tcBorders/>
            <w:shd w:fill="FFFFFF" w:val="clear"/>
            <w:tcMar>
              <w:bottom w:w="0" w:type="dxa"/>
            </w:tcMar>
            <w:vAlign w:val="center"/>
          </w:tcPr>
          <w:p>
            <w:pPr>
              <w:pStyle w:val="TableContents"/>
              <w:spacing w:before="0" w:after="283"/>
              <w:jc w:val="center"/>
              <w:rPr>
                <w:b/>
                <w:sz w:val="20"/>
              </w:rPr>
            </w:pPr>
            <w:r>
              <w:rPr>
                <w:b/>
                <w:sz w:val="20"/>
              </w:rPr>
              <w:t>Male</w:t>
            </w:r>
          </w:p>
        </w:tc>
        <w:tc>
          <w:tcPr>
            <w:tcW w:w="650" w:type="dxa"/>
            <w:tcBorders/>
            <w:shd w:fill="FFFFFF" w:val="clear"/>
            <w:tcMar>
              <w:bottom w:w="0" w:type="dxa"/>
            </w:tcMar>
            <w:vAlign w:val="center"/>
          </w:tcPr>
          <w:p>
            <w:pPr>
              <w:pStyle w:val="TableContents"/>
              <w:spacing w:before="0" w:after="283"/>
              <w:jc w:val="center"/>
              <w:rPr>
                <w:b/>
                <w:sz w:val="20"/>
              </w:rPr>
            </w:pPr>
            <w:r>
              <w:rPr>
                <w:b/>
                <w:sz w:val="20"/>
              </w:rPr>
              <w:t>Female</w:t>
            </w:r>
          </w:p>
        </w:tc>
        <w:tc>
          <w:tcPr>
            <w:tcW w:w="1025" w:type="dxa"/>
            <w:tcBorders/>
            <w:shd w:fill="FFFFFF" w:val="clear"/>
            <w:tcMar>
              <w:bottom w:w="0" w:type="dxa"/>
            </w:tcMar>
            <w:vAlign w:val="center"/>
          </w:tcPr>
          <w:p>
            <w:pPr>
              <w:pStyle w:val="TableContents"/>
              <w:spacing w:before="0" w:after="283"/>
              <w:jc w:val="center"/>
              <w:rPr>
                <w:b/>
                <w:sz w:val="20"/>
              </w:rPr>
            </w:pPr>
            <w:r>
              <w:rPr>
                <w:b/>
                <w:sz w:val="20"/>
              </w:rPr>
              <w:t>Non-Binary</w:t>
            </w:r>
          </w:p>
        </w:tc>
        <w:tc>
          <w:tcPr>
            <w:tcW w:w="1715" w:type="dxa"/>
            <w:tcBorders/>
            <w:shd w:fill="FFFFFF" w:val="clear"/>
            <w:tcMar>
              <w:bottom w:w="0" w:type="dxa"/>
            </w:tcMar>
            <w:vAlign w:val="center"/>
          </w:tcPr>
          <w:p>
            <w:pPr>
              <w:pStyle w:val="TableContents"/>
              <w:spacing w:before="0" w:after="283"/>
              <w:jc w:val="center"/>
              <w:rPr>
                <w:b/>
                <w:sz w:val="20"/>
              </w:rPr>
            </w:pPr>
            <w:r>
              <w:rPr>
                <w:b/>
                <w:sz w:val="20"/>
              </w:rPr>
              <w:t>Gender Undisclosed</w:t>
            </w:r>
          </w:p>
        </w:tc>
      </w:tr>
      <w:tr>
        <w:trPr/>
        <w:tc>
          <w:tcPr>
            <w:tcW w:w="5420" w:type="dxa"/>
            <w:tcBorders/>
            <w:shd w:fill="CCEEFF" w:val="clear"/>
            <w:tcMar>
              <w:bottom w:w="0" w:type="dxa"/>
            </w:tcMar>
            <w:vAlign w:val="center"/>
          </w:tcPr>
          <w:p>
            <w:pPr>
              <w:pStyle w:val="TableContents"/>
              <w:spacing w:before="0" w:after="283"/>
              <w:rPr/>
            </w:pPr>
            <w:r>
              <w:rPr/>
              <w:t> </w:t>
            </w:r>
          </w:p>
        </w:tc>
        <w:tc>
          <w:tcPr>
            <w:tcW w:w="455" w:type="dxa"/>
            <w:tcBorders/>
            <w:shd w:fill="CCEEFF" w:val="clear"/>
            <w:tcMar>
              <w:bottom w:w="0" w:type="dxa"/>
            </w:tcMar>
            <w:vAlign w:val="center"/>
          </w:tcPr>
          <w:p>
            <w:pPr>
              <w:pStyle w:val="TableContents"/>
              <w:spacing w:before="0" w:after="283"/>
              <w:jc w:val="center"/>
              <w:rPr>
                <w:sz w:val="20"/>
              </w:rPr>
            </w:pPr>
            <w:r>
              <w:rPr>
                <w:sz w:val="20"/>
              </w:rPr>
              <w:t>7</w:t>
            </w:r>
          </w:p>
        </w:tc>
        <w:tc>
          <w:tcPr>
            <w:tcW w:w="650" w:type="dxa"/>
            <w:tcBorders/>
            <w:shd w:fill="CCEEFF" w:val="clear"/>
            <w:tcMar>
              <w:bottom w:w="0" w:type="dxa"/>
            </w:tcMar>
            <w:vAlign w:val="center"/>
          </w:tcPr>
          <w:p>
            <w:pPr>
              <w:pStyle w:val="TableContents"/>
              <w:spacing w:before="0" w:after="283"/>
              <w:jc w:val="center"/>
              <w:rPr>
                <w:sz w:val="20"/>
              </w:rPr>
            </w:pPr>
            <w:r>
              <w:rPr>
                <w:sz w:val="20"/>
              </w:rPr>
              <w:t>2</w:t>
            </w:r>
          </w:p>
        </w:tc>
        <w:tc>
          <w:tcPr>
            <w:tcW w:w="1025" w:type="dxa"/>
            <w:tcBorders/>
            <w:shd w:fill="CCEEFF" w:val="clear"/>
            <w:tcMar>
              <w:bottom w:w="0" w:type="dxa"/>
            </w:tcMar>
            <w:vAlign w:val="center"/>
          </w:tcPr>
          <w:p>
            <w:pPr>
              <w:pStyle w:val="TableContents"/>
              <w:spacing w:before="0" w:after="283"/>
              <w:jc w:val="center"/>
              <w:rPr>
                <w:sz w:val="20"/>
              </w:rPr>
            </w:pPr>
            <w:r>
              <w:rPr>
                <w:sz w:val="20"/>
              </w:rPr>
              <w:t>-</w:t>
            </w:r>
          </w:p>
        </w:tc>
        <w:tc>
          <w:tcPr>
            <w:tcW w:w="1715" w:type="dxa"/>
            <w:tcBorders/>
            <w:shd w:fill="CCEE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FFFFFF" w:val="clear"/>
            <w:tcMar>
              <w:bottom w:w="0" w:type="dxa"/>
            </w:tcMar>
            <w:vAlign w:val="center"/>
          </w:tcPr>
          <w:p>
            <w:pPr>
              <w:pStyle w:val="TableContents"/>
              <w:spacing w:before="0" w:after="283"/>
              <w:rPr/>
            </w:pPr>
            <w:r>
              <w:rPr/>
              <w:t> </w:t>
            </w:r>
          </w:p>
        </w:tc>
        <w:tc>
          <w:tcPr>
            <w:tcW w:w="455" w:type="dxa"/>
            <w:tcBorders/>
            <w:shd w:fill="FFFFFF" w:val="clear"/>
            <w:tcMar>
              <w:bottom w:w="0" w:type="dxa"/>
            </w:tcMar>
            <w:vAlign w:val="center"/>
          </w:tcPr>
          <w:p>
            <w:pPr>
              <w:pStyle w:val="TableContents"/>
              <w:spacing w:before="0" w:after="283"/>
              <w:jc w:val="right"/>
              <w:rPr/>
            </w:pPr>
            <w:r>
              <w:rPr/>
              <w:t> </w:t>
            </w:r>
          </w:p>
        </w:tc>
        <w:tc>
          <w:tcPr>
            <w:tcW w:w="650" w:type="dxa"/>
            <w:tcBorders/>
            <w:shd w:fill="FFFFFF" w:val="clear"/>
            <w:tcMar>
              <w:bottom w:w="0" w:type="dxa"/>
            </w:tcMar>
            <w:vAlign w:val="center"/>
          </w:tcPr>
          <w:p>
            <w:pPr>
              <w:pStyle w:val="TableContents"/>
              <w:spacing w:before="0" w:after="283"/>
              <w:jc w:val="right"/>
              <w:rPr/>
            </w:pPr>
            <w:r>
              <w:rPr/>
              <w:t> </w:t>
            </w:r>
          </w:p>
        </w:tc>
        <w:tc>
          <w:tcPr>
            <w:tcW w:w="1025" w:type="dxa"/>
            <w:tcBorders/>
            <w:shd w:fill="FFFFFF" w:val="clear"/>
            <w:tcMar>
              <w:bottom w:w="0" w:type="dxa"/>
            </w:tcMar>
            <w:vAlign w:val="center"/>
          </w:tcPr>
          <w:p>
            <w:pPr>
              <w:pStyle w:val="TableContents"/>
              <w:spacing w:before="0" w:after="283"/>
              <w:jc w:val="right"/>
              <w:rPr/>
            </w:pPr>
            <w:r>
              <w:rPr/>
              <w:t> </w:t>
            </w:r>
          </w:p>
        </w:tc>
        <w:tc>
          <w:tcPr>
            <w:tcW w:w="1715" w:type="dxa"/>
            <w:tcBorders/>
            <w:shd w:fill="FFFFFF" w:val="clear"/>
            <w:tcMar>
              <w:bottom w:w="0" w:type="dxa"/>
            </w:tcMar>
            <w:vAlign w:val="center"/>
          </w:tcPr>
          <w:p>
            <w:pPr>
              <w:pStyle w:val="TableContents"/>
              <w:spacing w:before="0" w:after="283"/>
              <w:jc w:val="right"/>
              <w:rPr/>
            </w:pPr>
            <w:r>
              <w:rPr/>
              <w:t> </w:t>
            </w:r>
          </w:p>
        </w:tc>
      </w:tr>
      <w:tr>
        <w:trPr/>
        <w:tc>
          <w:tcPr>
            <w:tcW w:w="5420" w:type="dxa"/>
            <w:tcBorders/>
            <w:shd w:fill="CCEEFF" w:val="clear"/>
            <w:tcMar>
              <w:bottom w:w="0" w:type="dxa"/>
            </w:tcMar>
            <w:vAlign w:val="center"/>
          </w:tcPr>
          <w:p>
            <w:pPr>
              <w:pStyle w:val="TableContents"/>
              <w:spacing w:before="0" w:after="283"/>
              <w:rPr>
                <w:b/>
                <w:sz w:val="20"/>
              </w:rPr>
            </w:pPr>
            <w:r>
              <w:rPr>
                <w:b/>
                <w:sz w:val="20"/>
              </w:rPr>
              <w:t>Number of directors who identify in any of the categories below:</w:t>
            </w:r>
          </w:p>
        </w:tc>
        <w:tc>
          <w:tcPr>
            <w:tcW w:w="455" w:type="dxa"/>
            <w:tcBorders/>
            <w:shd w:fill="CCEEFF" w:val="clear"/>
            <w:tcMar>
              <w:bottom w:w="0" w:type="dxa"/>
            </w:tcMar>
            <w:vAlign w:val="center"/>
          </w:tcPr>
          <w:p>
            <w:pPr>
              <w:pStyle w:val="TableContents"/>
              <w:spacing w:before="0" w:after="283"/>
              <w:jc w:val="right"/>
              <w:rPr/>
            </w:pPr>
            <w:r>
              <w:rPr/>
              <w:t> </w:t>
            </w:r>
          </w:p>
        </w:tc>
        <w:tc>
          <w:tcPr>
            <w:tcW w:w="650" w:type="dxa"/>
            <w:tcBorders/>
            <w:shd w:fill="CCEEFF" w:val="clear"/>
            <w:tcMar>
              <w:bottom w:w="0" w:type="dxa"/>
            </w:tcMar>
            <w:vAlign w:val="center"/>
          </w:tcPr>
          <w:p>
            <w:pPr>
              <w:pStyle w:val="TableContents"/>
              <w:spacing w:before="0" w:after="283"/>
              <w:jc w:val="right"/>
              <w:rPr/>
            </w:pPr>
            <w:r>
              <w:rPr/>
              <w:t> </w:t>
            </w:r>
          </w:p>
        </w:tc>
        <w:tc>
          <w:tcPr>
            <w:tcW w:w="1025" w:type="dxa"/>
            <w:tcBorders/>
            <w:shd w:fill="CCEEFF" w:val="clear"/>
            <w:tcMar>
              <w:bottom w:w="0" w:type="dxa"/>
            </w:tcMar>
            <w:vAlign w:val="center"/>
          </w:tcPr>
          <w:p>
            <w:pPr>
              <w:pStyle w:val="TableContents"/>
              <w:spacing w:before="0" w:after="283"/>
              <w:jc w:val="right"/>
              <w:rPr/>
            </w:pPr>
            <w:r>
              <w:rPr/>
              <w:t> </w:t>
            </w:r>
          </w:p>
        </w:tc>
        <w:tc>
          <w:tcPr>
            <w:tcW w:w="1715" w:type="dxa"/>
            <w:tcBorders/>
            <w:shd w:fill="CCEEFF" w:val="clear"/>
            <w:tcMar>
              <w:bottom w:w="0" w:type="dxa"/>
            </w:tcMar>
            <w:vAlign w:val="center"/>
          </w:tcPr>
          <w:p>
            <w:pPr>
              <w:pStyle w:val="TableContents"/>
              <w:spacing w:before="0" w:after="283"/>
              <w:jc w:val="right"/>
              <w:rPr/>
            </w:pPr>
            <w:r>
              <w:rPr/>
              <w:t> </w:t>
            </w:r>
          </w:p>
        </w:tc>
      </w:tr>
      <w:tr>
        <w:trPr/>
        <w:tc>
          <w:tcPr>
            <w:tcW w:w="5420" w:type="dxa"/>
            <w:tcBorders/>
            <w:shd w:fill="FFFFFF" w:val="clear"/>
            <w:tcMar>
              <w:bottom w:w="0" w:type="dxa"/>
            </w:tcMar>
            <w:vAlign w:val="center"/>
          </w:tcPr>
          <w:p>
            <w:pPr>
              <w:pStyle w:val="TableContents"/>
              <w:spacing w:before="0" w:after="283"/>
              <w:jc w:val="both"/>
              <w:rPr/>
            </w:pPr>
            <w:r>
              <w:rPr>
                <w:rFonts w:ascii="Symbol" w:hAnsi="Symbol"/>
              </w:rPr>
              <w:t>·</w:t>
            </w:r>
            <w:r>
              <w:rPr/>
              <w:t>         African American or Black</w:t>
            </w:r>
          </w:p>
        </w:tc>
        <w:tc>
          <w:tcPr>
            <w:tcW w:w="455" w:type="dxa"/>
            <w:tcBorders/>
            <w:shd w:fill="FFFFFF" w:val="clear"/>
            <w:tcMar>
              <w:bottom w:w="0" w:type="dxa"/>
            </w:tcMar>
            <w:vAlign w:val="center"/>
          </w:tcPr>
          <w:p>
            <w:pPr>
              <w:pStyle w:val="TableContents"/>
              <w:spacing w:before="0" w:after="283"/>
              <w:jc w:val="center"/>
              <w:rPr>
                <w:sz w:val="20"/>
              </w:rPr>
            </w:pPr>
            <w:r>
              <w:rPr>
                <w:sz w:val="20"/>
              </w:rPr>
              <w:t>-</w:t>
            </w:r>
          </w:p>
        </w:tc>
        <w:tc>
          <w:tcPr>
            <w:tcW w:w="650" w:type="dxa"/>
            <w:tcBorders/>
            <w:shd w:fill="FFFFFF" w:val="clear"/>
            <w:tcMar>
              <w:bottom w:w="0" w:type="dxa"/>
            </w:tcMar>
            <w:vAlign w:val="center"/>
          </w:tcPr>
          <w:p>
            <w:pPr>
              <w:pStyle w:val="TableContents"/>
              <w:spacing w:before="0" w:after="283"/>
              <w:jc w:val="center"/>
              <w:rPr>
                <w:sz w:val="20"/>
              </w:rPr>
            </w:pPr>
            <w:r>
              <w:rPr>
                <w:sz w:val="20"/>
              </w:rPr>
              <w:t>-</w:t>
            </w:r>
          </w:p>
        </w:tc>
        <w:tc>
          <w:tcPr>
            <w:tcW w:w="1025" w:type="dxa"/>
            <w:tcBorders/>
            <w:shd w:fill="FFFFFF" w:val="clear"/>
            <w:tcMar>
              <w:bottom w:w="0" w:type="dxa"/>
            </w:tcMar>
            <w:vAlign w:val="center"/>
          </w:tcPr>
          <w:p>
            <w:pPr>
              <w:pStyle w:val="TableContents"/>
              <w:spacing w:before="0" w:after="283"/>
              <w:jc w:val="center"/>
              <w:rPr>
                <w:sz w:val="20"/>
              </w:rPr>
            </w:pPr>
            <w:r>
              <w:rPr>
                <w:sz w:val="20"/>
              </w:rPr>
              <w:t>-</w:t>
            </w:r>
          </w:p>
        </w:tc>
        <w:tc>
          <w:tcPr>
            <w:tcW w:w="1715" w:type="dxa"/>
            <w:tcBorders/>
            <w:shd w:fill="FFFF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CCEEFF" w:val="clear"/>
            <w:tcMar>
              <w:bottom w:w="0" w:type="dxa"/>
            </w:tcMar>
            <w:vAlign w:val="center"/>
          </w:tcPr>
          <w:p>
            <w:pPr>
              <w:pStyle w:val="TableContents"/>
              <w:spacing w:before="0" w:after="283"/>
              <w:jc w:val="both"/>
              <w:rPr/>
            </w:pPr>
            <w:r>
              <w:rPr>
                <w:rFonts w:ascii="Symbol" w:hAnsi="Symbol"/>
              </w:rPr>
              <w:t>·</w:t>
            </w:r>
            <w:r>
              <w:rPr/>
              <w:t>         Alaskan Native or American Indian</w:t>
            </w:r>
          </w:p>
        </w:tc>
        <w:tc>
          <w:tcPr>
            <w:tcW w:w="455" w:type="dxa"/>
            <w:tcBorders/>
            <w:shd w:fill="CCEEFF" w:val="clear"/>
            <w:tcMar>
              <w:bottom w:w="0" w:type="dxa"/>
            </w:tcMar>
            <w:vAlign w:val="center"/>
          </w:tcPr>
          <w:p>
            <w:pPr>
              <w:pStyle w:val="TableContents"/>
              <w:spacing w:before="0" w:after="283"/>
              <w:jc w:val="center"/>
              <w:rPr>
                <w:sz w:val="20"/>
              </w:rPr>
            </w:pPr>
            <w:r>
              <w:rPr>
                <w:sz w:val="20"/>
              </w:rPr>
              <w:t>-</w:t>
            </w:r>
          </w:p>
        </w:tc>
        <w:tc>
          <w:tcPr>
            <w:tcW w:w="650" w:type="dxa"/>
            <w:tcBorders/>
            <w:shd w:fill="CCEEFF" w:val="clear"/>
            <w:tcMar>
              <w:bottom w:w="0" w:type="dxa"/>
            </w:tcMar>
            <w:vAlign w:val="center"/>
          </w:tcPr>
          <w:p>
            <w:pPr>
              <w:pStyle w:val="TableContents"/>
              <w:spacing w:before="0" w:after="283"/>
              <w:jc w:val="center"/>
              <w:rPr>
                <w:sz w:val="20"/>
              </w:rPr>
            </w:pPr>
            <w:r>
              <w:rPr>
                <w:sz w:val="20"/>
              </w:rPr>
              <w:t>-</w:t>
            </w:r>
          </w:p>
        </w:tc>
        <w:tc>
          <w:tcPr>
            <w:tcW w:w="1025" w:type="dxa"/>
            <w:tcBorders/>
            <w:shd w:fill="CCEEFF" w:val="clear"/>
            <w:tcMar>
              <w:bottom w:w="0" w:type="dxa"/>
            </w:tcMar>
            <w:vAlign w:val="center"/>
          </w:tcPr>
          <w:p>
            <w:pPr>
              <w:pStyle w:val="TableContents"/>
              <w:spacing w:before="0" w:after="283"/>
              <w:jc w:val="center"/>
              <w:rPr>
                <w:sz w:val="20"/>
              </w:rPr>
            </w:pPr>
            <w:r>
              <w:rPr>
                <w:sz w:val="20"/>
              </w:rPr>
              <w:t>-</w:t>
            </w:r>
          </w:p>
        </w:tc>
        <w:tc>
          <w:tcPr>
            <w:tcW w:w="1715" w:type="dxa"/>
            <w:tcBorders/>
            <w:shd w:fill="CCEE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FFFFFF" w:val="clear"/>
            <w:tcMar>
              <w:bottom w:w="0" w:type="dxa"/>
            </w:tcMar>
            <w:vAlign w:val="center"/>
          </w:tcPr>
          <w:p>
            <w:pPr>
              <w:pStyle w:val="TableContents"/>
              <w:spacing w:before="0" w:after="283"/>
              <w:jc w:val="both"/>
              <w:rPr/>
            </w:pPr>
            <w:r>
              <w:rPr>
                <w:rFonts w:ascii="Symbol" w:hAnsi="Symbol"/>
              </w:rPr>
              <w:t>·</w:t>
            </w:r>
            <w:r>
              <w:rPr/>
              <w:t>         Asian</w:t>
            </w:r>
          </w:p>
        </w:tc>
        <w:tc>
          <w:tcPr>
            <w:tcW w:w="455" w:type="dxa"/>
            <w:tcBorders/>
            <w:shd w:fill="FFFFFF" w:val="clear"/>
            <w:tcMar>
              <w:bottom w:w="0" w:type="dxa"/>
            </w:tcMar>
            <w:vAlign w:val="center"/>
          </w:tcPr>
          <w:p>
            <w:pPr>
              <w:pStyle w:val="TableContents"/>
              <w:spacing w:before="0" w:after="283"/>
              <w:jc w:val="center"/>
              <w:rPr>
                <w:sz w:val="20"/>
              </w:rPr>
            </w:pPr>
            <w:r>
              <w:rPr>
                <w:sz w:val="20"/>
              </w:rPr>
              <w:t>-</w:t>
            </w:r>
          </w:p>
        </w:tc>
        <w:tc>
          <w:tcPr>
            <w:tcW w:w="650" w:type="dxa"/>
            <w:tcBorders/>
            <w:shd w:fill="FFFFFF" w:val="clear"/>
            <w:tcMar>
              <w:bottom w:w="0" w:type="dxa"/>
            </w:tcMar>
            <w:vAlign w:val="center"/>
          </w:tcPr>
          <w:p>
            <w:pPr>
              <w:pStyle w:val="TableContents"/>
              <w:spacing w:before="0" w:after="283"/>
              <w:jc w:val="center"/>
              <w:rPr>
                <w:sz w:val="20"/>
              </w:rPr>
            </w:pPr>
            <w:r>
              <w:rPr>
                <w:sz w:val="20"/>
              </w:rPr>
              <w:t>-</w:t>
            </w:r>
          </w:p>
        </w:tc>
        <w:tc>
          <w:tcPr>
            <w:tcW w:w="1025" w:type="dxa"/>
            <w:tcBorders/>
            <w:shd w:fill="FFFFFF" w:val="clear"/>
            <w:tcMar>
              <w:bottom w:w="0" w:type="dxa"/>
            </w:tcMar>
            <w:vAlign w:val="center"/>
          </w:tcPr>
          <w:p>
            <w:pPr>
              <w:pStyle w:val="TableContents"/>
              <w:spacing w:before="0" w:after="283"/>
              <w:jc w:val="center"/>
              <w:rPr>
                <w:sz w:val="20"/>
              </w:rPr>
            </w:pPr>
            <w:r>
              <w:rPr>
                <w:sz w:val="20"/>
              </w:rPr>
              <w:t>-</w:t>
            </w:r>
          </w:p>
        </w:tc>
        <w:tc>
          <w:tcPr>
            <w:tcW w:w="1715" w:type="dxa"/>
            <w:tcBorders/>
            <w:shd w:fill="FFFF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CCEEFF" w:val="clear"/>
            <w:tcMar>
              <w:bottom w:w="0" w:type="dxa"/>
            </w:tcMar>
            <w:vAlign w:val="center"/>
          </w:tcPr>
          <w:p>
            <w:pPr>
              <w:pStyle w:val="TableContents"/>
              <w:spacing w:before="0" w:after="283"/>
              <w:jc w:val="both"/>
              <w:rPr/>
            </w:pPr>
            <w:r>
              <w:rPr>
                <w:rFonts w:ascii="Symbol" w:hAnsi="Symbol"/>
              </w:rPr>
              <w:t>·</w:t>
            </w:r>
            <w:r>
              <w:rPr/>
              <w:t>         Hispanic or Latinx</w:t>
            </w:r>
          </w:p>
        </w:tc>
        <w:tc>
          <w:tcPr>
            <w:tcW w:w="455" w:type="dxa"/>
            <w:tcBorders/>
            <w:shd w:fill="CCEEFF" w:val="clear"/>
            <w:tcMar>
              <w:bottom w:w="0" w:type="dxa"/>
            </w:tcMar>
            <w:vAlign w:val="center"/>
          </w:tcPr>
          <w:p>
            <w:pPr>
              <w:pStyle w:val="TableContents"/>
              <w:spacing w:before="0" w:after="283"/>
              <w:jc w:val="center"/>
              <w:rPr>
                <w:sz w:val="20"/>
              </w:rPr>
            </w:pPr>
            <w:r>
              <w:rPr>
                <w:sz w:val="20"/>
              </w:rPr>
              <w:t>-</w:t>
            </w:r>
          </w:p>
        </w:tc>
        <w:tc>
          <w:tcPr>
            <w:tcW w:w="650" w:type="dxa"/>
            <w:tcBorders/>
            <w:shd w:fill="CCEEFF" w:val="clear"/>
            <w:tcMar>
              <w:bottom w:w="0" w:type="dxa"/>
            </w:tcMar>
            <w:vAlign w:val="center"/>
          </w:tcPr>
          <w:p>
            <w:pPr>
              <w:pStyle w:val="TableContents"/>
              <w:spacing w:before="0" w:after="283"/>
              <w:jc w:val="center"/>
              <w:rPr>
                <w:sz w:val="20"/>
              </w:rPr>
            </w:pPr>
            <w:r>
              <w:rPr>
                <w:sz w:val="20"/>
              </w:rPr>
              <w:t>-</w:t>
            </w:r>
          </w:p>
        </w:tc>
        <w:tc>
          <w:tcPr>
            <w:tcW w:w="1025" w:type="dxa"/>
            <w:tcBorders/>
            <w:shd w:fill="CCEEFF" w:val="clear"/>
            <w:tcMar>
              <w:bottom w:w="0" w:type="dxa"/>
            </w:tcMar>
            <w:vAlign w:val="center"/>
          </w:tcPr>
          <w:p>
            <w:pPr>
              <w:pStyle w:val="TableContents"/>
              <w:spacing w:before="0" w:after="283"/>
              <w:jc w:val="center"/>
              <w:rPr>
                <w:sz w:val="20"/>
              </w:rPr>
            </w:pPr>
            <w:r>
              <w:rPr>
                <w:sz w:val="20"/>
              </w:rPr>
              <w:t>-</w:t>
            </w:r>
          </w:p>
        </w:tc>
        <w:tc>
          <w:tcPr>
            <w:tcW w:w="1715" w:type="dxa"/>
            <w:tcBorders/>
            <w:shd w:fill="CCEE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FFFFFF" w:val="clear"/>
            <w:tcMar>
              <w:bottom w:w="0" w:type="dxa"/>
            </w:tcMar>
            <w:vAlign w:val="center"/>
          </w:tcPr>
          <w:p>
            <w:pPr>
              <w:pStyle w:val="TableContents"/>
              <w:spacing w:before="0" w:after="283"/>
              <w:jc w:val="both"/>
              <w:rPr/>
            </w:pPr>
            <w:r>
              <w:rPr>
                <w:rFonts w:ascii="Symbol" w:hAnsi="Symbol"/>
              </w:rPr>
              <w:t>·</w:t>
            </w:r>
            <w:r>
              <w:rPr/>
              <w:t>         Native Hawaiian or Pacific Islander</w:t>
            </w:r>
          </w:p>
        </w:tc>
        <w:tc>
          <w:tcPr>
            <w:tcW w:w="455" w:type="dxa"/>
            <w:tcBorders/>
            <w:shd w:fill="FFFFFF" w:val="clear"/>
            <w:tcMar>
              <w:bottom w:w="0" w:type="dxa"/>
            </w:tcMar>
            <w:vAlign w:val="center"/>
          </w:tcPr>
          <w:p>
            <w:pPr>
              <w:pStyle w:val="TableContents"/>
              <w:spacing w:before="0" w:after="283"/>
              <w:jc w:val="center"/>
              <w:rPr>
                <w:sz w:val="20"/>
              </w:rPr>
            </w:pPr>
            <w:r>
              <w:rPr>
                <w:sz w:val="20"/>
              </w:rPr>
              <w:t>-</w:t>
            </w:r>
          </w:p>
        </w:tc>
        <w:tc>
          <w:tcPr>
            <w:tcW w:w="650" w:type="dxa"/>
            <w:tcBorders/>
            <w:shd w:fill="FFFFFF" w:val="clear"/>
            <w:tcMar>
              <w:bottom w:w="0" w:type="dxa"/>
            </w:tcMar>
            <w:vAlign w:val="center"/>
          </w:tcPr>
          <w:p>
            <w:pPr>
              <w:pStyle w:val="TableContents"/>
              <w:spacing w:before="0" w:after="283"/>
              <w:jc w:val="center"/>
              <w:rPr>
                <w:sz w:val="20"/>
              </w:rPr>
            </w:pPr>
            <w:r>
              <w:rPr>
                <w:sz w:val="20"/>
              </w:rPr>
              <w:t>-</w:t>
            </w:r>
          </w:p>
        </w:tc>
        <w:tc>
          <w:tcPr>
            <w:tcW w:w="1025" w:type="dxa"/>
            <w:tcBorders/>
            <w:shd w:fill="FFFFFF" w:val="clear"/>
            <w:tcMar>
              <w:bottom w:w="0" w:type="dxa"/>
            </w:tcMar>
            <w:vAlign w:val="center"/>
          </w:tcPr>
          <w:p>
            <w:pPr>
              <w:pStyle w:val="TableContents"/>
              <w:spacing w:before="0" w:after="283"/>
              <w:jc w:val="center"/>
              <w:rPr>
                <w:sz w:val="20"/>
              </w:rPr>
            </w:pPr>
            <w:r>
              <w:rPr>
                <w:sz w:val="20"/>
              </w:rPr>
              <w:t>-</w:t>
            </w:r>
          </w:p>
        </w:tc>
        <w:tc>
          <w:tcPr>
            <w:tcW w:w="1715" w:type="dxa"/>
            <w:tcBorders/>
            <w:shd w:fill="FFFF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CCEEFF" w:val="clear"/>
            <w:tcMar>
              <w:bottom w:w="0" w:type="dxa"/>
            </w:tcMar>
            <w:vAlign w:val="center"/>
          </w:tcPr>
          <w:p>
            <w:pPr>
              <w:pStyle w:val="TableContents"/>
              <w:spacing w:before="0" w:after="283"/>
              <w:jc w:val="both"/>
              <w:rPr/>
            </w:pPr>
            <w:r>
              <w:rPr>
                <w:rFonts w:ascii="Symbol" w:hAnsi="Symbol"/>
              </w:rPr>
              <w:t>·</w:t>
            </w:r>
            <w:r>
              <w:rPr/>
              <w:t>         White</w:t>
            </w:r>
          </w:p>
        </w:tc>
        <w:tc>
          <w:tcPr>
            <w:tcW w:w="455" w:type="dxa"/>
            <w:tcBorders/>
            <w:shd w:fill="CCEEFF" w:val="clear"/>
            <w:tcMar>
              <w:bottom w:w="0" w:type="dxa"/>
            </w:tcMar>
            <w:vAlign w:val="center"/>
          </w:tcPr>
          <w:p>
            <w:pPr>
              <w:pStyle w:val="TableContents"/>
              <w:spacing w:before="0" w:after="283"/>
              <w:jc w:val="center"/>
              <w:rPr>
                <w:sz w:val="20"/>
              </w:rPr>
            </w:pPr>
            <w:r>
              <w:rPr>
                <w:sz w:val="20"/>
              </w:rPr>
              <w:t>7</w:t>
            </w:r>
          </w:p>
        </w:tc>
        <w:tc>
          <w:tcPr>
            <w:tcW w:w="650" w:type="dxa"/>
            <w:tcBorders/>
            <w:shd w:fill="CCEEFF" w:val="clear"/>
            <w:tcMar>
              <w:bottom w:w="0" w:type="dxa"/>
            </w:tcMar>
            <w:vAlign w:val="center"/>
          </w:tcPr>
          <w:p>
            <w:pPr>
              <w:pStyle w:val="TableContents"/>
              <w:spacing w:before="0" w:after="283"/>
              <w:jc w:val="center"/>
              <w:rPr>
                <w:sz w:val="20"/>
              </w:rPr>
            </w:pPr>
            <w:r>
              <w:rPr>
                <w:sz w:val="20"/>
              </w:rPr>
              <w:t>2</w:t>
            </w:r>
          </w:p>
        </w:tc>
        <w:tc>
          <w:tcPr>
            <w:tcW w:w="1025" w:type="dxa"/>
            <w:tcBorders/>
            <w:shd w:fill="CCEEFF" w:val="clear"/>
            <w:tcMar>
              <w:bottom w:w="0" w:type="dxa"/>
            </w:tcMar>
            <w:vAlign w:val="center"/>
          </w:tcPr>
          <w:p>
            <w:pPr>
              <w:pStyle w:val="TableContents"/>
              <w:spacing w:before="0" w:after="283"/>
              <w:jc w:val="center"/>
              <w:rPr>
                <w:sz w:val="20"/>
              </w:rPr>
            </w:pPr>
            <w:r>
              <w:rPr>
                <w:sz w:val="20"/>
              </w:rPr>
              <w:t>-</w:t>
            </w:r>
          </w:p>
        </w:tc>
        <w:tc>
          <w:tcPr>
            <w:tcW w:w="1715" w:type="dxa"/>
            <w:tcBorders/>
            <w:shd w:fill="CCEEFF" w:val="clear"/>
            <w:tcMar>
              <w:bottom w:w="0" w:type="dxa"/>
            </w:tcMar>
            <w:vAlign w:val="center"/>
          </w:tcPr>
          <w:p>
            <w:pPr>
              <w:pStyle w:val="TableContents"/>
              <w:spacing w:before="0" w:after="283"/>
              <w:jc w:val="center"/>
              <w:rPr>
                <w:sz w:val="20"/>
              </w:rPr>
            </w:pPr>
            <w:r>
              <w:rPr>
                <w:sz w:val="20"/>
              </w:rPr>
              <w:t>-</w:t>
            </w:r>
          </w:p>
        </w:tc>
      </w:tr>
      <w:tr>
        <w:trPr/>
        <w:tc>
          <w:tcPr>
            <w:tcW w:w="5420" w:type="dxa"/>
            <w:tcBorders>
              <w:bottom w:val="single" w:sz="8" w:space="0" w:color="000000"/>
            </w:tcBorders>
            <w:shd w:fill="FFFFFF" w:val="clear"/>
            <w:vAlign w:val="center"/>
          </w:tcPr>
          <w:p>
            <w:pPr>
              <w:pStyle w:val="TableContents"/>
              <w:spacing w:before="0" w:after="283"/>
              <w:jc w:val="both"/>
              <w:rPr/>
            </w:pPr>
            <w:r>
              <w:rPr>
                <w:rFonts w:ascii="Symbol" w:hAnsi="Symbol"/>
              </w:rPr>
              <w:t>·</w:t>
            </w:r>
            <w:r>
              <w:rPr/>
              <w:t>         Two or more races or ethnicities</w:t>
            </w:r>
          </w:p>
        </w:tc>
        <w:tc>
          <w:tcPr>
            <w:tcW w:w="455" w:type="dxa"/>
            <w:tcBorders>
              <w:bottom w:val="single" w:sz="8" w:space="0" w:color="000000"/>
            </w:tcBorders>
            <w:shd w:fill="FFFFFF" w:val="clear"/>
            <w:vAlign w:val="center"/>
          </w:tcPr>
          <w:p>
            <w:pPr>
              <w:pStyle w:val="TableContents"/>
              <w:spacing w:before="0" w:after="283"/>
              <w:jc w:val="center"/>
              <w:rPr>
                <w:sz w:val="20"/>
              </w:rPr>
            </w:pPr>
            <w:r>
              <w:rPr>
                <w:sz w:val="20"/>
              </w:rPr>
              <w:t>-</w:t>
            </w:r>
          </w:p>
        </w:tc>
        <w:tc>
          <w:tcPr>
            <w:tcW w:w="650" w:type="dxa"/>
            <w:tcBorders>
              <w:bottom w:val="single" w:sz="8" w:space="0" w:color="000000"/>
            </w:tcBorders>
            <w:shd w:fill="FFFFFF" w:val="clear"/>
            <w:vAlign w:val="center"/>
          </w:tcPr>
          <w:p>
            <w:pPr>
              <w:pStyle w:val="TableContents"/>
              <w:spacing w:before="0" w:after="283"/>
              <w:jc w:val="center"/>
              <w:rPr>
                <w:sz w:val="20"/>
              </w:rPr>
            </w:pPr>
            <w:r>
              <w:rPr>
                <w:sz w:val="20"/>
              </w:rPr>
              <w:t>-</w:t>
            </w:r>
          </w:p>
        </w:tc>
        <w:tc>
          <w:tcPr>
            <w:tcW w:w="1025" w:type="dxa"/>
            <w:tcBorders>
              <w:bottom w:val="single" w:sz="8" w:space="0" w:color="000000"/>
            </w:tcBorders>
            <w:shd w:fill="FFFFFF" w:val="clear"/>
            <w:vAlign w:val="center"/>
          </w:tcPr>
          <w:p>
            <w:pPr>
              <w:pStyle w:val="TableContents"/>
              <w:spacing w:before="0" w:after="283"/>
              <w:jc w:val="center"/>
              <w:rPr>
                <w:sz w:val="20"/>
              </w:rPr>
            </w:pPr>
            <w:r>
              <w:rPr>
                <w:sz w:val="20"/>
              </w:rPr>
              <w:t>-</w:t>
            </w:r>
          </w:p>
        </w:tc>
        <w:tc>
          <w:tcPr>
            <w:tcW w:w="1715" w:type="dxa"/>
            <w:tcBorders>
              <w:bottom w:val="single" w:sz="8" w:space="0" w:color="000000"/>
            </w:tcBorders>
            <w:shd w:fill="FFFFFF" w:val="clear"/>
            <w:vAlign w:val="center"/>
          </w:tcPr>
          <w:p>
            <w:pPr>
              <w:pStyle w:val="TableContents"/>
              <w:spacing w:before="0" w:after="283"/>
              <w:jc w:val="center"/>
              <w:rPr>
                <w:sz w:val="20"/>
              </w:rPr>
            </w:pPr>
            <w:r>
              <w:rPr>
                <w:sz w:val="20"/>
              </w:rPr>
              <w:t>-</w:t>
            </w:r>
          </w:p>
        </w:tc>
      </w:tr>
      <w:tr>
        <w:trPr/>
        <w:tc>
          <w:tcPr>
            <w:tcW w:w="5420" w:type="dxa"/>
            <w:tcBorders/>
            <w:shd w:fill="CCEEFF" w:val="clear"/>
            <w:tcMar>
              <w:bottom w:w="0" w:type="dxa"/>
            </w:tcMar>
            <w:vAlign w:val="center"/>
          </w:tcPr>
          <w:p>
            <w:pPr>
              <w:pStyle w:val="TableContents"/>
              <w:spacing w:before="0" w:after="283"/>
              <w:jc w:val="both"/>
              <w:rPr/>
            </w:pPr>
            <w:r>
              <w:rPr>
                <w:rFonts w:ascii="Symbol" w:hAnsi="Symbol"/>
              </w:rPr>
              <w:t>·</w:t>
            </w:r>
            <w:r>
              <w:rPr/>
              <w:t>         LGBTQ+</w:t>
            </w:r>
          </w:p>
        </w:tc>
        <w:tc>
          <w:tcPr>
            <w:tcW w:w="3845" w:type="dxa"/>
            <w:gridSpan w:val="4"/>
            <w:tcBorders/>
            <w:shd w:fill="CCEEFF" w:val="clear"/>
            <w:tcMar>
              <w:bottom w:w="0" w:type="dxa"/>
            </w:tcMar>
            <w:vAlign w:val="center"/>
          </w:tcPr>
          <w:p>
            <w:pPr>
              <w:pStyle w:val="TableContents"/>
              <w:spacing w:before="0" w:after="283"/>
              <w:jc w:val="center"/>
              <w:rPr>
                <w:sz w:val="20"/>
              </w:rPr>
            </w:pPr>
            <w:r>
              <w:rPr>
                <w:sz w:val="20"/>
              </w:rPr>
              <w:t>-</w:t>
            </w:r>
          </w:p>
        </w:tc>
      </w:tr>
      <w:tr>
        <w:trPr/>
        <w:tc>
          <w:tcPr>
            <w:tcW w:w="5420" w:type="dxa"/>
            <w:tcBorders/>
            <w:shd w:fill="FFFFFF" w:val="clear"/>
            <w:tcMar>
              <w:bottom w:w="0" w:type="dxa"/>
            </w:tcMar>
            <w:vAlign w:val="center"/>
          </w:tcPr>
          <w:p>
            <w:pPr>
              <w:pStyle w:val="TableContents"/>
              <w:spacing w:before="0" w:after="283"/>
              <w:jc w:val="both"/>
              <w:rPr/>
            </w:pPr>
            <w:r>
              <w:rPr>
                <w:rFonts w:ascii="Symbol" w:hAnsi="Symbol"/>
              </w:rPr>
              <w:t>·</w:t>
            </w:r>
            <w:r>
              <w:rPr/>
              <w:t>         Undisclosed</w:t>
            </w:r>
          </w:p>
        </w:tc>
        <w:tc>
          <w:tcPr>
            <w:tcW w:w="3845" w:type="dxa"/>
            <w:gridSpan w:val="4"/>
            <w:tcBorders/>
            <w:shd w:fill="FFFFFF" w:val="clear"/>
            <w:tcMar>
              <w:bottom w:w="0" w:type="dxa"/>
            </w:tcMar>
            <w:vAlign w:val="center"/>
          </w:tcPr>
          <w:p>
            <w:pPr>
              <w:pStyle w:val="TableContents"/>
              <w:spacing w:before="0" w:after="283"/>
              <w:jc w:val="center"/>
              <w:rPr>
                <w:sz w:val="20"/>
              </w:rPr>
            </w:pPr>
            <w:r>
              <w:rPr>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nine current directors, approximately twenty-two percent identify as having at least one diversity characteristic (i.e., female, non-binary, LGBTQ+ and/or race or ethnicity other than white).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and early 2022, the Nomination and Governance Committee made a concerted effort to recruit new diverse directors to the Board culminating in the appointment of Ms. Goldstein and Ms. Wilber in March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name, age as of April 26, 2023, and certain biographical information for our current executive officer other than the Company’s Chief Executive Officer, Daniel S. Goldberger, whose information is set forth above in “Class I Directors (Terms Expiring in 2025).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Brian M. Posner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M. Posner, 61, has served as the Company’s Chief Financial Officer since April 2019. He joined the Company from Cellectar Biosciences, where he most recently served as chief financial officer from April 2018 to March 2019. Prior to Cellectar, Mr. Posner was chief financial officer at Alliqua BioMedical from 2013 to 2018, chief financial officer at Ocean Power Technologies from 2010 to 2013 and chief financial officer at Power Medical Interventions in 2009. Before such time, Mr. Posner spent nine years at Pharmacopeia from 1999 to 2008, where he served as director of finance before serving as chief financial officer from 2006 to 2008 upon Pharmacopeia’s acquisition by Ligand Pharmaceuticals. Before his employment with Pharmacopeia, Mr. Posner was chief financial officer and vice president of operations at Photosynthetic Harvest, a start-up biotechnology company, and regional chief financial officer at Omnicare. Mr. Posner began his career as an audit supervisor at Coopers &amp; Lybrand, which merged with Price Waterhouse to become PricewaterhouseCoopers. Mr. Posner earned an M.B.A. in Managerial Accounting from Pace University’s Lubin School of Business and a B.A. in Accounting from Queens College.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serve at the pleasure of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6 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35" w:name="a7"/>
      <w:bookmarkEnd w:id="35"/>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Operating and Governance Guidelines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Corporate Governance Guidelines to assure that the Board has the necessary authority and practices in place to review and evaluate the Company’s business operations as needed and can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the Company’s website at www.electrocore.com.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independent chairman, Mr. Cuneo,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The Company believes that separation of the positions of Board Chairman and Chief Executive Officer reinforces the independence of the Board in its oversight of the business and affairs of the Company. In addition, the Company believes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the Company’s stockholders. As a result, the Company believes that having an independent Board Chairman enhances the effectiveness of the Board as a whole.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Company’s directors and executive officers, except that Dr. Thomas J. Errico is the uncle of Joseph P. Errico nor have any of our executive officers or key employees been involved in a legal proceeding that would be required to be disclosed pursuant to Item 401(f) of Regulation S-K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is responsible for considering and discussing the Company’s major financial risk exposures and the Company’s risk assessment and risk management policies (including those related to data privacy, data security and cybersecurity). The Company’s audit committee also periodically reviews the general process for the oversight of risk management by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monitors compliance with legal and regulatory requirements and the effectiveness of the Company’s corporate governance practices, including whether they are successful in preventing illegal or improper liability-creating conduct. The Company’s nominating and governance committee is responsible for overseeing the Company’s risk management efforts generally, including the allocation of risk management functions among the Board and its committees. The Company’s compensation committee is responsible for assessing and monitoring whether any of the Company’s compensation policies and programs has the potential to encourage excessive risk-taking.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Governance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nominating and governance committee currently consists of three directors, Mr. Cuneo, Dr. Errico and Ms. Goldstein. Dr. Errico is the current chairman of the nominating and governance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7 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composition of the Company’s nominating and governance committee satisfies the applicable independence requirements under, and the functioning of the Company’s nominating and governance committee complies with, the applicable requirements of Nasdaq standards and SEC rules and regulations. All of the members of the Company’s nominating and governance committee satisfy the applicable independence requirements of the SEC and Nasdaq. The Company will continue to evaluate and will comply with all future requirements applicable to the Company’s nominating and governance committee. The nominating and governance committee’s responsibilities include: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annually reviewing the list of director selection criteria contained in the Company’s corporate governance guidelines, and making recommendations to the Board regarding necessary or appropriate changes thereto;</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identifying, reviewing and evaluating candidates, including candidates submitted by stockholders, for election to the Board and recommending to the Board (i) nominees to fill vacancies or new positions on the Board and (ii) the slate of nominees to stand for election by the Company’s stockholders at each annual meeting of stockholders;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annually recommending to the Board (i) the assignment of directors to serve on each committee; (ii) the chairman of each committee and (iii) the chairman of the Board or lead independent director, as appropriate; developing, recommending, overseeing the implementation of and monitoring compliance with, the Company’s corporate governance guidelines, and periodically reviewing and recommending any necessary or appropriate changes thereto; reviewing the adequacy of the Company’s certificate of incorporation and bylaws and recommending to the Board, as conditions dictate, amendments for consideration by the stockholders; and</w:t>
            </w:r>
          </w:p>
        </w:tc>
      </w:tr>
    </w:tbl>
    <w:p>
      <w:pPr>
        <w:pStyle w:val="TextBody"/>
        <w:spacing w:before="0" w:after="0"/>
        <w:rPr>
          <w:caps w:val="false"/>
          <w:smallCaps w:val="false"/>
        </w:rPr>
      </w:pPr>
      <w:r>
        <w:rPr>
          <w:caps w:val="false"/>
          <w:smallCaps w:val="false"/>
        </w:rPr>
        <w:t> </w:t>
      </w:r>
    </w:p>
    <w:tbl>
      <w:tblPr>
        <w:tblW w:w="4323" w:type="dxa"/>
        <w:jc w:val="left"/>
        <w:tblInd w:w="0" w:type="dxa"/>
        <w:tblCellMar>
          <w:top w:w="0" w:type="dxa"/>
          <w:left w:w="0" w:type="dxa"/>
          <w:bottom w:w="0" w:type="dxa"/>
          <w:right w:w="0" w:type="dxa"/>
        </w:tblCellMar>
      </w:tblPr>
      <w:tblGrid>
        <w:gridCol w:w="38"/>
        <w:gridCol w:w="125"/>
        <w:gridCol w:w="416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4160" w:type="dxa"/>
            <w:tcBorders/>
            <w:shd w:fill="auto" w:val="clear"/>
            <w:vAlign w:val="center"/>
          </w:tcPr>
          <w:p>
            <w:pPr>
              <w:pStyle w:val="TableContents"/>
              <w:spacing w:before="0" w:after="283"/>
              <w:jc w:val="both"/>
              <w:rPr/>
            </w:pPr>
            <w:r>
              <w:rPr/>
              <w:t>such other matters as directed by the Board.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believes that candidates for director should have certain minimum qualifications, which are described in the Company’s Corporate Governance Guidelines. The nominating and governance committee also takes these minimum qualifications into account in identifying and evaluating director nominees, including nominees recommended by stockholders. In identifying director nominees, the nominating and governance committee strives for a diverse mix of backgrounds and expertise that enhances the ability of the directors collectively to understand the issues facing the Company and to fulfill the responsibilities of the Board and its committees. During 2021 and early 2022, the Nomination and Governance Committee made a concerted effort to recruit diverse directors to the Board culminating in the appointment of Ms. Goldstein and Ms. Wilber in March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reviews the Company’s internal accounting procedures and consults with and reviews the services provided by the Company’s independent registered public accountants. The Company’s audit committee currently consists of three directors, Mr. Gandolfo, Mr. Patton and Ms. Wilber. Mr. Patton is the chairman of the audit committee and the Board has determined that Mr. Gandolfo and Mr. Patton are each an “audit committee financial expert” as defined by SEC rules and regulations. The Board has determined that each of the members of the Company’s audit committee is independent under Nasdaq listing rules and under Rule 10A-3 under the Exchange Act. The Company intends to continue to evaluate the requirements applicable to it and intends to comply with the future requirements to the extent that they become applicable to the Company’s audit committee. The principal duties and responsibilities of the Company’s audit committee include: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appointing, compensating, retaining, evaluating, terminating and overseeing the Company’s independent registered public accounting firm;</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discussing with the Company’s independent registered public accounting firm their independence from management and the Company;</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reviewing with the Company’s independent registered public accounting firm the scope and results of their audit;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approving all audit and permissible non-audit services to be performed by the Company’s independent registered public accounting firm and related fees;</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8 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overseeing the financial reporting process and discussing with management and the Company’s independent registered public accounting firm the interim and annual financial statements that the Company files with the SEC;</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reviewing and monitoring the Company’s accounting principles, accounting policies, financial and accounting controls and compliance with legal and regulatory requirements;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establishing procedures for the confidential anonymous submission of concerns regarding questionable accounting, internal control or auditing matters;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reviewing the Company’s code of business conduct and ethics and recommending any changes to the Board;</w:t>
            </w:r>
          </w:p>
        </w:tc>
      </w:tr>
    </w:tbl>
    <w:p>
      <w:pPr>
        <w:pStyle w:val="TextBody"/>
        <w:spacing w:before="0" w:after="0"/>
        <w:rPr>
          <w:caps w:val="false"/>
          <w:smallCaps w:val="false"/>
        </w:rPr>
      </w:pPr>
      <w:r>
        <w:rPr>
          <w:caps w:val="false"/>
          <w:smallCaps w:val="false"/>
        </w:rPr>
        <w:t> </w:t>
      </w:r>
    </w:p>
    <w:tbl>
      <w:tblPr>
        <w:tblW w:w="6123" w:type="dxa"/>
        <w:jc w:val="left"/>
        <w:tblInd w:w="0" w:type="dxa"/>
        <w:tblCellMar>
          <w:top w:w="0" w:type="dxa"/>
          <w:left w:w="0" w:type="dxa"/>
          <w:bottom w:w="0" w:type="dxa"/>
          <w:right w:w="0" w:type="dxa"/>
        </w:tblCellMar>
      </w:tblPr>
      <w:tblGrid>
        <w:gridCol w:w="38"/>
        <w:gridCol w:w="125"/>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5960" w:type="dxa"/>
            <w:tcBorders/>
            <w:shd w:fill="auto" w:val="clear"/>
            <w:vAlign w:val="center"/>
          </w:tcPr>
          <w:p>
            <w:pPr>
              <w:pStyle w:val="TableContents"/>
              <w:spacing w:before="0" w:after="283"/>
              <w:jc w:val="both"/>
              <w:rPr/>
            </w:pPr>
            <w:r>
              <w:rPr/>
              <w:t>reviewing and approving certain related party transactions;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discussing the Company’s major financial risk exposures (including those related to data privacy, data security and network security) and management's program to monitor, assess and control such exposures, including the Company’s risk assessment and risk management policies.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reviews and determines the compensation of the Company’s executive officers. The Company’s compensation committee currently consists of three directors, Dr. Errico, Mr. Moody and Mr. Gandolfo, each of whom is a non-employee member of the Board as defined in Rule 16b-3 under the Exchange Act. Mr. Moody is the chairman of the compensation committee. The Board has determined that the composition of the Company’s compensation committee satisfies the applicable independence requirements under, and the functioning of the Company’s compensation committee complies with the applicable requirements of, Nasdaq rules and SEC rules and regulations. The Company intends to continue to evaluate and intends to comply with all future requirements applicable to its compensation committee. The principal duties and responsibilities of the Company’s compensation committee include: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establishing, approving, and making recommendations to the Board regarding performance goals and objectives relevant to the compensation of the Company’s chief executive officer, evaluating the performance of the Company’s chief executive officer in light of those goals and objectives and recommending to the full Board for approval, the chief executive officer’s compensation, including incentive-based and equity-based compensation, based on that evaluation;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setting the compensation of the Company’s other executive officers, based in part on recommendations of the chief executive officer;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reviewing, approving, and making recommendations to the Board regarding employment agreements, severance arrangements and change of control agreements for the chief executive officer and other executive officers, as appropriate;</w:t>
            </w:r>
          </w:p>
        </w:tc>
      </w:tr>
    </w:tbl>
    <w:p>
      <w:pPr>
        <w:pStyle w:val="TextBody"/>
        <w:spacing w:before="0" w:after="0"/>
        <w:rPr>
          <w:caps w:val="false"/>
          <w:smallCaps w:val="false"/>
        </w:rPr>
      </w:pPr>
      <w:r>
        <w:rPr>
          <w:caps w:val="false"/>
          <w:smallCaps w:val="false"/>
        </w:rPr>
        <w:t> </w:t>
      </w:r>
    </w:p>
    <w:tbl>
      <w:tblPr>
        <w:tblW w:w="9348" w:type="dxa"/>
        <w:jc w:val="left"/>
        <w:tblInd w:w="0" w:type="dxa"/>
        <w:tblCellMar>
          <w:top w:w="0" w:type="dxa"/>
          <w:left w:w="0" w:type="dxa"/>
          <w:bottom w:w="0" w:type="dxa"/>
          <w:right w:w="0" w:type="dxa"/>
        </w:tblCellMar>
      </w:tblPr>
      <w:tblGrid>
        <w:gridCol w:w="38"/>
        <w:gridCol w:w="125"/>
        <w:gridCol w:w="918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5" w:type="dxa"/>
            <w:tcBorders/>
            <w:shd w:fill="auto" w:val="clear"/>
            <w:vAlign w:val="center"/>
          </w:tcPr>
          <w:p>
            <w:pPr>
              <w:pStyle w:val="TableContents"/>
              <w:spacing w:before="0" w:after="283"/>
              <w:jc w:val="both"/>
              <w:rPr/>
            </w:pPr>
            <w:r>
              <w:rPr/>
              <w:t>exercising administrative authority under the Company’s stock plans and employee benefit plans;</w:t>
            </w:r>
          </w:p>
        </w:tc>
      </w:tr>
    </w:tbl>
    <w:p>
      <w:pPr>
        <w:pStyle w:val="TextBody"/>
        <w:spacing w:before="0" w:after="0"/>
        <w:rPr>
          <w:caps w:val="false"/>
          <w:smallCaps w:val="false"/>
        </w:rPr>
      </w:pPr>
      <w:r>
        <w:rPr>
          <w:caps w:val="false"/>
          <w:smallCaps w:val="false"/>
        </w:rPr>
        <w:t> </w:t>
      </w:r>
    </w:p>
    <w:tbl>
      <w:tblPr>
        <w:tblW w:w="9378" w:type="dxa"/>
        <w:jc w:val="left"/>
        <w:tblInd w:w="0" w:type="dxa"/>
        <w:tblCellMar>
          <w:top w:w="0" w:type="dxa"/>
          <w:left w:w="0" w:type="dxa"/>
          <w:bottom w:w="0" w:type="dxa"/>
          <w:right w:w="0" w:type="dxa"/>
        </w:tblCellMar>
      </w:tblPr>
      <w:tblGrid>
        <w:gridCol w:w="38"/>
        <w:gridCol w:w="125"/>
        <w:gridCol w:w="921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215" w:type="dxa"/>
            <w:tcBorders/>
            <w:shd w:fill="auto" w:val="clear"/>
            <w:vAlign w:val="center"/>
          </w:tcPr>
          <w:p>
            <w:pPr>
              <w:pStyle w:val="TableContents"/>
              <w:spacing w:before="0" w:after="283"/>
              <w:jc w:val="both"/>
              <w:rPr/>
            </w:pPr>
            <w:r>
              <w:rPr/>
              <w:t>establishing policies and making recommendations to the Board regarding director compensation;</w:t>
            </w:r>
          </w:p>
        </w:tc>
      </w:tr>
    </w:tbl>
    <w:p>
      <w:pPr>
        <w:pStyle w:val="TextBody"/>
        <w:spacing w:before="0" w:after="0"/>
        <w:rPr>
          <w:caps w:val="false"/>
          <w:smallCaps w:val="false"/>
        </w:rPr>
      </w:pPr>
      <w:r>
        <w:rPr>
          <w:caps w:val="false"/>
          <w:smallCaps w:val="false"/>
        </w:rPr>
        <w:t> </w:t>
      </w:r>
    </w:p>
    <w:tbl>
      <w:tblPr>
        <w:tblW w:w="5718" w:type="dxa"/>
        <w:jc w:val="left"/>
        <w:tblInd w:w="0" w:type="dxa"/>
        <w:tblCellMar>
          <w:top w:w="0" w:type="dxa"/>
          <w:left w:w="0" w:type="dxa"/>
          <w:bottom w:w="0" w:type="dxa"/>
          <w:right w:w="0" w:type="dxa"/>
        </w:tblCellMar>
      </w:tblPr>
      <w:tblGrid>
        <w:gridCol w:w="38"/>
        <w:gridCol w:w="125"/>
        <w:gridCol w:w="555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5555" w:type="dxa"/>
            <w:tcBorders/>
            <w:shd w:fill="auto" w:val="clear"/>
            <w:vAlign w:val="center"/>
          </w:tcPr>
          <w:p>
            <w:pPr>
              <w:pStyle w:val="TableContents"/>
              <w:spacing w:before="0" w:after="283"/>
              <w:jc w:val="both"/>
              <w:rPr/>
            </w:pPr>
            <w:r>
              <w:rPr/>
              <w:t>reviewing compensation plans, programs and policies;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handling such other matters that are specifically delegated to the compensation committee by the Board from time to time.</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9 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the expense of the Company, advice and assistance from any consultants, independent legal counsel or other advisors.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and 2021, the compensation committee in its discretion did not engage a compensation consultant.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the compensation consultant, including analyses of executive and director compensation paid at other companies identified by the consultant to be comparable to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five times during 2022. Each Board member attended 75% or more of the aggregate number of meetings of the Board and of the committee(s) on which he or she served, that were held during the portion of 2022 for which he or she was a director or committee member.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rules require that the non-management directors of the board meet at regularly scheduled executive sessions, without management present, in order to empower the non-management directors to serve as a more effective check on management. During 2022, the Company’s non-management directors met in executive session, without management present, at the end of regularly scheduled board meetings or during scheduled executive session calls. Mr. Cuneo, the Company’s current Board Chairman, presided over the executive sessions.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Committees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membership and meeting information for 2022 for each of the Board’s standing committees.</w:t>
      </w:r>
    </w:p>
    <w:p>
      <w:pPr>
        <w:pStyle w:val="TextBody"/>
        <w:spacing w:before="0" w:after="0"/>
        <w:ind w:left="0" w:right="0" w:hanging="0"/>
        <w:jc w:val="both"/>
        <w:rPr>
          <w:caps w:val="false"/>
          <w:smallCaps w:val="false"/>
        </w:rPr>
      </w:pPr>
      <w:r>
        <w:rPr>
          <w:caps w:val="false"/>
          <w:smallCaps w:val="false"/>
        </w:rPr>
        <w:t> </w:t>
      </w:r>
    </w:p>
    <w:tbl>
      <w:tblPr>
        <w:tblW w:w="9497" w:type="dxa"/>
        <w:jc w:val="left"/>
        <w:tblInd w:w="0" w:type="dxa"/>
        <w:tblCellMar>
          <w:top w:w="0" w:type="dxa"/>
          <w:left w:w="0" w:type="dxa"/>
          <w:bottom w:w="28" w:type="dxa"/>
          <w:right w:w="0" w:type="dxa"/>
        </w:tblCellMar>
      </w:tblPr>
      <w:tblGrid>
        <w:gridCol w:w="2345"/>
        <w:gridCol w:w="60"/>
        <w:gridCol w:w="806"/>
        <w:gridCol w:w="653"/>
        <w:gridCol w:w="60"/>
        <w:gridCol w:w="1222"/>
        <w:gridCol w:w="987"/>
        <w:gridCol w:w="60"/>
        <w:gridCol w:w="1735"/>
        <w:gridCol w:w="1569"/>
      </w:tblGrid>
      <w:tr>
        <w:trPr/>
        <w:tc>
          <w:tcPr>
            <w:tcW w:w="2345"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1459" w:type="dxa"/>
            <w:gridSpan w:val="2"/>
            <w:tcBorders>
              <w:bottom w:val="single" w:sz="8" w:space="0" w:color="000000"/>
            </w:tcBorders>
            <w:shd w:fill="auto" w:val="clear"/>
            <w:vAlign w:val="center"/>
          </w:tcPr>
          <w:p>
            <w:pPr>
              <w:pStyle w:val="TableContents"/>
              <w:spacing w:before="0" w:after="283"/>
              <w:jc w:val="center"/>
              <w:rPr>
                <w:b/>
                <w:sz w:val="20"/>
              </w:rPr>
            </w:pPr>
            <w:r>
              <w:rPr>
                <w:b/>
                <w:sz w:val="20"/>
              </w:rPr>
              <w:t>Audit Committee</w:t>
            </w:r>
          </w:p>
        </w:tc>
        <w:tc>
          <w:tcPr>
            <w:tcW w:w="60" w:type="dxa"/>
            <w:tcBorders/>
            <w:shd w:fill="auto" w:val="clear"/>
            <w:tcMar>
              <w:bottom w:w="0" w:type="dxa"/>
            </w:tcMar>
            <w:vAlign w:val="center"/>
          </w:tcPr>
          <w:p>
            <w:pPr>
              <w:pStyle w:val="TableContents"/>
              <w:spacing w:before="0" w:after="283"/>
              <w:jc w:val="center"/>
              <w:rPr/>
            </w:pPr>
            <w:r>
              <w:rPr/>
              <w:t> </w:t>
            </w:r>
          </w:p>
        </w:tc>
        <w:tc>
          <w:tcPr>
            <w:tcW w:w="2209" w:type="dxa"/>
            <w:gridSpan w:val="2"/>
            <w:tcBorders>
              <w:bottom w:val="single" w:sz="8" w:space="0" w:color="000000"/>
            </w:tcBorders>
            <w:shd w:fill="auto" w:val="clear"/>
            <w:vAlign w:val="center"/>
          </w:tcPr>
          <w:p>
            <w:pPr>
              <w:pStyle w:val="TableContents"/>
              <w:spacing w:before="0" w:after="283"/>
              <w:jc w:val="center"/>
              <w:rPr>
                <w:b/>
                <w:sz w:val="20"/>
              </w:rPr>
            </w:pPr>
            <w:r>
              <w:rPr>
                <w:b/>
                <w:sz w:val="20"/>
              </w:rPr>
              <w:t>Compensation Committee</w:t>
            </w:r>
          </w:p>
        </w:tc>
        <w:tc>
          <w:tcPr>
            <w:tcW w:w="60" w:type="dxa"/>
            <w:tcBorders/>
            <w:shd w:fill="auto" w:val="clear"/>
            <w:tcMar>
              <w:bottom w:w="0" w:type="dxa"/>
            </w:tcMar>
            <w:vAlign w:val="center"/>
          </w:tcPr>
          <w:p>
            <w:pPr>
              <w:pStyle w:val="TableContents"/>
              <w:spacing w:before="0" w:after="283"/>
              <w:jc w:val="center"/>
              <w:rPr/>
            </w:pPr>
            <w:r>
              <w:rPr/>
              <w:t> </w:t>
            </w:r>
          </w:p>
        </w:tc>
        <w:tc>
          <w:tcPr>
            <w:tcW w:w="3304" w:type="dxa"/>
            <w:gridSpan w:val="2"/>
            <w:tcBorders>
              <w:bottom w:val="single" w:sz="8" w:space="0" w:color="000000"/>
            </w:tcBorders>
            <w:shd w:fill="auto" w:val="clear"/>
            <w:vAlign w:val="center"/>
          </w:tcPr>
          <w:p>
            <w:pPr>
              <w:pStyle w:val="TableContents"/>
              <w:spacing w:before="0" w:after="283"/>
              <w:jc w:val="center"/>
              <w:rPr>
                <w:b/>
                <w:sz w:val="20"/>
              </w:rPr>
            </w:pPr>
            <w:r>
              <w:rPr>
                <w:b/>
                <w:sz w:val="20"/>
              </w:rPr>
              <w:t>Nominating &amp; Governance Committee</w:t>
            </w:r>
          </w:p>
        </w:tc>
      </w:tr>
      <w:tr>
        <w:trPr/>
        <w:tc>
          <w:tcPr>
            <w:tcW w:w="2345" w:type="dxa"/>
            <w:tcBorders/>
            <w:shd w:fill="CCEEFF" w:val="clear"/>
            <w:tcMar>
              <w:bottom w:w="0" w:type="dxa"/>
            </w:tcMar>
            <w:vAlign w:val="center"/>
          </w:tcPr>
          <w:p>
            <w:pPr>
              <w:pStyle w:val="TableContents"/>
              <w:spacing w:before="0" w:after="283"/>
              <w:rPr>
                <w:sz w:val="20"/>
              </w:rPr>
            </w:pPr>
            <w:r>
              <w:rPr>
                <w:sz w:val="20"/>
              </w:rPr>
              <w:t>Michael G. Atieh</w:t>
            </w:r>
            <w:r>
              <w:rPr>
                <w:position w:val="7"/>
                <w:sz w:val="16"/>
                <w:sz w:val="20"/>
              </w:rPr>
              <w:t>(1)</w:t>
            </w:r>
          </w:p>
        </w:tc>
        <w:tc>
          <w:tcPr>
            <w:tcW w:w="60" w:type="dxa"/>
            <w:tcBorders/>
            <w:shd w:fill="CCEEFF" w:val="clear"/>
            <w:tcMar>
              <w:bottom w:w="0" w:type="dxa"/>
            </w:tcMar>
            <w:vAlign w:val="center"/>
          </w:tcPr>
          <w:p>
            <w:pPr>
              <w:pStyle w:val="TableContents"/>
              <w:spacing w:before="0" w:after="283"/>
              <w:jc w:val="center"/>
              <w:rPr/>
            </w:pPr>
            <w:r>
              <w:rPr/>
              <w:t> </w:t>
            </w:r>
          </w:p>
        </w:tc>
        <w:tc>
          <w:tcPr>
            <w:tcW w:w="806" w:type="dxa"/>
            <w:tcBorders/>
            <w:shd w:fill="CCEEFF" w:val="clear"/>
            <w:tcMar>
              <w:bottom w:w="0" w:type="dxa"/>
            </w:tcMar>
            <w:vAlign w:val="center"/>
          </w:tcPr>
          <w:p>
            <w:pPr>
              <w:pStyle w:val="TableContents"/>
              <w:spacing w:before="0" w:after="283"/>
              <w:jc w:val="right"/>
              <w:rPr>
                <w:sz w:val="20"/>
              </w:rPr>
            </w:pPr>
            <w:r>
              <w:rPr>
                <w:sz w:val="20"/>
              </w:rPr>
              <w:t>X</w:t>
            </w:r>
          </w:p>
        </w:tc>
        <w:tc>
          <w:tcPr>
            <w:tcW w:w="65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222" w:type="dxa"/>
            <w:tcBorders/>
            <w:shd w:fill="CCEEFF" w:val="clear"/>
            <w:tcMar>
              <w:bottom w:w="0" w:type="dxa"/>
            </w:tcMar>
            <w:vAlign w:val="center"/>
          </w:tcPr>
          <w:p>
            <w:pPr>
              <w:pStyle w:val="TableContents"/>
              <w:spacing w:before="0" w:after="283"/>
              <w:jc w:val="right"/>
              <w:rPr/>
            </w:pPr>
            <w:r>
              <w:rPr/>
              <w:t> </w:t>
            </w:r>
          </w:p>
        </w:tc>
        <w:tc>
          <w:tcPr>
            <w:tcW w:w="9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735" w:type="dxa"/>
            <w:tcBorders/>
            <w:shd w:fill="CCEEFF" w:val="clear"/>
            <w:tcMar>
              <w:bottom w:w="0" w:type="dxa"/>
            </w:tcMar>
            <w:vAlign w:val="center"/>
          </w:tcPr>
          <w:p>
            <w:pPr>
              <w:pStyle w:val="TableContents"/>
              <w:spacing w:before="0" w:after="283"/>
              <w:jc w:val="right"/>
              <w:rPr>
                <w:sz w:val="20"/>
              </w:rPr>
            </w:pPr>
            <w:r>
              <w:rPr>
                <w:sz w:val="20"/>
              </w:rPr>
              <w:t>X</w:t>
            </w:r>
          </w:p>
        </w:tc>
        <w:tc>
          <w:tcPr>
            <w:tcW w:w="1569" w:type="dxa"/>
            <w:tcBorders/>
            <w:shd w:fill="CCEEFF" w:val="clear"/>
            <w:tcMar>
              <w:bottom w:w="0" w:type="dxa"/>
            </w:tcMar>
            <w:vAlign w:val="center"/>
          </w:tcPr>
          <w:p>
            <w:pPr>
              <w:pStyle w:val="TableContents"/>
              <w:spacing w:before="0" w:after="283"/>
              <w:rPr/>
            </w:pPr>
            <w:r>
              <w:rPr/>
              <w:t> </w:t>
            </w:r>
          </w:p>
        </w:tc>
      </w:tr>
      <w:tr>
        <w:trPr/>
        <w:tc>
          <w:tcPr>
            <w:tcW w:w="2345" w:type="dxa"/>
            <w:tcBorders/>
            <w:shd w:fill="FFFFFF" w:val="clear"/>
            <w:tcMar>
              <w:bottom w:w="0" w:type="dxa"/>
            </w:tcMar>
            <w:vAlign w:val="center"/>
          </w:tcPr>
          <w:p>
            <w:pPr>
              <w:pStyle w:val="TableContents"/>
              <w:spacing w:before="0" w:after="283"/>
              <w:rPr>
                <w:sz w:val="20"/>
              </w:rPr>
            </w:pPr>
            <w:r>
              <w:rPr>
                <w:sz w:val="20"/>
              </w:rPr>
              <w:t>Peter Cuneo</w:t>
            </w:r>
          </w:p>
        </w:tc>
        <w:tc>
          <w:tcPr>
            <w:tcW w:w="60" w:type="dxa"/>
            <w:tcBorders/>
            <w:shd w:fill="FFFFFF" w:val="clear"/>
            <w:tcMar>
              <w:bottom w:w="0" w:type="dxa"/>
            </w:tcMar>
            <w:vAlign w:val="center"/>
          </w:tcPr>
          <w:p>
            <w:pPr>
              <w:pStyle w:val="TableContents"/>
              <w:spacing w:before="0" w:after="283"/>
              <w:jc w:val="center"/>
              <w:rPr/>
            </w:pPr>
            <w:r>
              <w:rPr/>
              <w:t> </w:t>
            </w:r>
          </w:p>
        </w:tc>
        <w:tc>
          <w:tcPr>
            <w:tcW w:w="806" w:type="dxa"/>
            <w:tcBorders/>
            <w:shd w:fill="FFFFFF" w:val="clear"/>
            <w:tcMar>
              <w:bottom w:w="0" w:type="dxa"/>
            </w:tcMar>
            <w:vAlign w:val="center"/>
          </w:tcPr>
          <w:p>
            <w:pPr>
              <w:pStyle w:val="TableContents"/>
              <w:spacing w:before="0" w:after="283"/>
              <w:jc w:val="right"/>
              <w:rPr>
                <w:sz w:val="20"/>
              </w:rPr>
            </w:pPr>
            <w:r>
              <w:rPr>
                <w:sz w:val="20"/>
              </w:rPr>
              <w:t>X</w:t>
            </w:r>
          </w:p>
        </w:tc>
        <w:tc>
          <w:tcPr>
            <w:tcW w:w="6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222" w:type="dxa"/>
            <w:tcBorders/>
            <w:shd w:fill="FFFFFF" w:val="clear"/>
            <w:tcMar>
              <w:bottom w:w="0" w:type="dxa"/>
            </w:tcMar>
            <w:vAlign w:val="center"/>
          </w:tcPr>
          <w:p>
            <w:pPr>
              <w:pStyle w:val="TableContents"/>
              <w:spacing w:before="0" w:after="283"/>
              <w:jc w:val="right"/>
              <w:rPr>
                <w:sz w:val="20"/>
              </w:rPr>
            </w:pPr>
            <w:r>
              <w:rPr>
                <w:sz w:val="20"/>
              </w:rPr>
              <w:t>X</w:t>
            </w:r>
          </w:p>
        </w:tc>
        <w:tc>
          <w:tcPr>
            <w:tcW w:w="9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735" w:type="dxa"/>
            <w:tcBorders/>
            <w:shd w:fill="FFFFFF" w:val="clear"/>
            <w:tcMar>
              <w:bottom w:w="0" w:type="dxa"/>
            </w:tcMar>
            <w:vAlign w:val="center"/>
          </w:tcPr>
          <w:p>
            <w:pPr>
              <w:pStyle w:val="TableContents"/>
              <w:spacing w:before="0" w:after="283"/>
              <w:jc w:val="right"/>
              <w:rPr>
                <w:sz w:val="20"/>
              </w:rPr>
            </w:pPr>
            <w:r>
              <w:rPr>
                <w:sz w:val="20"/>
              </w:rPr>
              <w:t>X</w:t>
            </w:r>
          </w:p>
        </w:tc>
        <w:tc>
          <w:tcPr>
            <w:tcW w:w="1569" w:type="dxa"/>
            <w:tcBorders/>
            <w:shd w:fill="FFFFFF" w:val="clear"/>
            <w:tcMar>
              <w:bottom w:w="0" w:type="dxa"/>
            </w:tcMar>
            <w:vAlign w:val="center"/>
          </w:tcPr>
          <w:p>
            <w:pPr>
              <w:pStyle w:val="TableContents"/>
              <w:spacing w:before="0" w:after="283"/>
              <w:rPr/>
            </w:pPr>
            <w:r>
              <w:rPr/>
              <w:t> </w:t>
            </w:r>
          </w:p>
        </w:tc>
      </w:tr>
      <w:tr>
        <w:trPr/>
        <w:tc>
          <w:tcPr>
            <w:tcW w:w="2345" w:type="dxa"/>
            <w:tcBorders/>
            <w:shd w:fill="CCEEFF" w:val="clear"/>
            <w:tcMar>
              <w:bottom w:w="0" w:type="dxa"/>
            </w:tcMar>
            <w:vAlign w:val="center"/>
          </w:tcPr>
          <w:p>
            <w:pPr>
              <w:pStyle w:val="TableContents"/>
              <w:spacing w:before="0" w:after="283"/>
              <w:rPr>
                <w:sz w:val="20"/>
              </w:rPr>
            </w:pPr>
            <w:r>
              <w:rPr>
                <w:sz w:val="20"/>
              </w:rPr>
              <w:t>Thomas J. Errico, M.D</w:t>
            </w:r>
          </w:p>
        </w:tc>
        <w:tc>
          <w:tcPr>
            <w:tcW w:w="60" w:type="dxa"/>
            <w:tcBorders/>
            <w:shd w:fill="CCEEFF" w:val="clear"/>
            <w:tcMar>
              <w:bottom w:w="0" w:type="dxa"/>
            </w:tcMar>
            <w:vAlign w:val="center"/>
          </w:tcPr>
          <w:p>
            <w:pPr>
              <w:pStyle w:val="TableContents"/>
              <w:spacing w:before="0" w:after="283"/>
              <w:jc w:val="center"/>
              <w:rPr/>
            </w:pPr>
            <w:r>
              <w:rPr/>
              <w:t> </w:t>
            </w:r>
          </w:p>
        </w:tc>
        <w:tc>
          <w:tcPr>
            <w:tcW w:w="806" w:type="dxa"/>
            <w:tcBorders/>
            <w:shd w:fill="CCEEFF" w:val="clear"/>
            <w:tcMar>
              <w:bottom w:w="0" w:type="dxa"/>
            </w:tcMar>
            <w:vAlign w:val="center"/>
          </w:tcPr>
          <w:p>
            <w:pPr>
              <w:pStyle w:val="TableContents"/>
              <w:spacing w:before="0" w:after="283"/>
              <w:jc w:val="right"/>
              <w:rPr/>
            </w:pPr>
            <w:r>
              <w:rPr/>
              <w:t> </w:t>
            </w:r>
          </w:p>
        </w:tc>
        <w:tc>
          <w:tcPr>
            <w:tcW w:w="65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222" w:type="dxa"/>
            <w:tcBorders/>
            <w:shd w:fill="CCEEFF" w:val="clear"/>
            <w:tcMar>
              <w:bottom w:w="0" w:type="dxa"/>
            </w:tcMar>
            <w:vAlign w:val="center"/>
          </w:tcPr>
          <w:p>
            <w:pPr>
              <w:pStyle w:val="TableContents"/>
              <w:spacing w:before="0" w:after="283"/>
              <w:jc w:val="right"/>
              <w:rPr>
                <w:sz w:val="20"/>
              </w:rPr>
            </w:pPr>
            <w:r>
              <w:rPr>
                <w:sz w:val="20"/>
              </w:rPr>
              <w:t>X</w:t>
            </w:r>
          </w:p>
        </w:tc>
        <w:tc>
          <w:tcPr>
            <w:tcW w:w="9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735" w:type="dxa"/>
            <w:tcBorders/>
            <w:shd w:fill="CCEEFF" w:val="clear"/>
            <w:tcMar>
              <w:bottom w:w="0" w:type="dxa"/>
            </w:tcMar>
            <w:vAlign w:val="center"/>
          </w:tcPr>
          <w:p>
            <w:pPr>
              <w:pStyle w:val="TableContents"/>
              <w:spacing w:before="0" w:after="283"/>
              <w:jc w:val="right"/>
              <w:rPr>
                <w:sz w:val="20"/>
              </w:rPr>
            </w:pPr>
            <w:r>
              <w:rPr>
                <w:sz w:val="20"/>
              </w:rPr>
              <w:t>X</w:t>
            </w:r>
          </w:p>
        </w:tc>
        <w:tc>
          <w:tcPr>
            <w:tcW w:w="1569" w:type="dxa"/>
            <w:tcBorders/>
            <w:shd w:fill="CCEEFF" w:val="clear"/>
            <w:tcMar>
              <w:bottom w:w="0" w:type="dxa"/>
            </w:tcMar>
            <w:vAlign w:val="center"/>
          </w:tcPr>
          <w:p>
            <w:pPr>
              <w:pStyle w:val="TableContents"/>
              <w:spacing w:before="0" w:after="283"/>
              <w:rPr>
                <w:sz w:val="20"/>
              </w:rPr>
            </w:pPr>
            <w:r>
              <w:rPr>
                <w:sz w:val="20"/>
              </w:rPr>
              <w:t>*</w:t>
            </w:r>
          </w:p>
        </w:tc>
      </w:tr>
      <w:tr>
        <w:trPr/>
        <w:tc>
          <w:tcPr>
            <w:tcW w:w="2345" w:type="dxa"/>
            <w:tcBorders/>
            <w:shd w:fill="FFFFFF" w:val="clear"/>
            <w:tcMar>
              <w:bottom w:w="0" w:type="dxa"/>
            </w:tcMar>
            <w:vAlign w:val="center"/>
          </w:tcPr>
          <w:p>
            <w:pPr>
              <w:pStyle w:val="TableContents"/>
              <w:spacing w:before="0" w:after="283"/>
              <w:rPr>
                <w:sz w:val="20"/>
              </w:rPr>
            </w:pPr>
            <w:r>
              <w:rPr>
                <w:sz w:val="20"/>
              </w:rPr>
              <w:t>John P. Gandolfo</w:t>
            </w:r>
          </w:p>
        </w:tc>
        <w:tc>
          <w:tcPr>
            <w:tcW w:w="60" w:type="dxa"/>
            <w:tcBorders/>
            <w:shd w:fill="FFFFFF" w:val="clear"/>
            <w:tcMar>
              <w:bottom w:w="0" w:type="dxa"/>
            </w:tcMar>
            <w:vAlign w:val="center"/>
          </w:tcPr>
          <w:p>
            <w:pPr>
              <w:pStyle w:val="TableContents"/>
              <w:spacing w:before="0" w:after="283"/>
              <w:jc w:val="center"/>
              <w:rPr/>
            </w:pPr>
            <w:r>
              <w:rPr/>
              <w:t> </w:t>
            </w:r>
          </w:p>
        </w:tc>
        <w:tc>
          <w:tcPr>
            <w:tcW w:w="806" w:type="dxa"/>
            <w:tcBorders/>
            <w:shd w:fill="FFFFFF" w:val="clear"/>
            <w:tcMar>
              <w:bottom w:w="0" w:type="dxa"/>
            </w:tcMar>
            <w:vAlign w:val="center"/>
          </w:tcPr>
          <w:p>
            <w:pPr>
              <w:pStyle w:val="TableContents"/>
              <w:spacing w:before="0" w:after="283"/>
              <w:jc w:val="right"/>
              <w:rPr>
                <w:sz w:val="20"/>
              </w:rPr>
            </w:pPr>
            <w:r>
              <w:rPr>
                <w:sz w:val="20"/>
              </w:rPr>
              <w:t>X</w:t>
            </w:r>
          </w:p>
        </w:tc>
        <w:tc>
          <w:tcPr>
            <w:tcW w:w="6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222" w:type="dxa"/>
            <w:tcBorders/>
            <w:shd w:fill="FFFFFF" w:val="clear"/>
            <w:tcMar>
              <w:bottom w:w="0" w:type="dxa"/>
            </w:tcMar>
            <w:vAlign w:val="center"/>
          </w:tcPr>
          <w:p>
            <w:pPr>
              <w:pStyle w:val="TableContents"/>
              <w:spacing w:before="0" w:after="283"/>
              <w:jc w:val="right"/>
              <w:rPr>
                <w:sz w:val="20"/>
              </w:rPr>
            </w:pPr>
            <w:r>
              <w:rPr>
                <w:sz w:val="20"/>
              </w:rPr>
              <w:t>X</w:t>
            </w:r>
          </w:p>
        </w:tc>
        <w:tc>
          <w:tcPr>
            <w:tcW w:w="9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735" w:type="dxa"/>
            <w:tcBorders/>
            <w:shd w:fill="FFFFFF" w:val="clear"/>
            <w:tcMar>
              <w:bottom w:w="0" w:type="dxa"/>
            </w:tcMar>
            <w:vAlign w:val="center"/>
          </w:tcPr>
          <w:p>
            <w:pPr>
              <w:pStyle w:val="TableContents"/>
              <w:spacing w:before="0" w:after="283"/>
              <w:jc w:val="right"/>
              <w:rPr/>
            </w:pPr>
            <w:r>
              <w:rPr/>
              <w:t> </w:t>
            </w:r>
          </w:p>
        </w:tc>
        <w:tc>
          <w:tcPr>
            <w:tcW w:w="1569" w:type="dxa"/>
            <w:tcBorders/>
            <w:shd w:fill="FFFFFF" w:val="clear"/>
            <w:tcMar>
              <w:bottom w:w="0" w:type="dxa"/>
            </w:tcMar>
            <w:vAlign w:val="center"/>
          </w:tcPr>
          <w:p>
            <w:pPr>
              <w:pStyle w:val="TableContents"/>
              <w:spacing w:before="0" w:after="283"/>
              <w:rPr/>
            </w:pPr>
            <w:r>
              <w:rPr/>
              <w:t> </w:t>
            </w:r>
          </w:p>
        </w:tc>
      </w:tr>
      <w:tr>
        <w:trPr/>
        <w:tc>
          <w:tcPr>
            <w:tcW w:w="2345" w:type="dxa"/>
            <w:tcBorders/>
            <w:shd w:fill="CCEEFF" w:val="clear"/>
            <w:tcMar>
              <w:bottom w:w="0" w:type="dxa"/>
            </w:tcMar>
            <w:vAlign w:val="center"/>
          </w:tcPr>
          <w:p>
            <w:pPr>
              <w:pStyle w:val="TableContents"/>
              <w:spacing w:before="0" w:after="283"/>
              <w:rPr>
                <w:sz w:val="20"/>
              </w:rPr>
            </w:pPr>
            <w:r>
              <w:rPr>
                <w:sz w:val="20"/>
              </w:rPr>
              <w:t>Julie Goldstein</w:t>
            </w:r>
            <w:r>
              <w:rPr>
                <w:position w:val="7"/>
                <w:sz w:val="16"/>
                <w:sz w:val="20"/>
              </w:rPr>
              <w:t>(2)</w:t>
            </w:r>
          </w:p>
        </w:tc>
        <w:tc>
          <w:tcPr>
            <w:tcW w:w="60" w:type="dxa"/>
            <w:tcBorders/>
            <w:shd w:fill="CCEEFF" w:val="clear"/>
            <w:tcMar>
              <w:bottom w:w="0" w:type="dxa"/>
            </w:tcMar>
            <w:vAlign w:val="center"/>
          </w:tcPr>
          <w:p>
            <w:pPr>
              <w:pStyle w:val="TableContents"/>
              <w:spacing w:before="0" w:after="283"/>
              <w:jc w:val="center"/>
              <w:rPr/>
            </w:pPr>
            <w:r>
              <w:rPr/>
              <w:t> </w:t>
            </w:r>
          </w:p>
        </w:tc>
        <w:tc>
          <w:tcPr>
            <w:tcW w:w="806" w:type="dxa"/>
            <w:tcBorders/>
            <w:shd w:fill="CCEEFF" w:val="clear"/>
            <w:tcMar>
              <w:bottom w:w="0" w:type="dxa"/>
            </w:tcMar>
            <w:vAlign w:val="center"/>
          </w:tcPr>
          <w:p>
            <w:pPr>
              <w:pStyle w:val="TableContents"/>
              <w:spacing w:before="0" w:after="283"/>
              <w:jc w:val="right"/>
              <w:rPr/>
            </w:pPr>
            <w:r>
              <w:rPr/>
              <w:t> </w:t>
            </w:r>
          </w:p>
        </w:tc>
        <w:tc>
          <w:tcPr>
            <w:tcW w:w="65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222" w:type="dxa"/>
            <w:tcBorders/>
            <w:shd w:fill="CCEEFF" w:val="clear"/>
            <w:tcMar>
              <w:bottom w:w="0" w:type="dxa"/>
            </w:tcMar>
            <w:vAlign w:val="center"/>
          </w:tcPr>
          <w:p>
            <w:pPr>
              <w:pStyle w:val="TableContents"/>
              <w:spacing w:before="0" w:after="283"/>
              <w:jc w:val="right"/>
              <w:rPr/>
            </w:pPr>
            <w:r>
              <w:rPr/>
              <w:t> </w:t>
            </w:r>
          </w:p>
        </w:tc>
        <w:tc>
          <w:tcPr>
            <w:tcW w:w="9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735" w:type="dxa"/>
            <w:tcBorders/>
            <w:shd w:fill="CCEEFF" w:val="clear"/>
            <w:tcMar>
              <w:bottom w:w="0" w:type="dxa"/>
            </w:tcMar>
            <w:vAlign w:val="center"/>
          </w:tcPr>
          <w:p>
            <w:pPr>
              <w:pStyle w:val="TableContents"/>
              <w:spacing w:before="0" w:after="283"/>
              <w:jc w:val="right"/>
              <w:rPr>
                <w:sz w:val="20"/>
              </w:rPr>
            </w:pPr>
            <w:r>
              <w:rPr>
                <w:sz w:val="20"/>
              </w:rPr>
              <w:t>X</w:t>
            </w:r>
          </w:p>
        </w:tc>
        <w:tc>
          <w:tcPr>
            <w:tcW w:w="1569" w:type="dxa"/>
            <w:tcBorders/>
            <w:shd w:fill="CCEEFF" w:val="clear"/>
            <w:tcMar>
              <w:bottom w:w="0" w:type="dxa"/>
            </w:tcMar>
            <w:vAlign w:val="center"/>
          </w:tcPr>
          <w:p>
            <w:pPr>
              <w:pStyle w:val="TableContents"/>
              <w:spacing w:before="0" w:after="283"/>
              <w:rPr/>
            </w:pPr>
            <w:r>
              <w:rPr/>
              <w:t> </w:t>
            </w:r>
          </w:p>
        </w:tc>
      </w:tr>
      <w:tr>
        <w:trPr/>
        <w:tc>
          <w:tcPr>
            <w:tcW w:w="2345" w:type="dxa"/>
            <w:tcBorders/>
            <w:shd w:fill="FFFFFF" w:val="clear"/>
            <w:tcMar>
              <w:bottom w:w="0" w:type="dxa"/>
            </w:tcMar>
            <w:vAlign w:val="center"/>
          </w:tcPr>
          <w:p>
            <w:pPr>
              <w:pStyle w:val="TableContents"/>
              <w:spacing w:before="0" w:after="283"/>
              <w:rPr>
                <w:sz w:val="20"/>
              </w:rPr>
            </w:pPr>
            <w:r>
              <w:rPr>
                <w:sz w:val="20"/>
              </w:rPr>
              <w:t>Trevor J. Moody</w:t>
            </w:r>
          </w:p>
        </w:tc>
        <w:tc>
          <w:tcPr>
            <w:tcW w:w="60" w:type="dxa"/>
            <w:tcBorders/>
            <w:shd w:fill="FFFFFF" w:val="clear"/>
            <w:tcMar>
              <w:bottom w:w="0" w:type="dxa"/>
            </w:tcMar>
            <w:vAlign w:val="center"/>
          </w:tcPr>
          <w:p>
            <w:pPr>
              <w:pStyle w:val="TableContents"/>
              <w:spacing w:before="0" w:after="283"/>
              <w:jc w:val="center"/>
              <w:rPr/>
            </w:pPr>
            <w:r>
              <w:rPr/>
              <w:t> </w:t>
            </w:r>
          </w:p>
        </w:tc>
        <w:tc>
          <w:tcPr>
            <w:tcW w:w="806" w:type="dxa"/>
            <w:tcBorders/>
            <w:shd w:fill="FFFFFF" w:val="clear"/>
            <w:tcMar>
              <w:bottom w:w="0" w:type="dxa"/>
            </w:tcMar>
            <w:vAlign w:val="center"/>
          </w:tcPr>
          <w:p>
            <w:pPr>
              <w:pStyle w:val="TableContents"/>
              <w:spacing w:before="0" w:after="283"/>
              <w:jc w:val="right"/>
              <w:rPr/>
            </w:pPr>
            <w:r>
              <w:rPr/>
              <w:t> </w:t>
            </w:r>
          </w:p>
        </w:tc>
        <w:tc>
          <w:tcPr>
            <w:tcW w:w="6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222" w:type="dxa"/>
            <w:tcBorders/>
            <w:shd w:fill="FFFFFF" w:val="clear"/>
            <w:tcMar>
              <w:bottom w:w="0" w:type="dxa"/>
            </w:tcMar>
            <w:vAlign w:val="center"/>
          </w:tcPr>
          <w:p>
            <w:pPr>
              <w:pStyle w:val="TableContents"/>
              <w:spacing w:before="0" w:after="283"/>
              <w:jc w:val="right"/>
              <w:rPr>
                <w:sz w:val="20"/>
              </w:rPr>
            </w:pPr>
            <w:r>
              <w:rPr>
                <w:sz w:val="20"/>
              </w:rPr>
              <w:t>X</w:t>
            </w:r>
          </w:p>
        </w:tc>
        <w:tc>
          <w:tcPr>
            <w:tcW w:w="987" w:type="dxa"/>
            <w:tcBorders/>
            <w:shd w:fill="FFFFFF" w:val="clear"/>
            <w:tcMar>
              <w:bottom w:w="0" w:type="dxa"/>
            </w:tcMar>
            <w:vAlign w:val="center"/>
          </w:tcPr>
          <w:p>
            <w:pPr>
              <w:pStyle w:val="TableContents"/>
              <w:spacing w:before="0" w:after="283"/>
              <w:rPr>
                <w:sz w:val="20"/>
              </w:rPr>
            </w:pPr>
            <w:r>
              <w:rPr>
                <w:sz w:val="20"/>
              </w:rPr>
              <w:t>*</w:t>
            </w:r>
          </w:p>
        </w:tc>
        <w:tc>
          <w:tcPr>
            <w:tcW w:w="60" w:type="dxa"/>
            <w:tcBorders/>
            <w:shd w:fill="FFFFFF" w:val="clear"/>
            <w:tcMar>
              <w:bottom w:w="0" w:type="dxa"/>
            </w:tcMar>
            <w:vAlign w:val="center"/>
          </w:tcPr>
          <w:p>
            <w:pPr>
              <w:pStyle w:val="TableContents"/>
              <w:spacing w:before="0" w:after="283"/>
              <w:jc w:val="center"/>
              <w:rPr/>
            </w:pPr>
            <w:r>
              <w:rPr/>
              <w:t> </w:t>
            </w:r>
          </w:p>
        </w:tc>
        <w:tc>
          <w:tcPr>
            <w:tcW w:w="1735" w:type="dxa"/>
            <w:tcBorders/>
            <w:shd w:fill="FFFFFF" w:val="clear"/>
            <w:tcMar>
              <w:bottom w:w="0" w:type="dxa"/>
            </w:tcMar>
            <w:vAlign w:val="center"/>
          </w:tcPr>
          <w:p>
            <w:pPr>
              <w:pStyle w:val="TableContents"/>
              <w:spacing w:before="0" w:after="283"/>
              <w:jc w:val="right"/>
              <w:rPr/>
            </w:pPr>
            <w:r>
              <w:rPr/>
              <w:t> </w:t>
            </w:r>
          </w:p>
        </w:tc>
        <w:tc>
          <w:tcPr>
            <w:tcW w:w="1569" w:type="dxa"/>
            <w:tcBorders/>
            <w:shd w:fill="FFFFFF" w:val="clear"/>
            <w:tcMar>
              <w:bottom w:w="0" w:type="dxa"/>
            </w:tcMar>
            <w:vAlign w:val="center"/>
          </w:tcPr>
          <w:p>
            <w:pPr>
              <w:pStyle w:val="TableContents"/>
              <w:spacing w:before="0" w:after="283"/>
              <w:rPr/>
            </w:pPr>
            <w:r>
              <w:rPr/>
              <w:t> </w:t>
            </w:r>
          </w:p>
        </w:tc>
      </w:tr>
      <w:tr>
        <w:trPr/>
        <w:tc>
          <w:tcPr>
            <w:tcW w:w="2345" w:type="dxa"/>
            <w:tcBorders/>
            <w:shd w:fill="CCEEFF" w:val="clear"/>
            <w:tcMar>
              <w:bottom w:w="0" w:type="dxa"/>
            </w:tcMar>
            <w:vAlign w:val="center"/>
          </w:tcPr>
          <w:p>
            <w:pPr>
              <w:pStyle w:val="TableContents"/>
              <w:spacing w:before="0" w:after="283"/>
              <w:rPr>
                <w:sz w:val="20"/>
              </w:rPr>
            </w:pPr>
            <w:r>
              <w:rPr>
                <w:sz w:val="20"/>
              </w:rPr>
              <w:t xml:space="preserve">Stephen L. Ondra, M.D. </w:t>
            </w:r>
            <w:r>
              <w:rPr>
                <w:position w:val="7"/>
                <w:sz w:val="16"/>
                <w:sz w:val="20"/>
              </w:rPr>
              <w:t>(3)</w:t>
            </w:r>
          </w:p>
        </w:tc>
        <w:tc>
          <w:tcPr>
            <w:tcW w:w="60" w:type="dxa"/>
            <w:tcBorders/>
            <w:shd w:fill="CCEEFF" w:val="clear"/>
            <w:tcMar>
              <w:bottom w:w="0" w:type="dxa"/>
            </w:tcMar>
            <w:vAlign w:val="center"/>
          </w:tcPr>
          <w:p>
            <w:pPr>
              <w:pStyle w:val="TableContents"/>
              <w:spacing w:before="0" w:after="283"/>
              <w:jc w:val="center"/>
              <w:rPr/>
            </w:pPr>
            <w:r>
              <w:rPr/>
              <w:t> </w:t>
            </w:r>
          </w:p>
        </w:tc>
        <w:tc>
          <w:tcPr>
            <w:tcW w:w="806" w:type="dxa"/>
            <w:tcBorders/>
            <w:shd w:fill="CCEEFF" w:val="clear"/>
            <w:tcMar>
              <w:bottom w:w="0" w:type="dxa"/>
            </w:tcMar>
            <w:vAlign w:val="center"/>
          </w:tcPr>
          <w:p>
            <w:pPr>
              <w:pStyle w:val="TableContents"/>
              <w:spacing w:before="0" w:after="283"/>
              <w:jc w:val="right"/>
              <w:rPr/>
            </w:pPr>
            <w:r>
              <w:rPr/>
              <w:t> </w:t>
            </w:r>
          </w:p>
        </w:tc>
        <w:tc>
          <w:tcPr>
            <w:tcW w:w="65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222" w:type="dxa"/>
            <w:tcBorders/>
            <w:shd w:fill="CCEEFF" w:val="clear"/>
            <w:tcMar>
              <w:bottom w:w="0" w:type="dxa"/>
            </w:tcMar>
            <w:vAlign w:val="center"/>
          </w:tcPr>
          <w:p>
            <w:pPr>
              <w:pStyle w:val="TableContents"/>
              <w:spacing w:before="0" w:after="283"/>
              <w:jc w:val="right"/>
              <w:rPr/>
            </w:pPr>
            <w:r>
              <w:rPr/>
              <w:t> </w:t>
            </w:r>
          </w:p>
        </w:tc>
        <w:tc>
          <w:tcPr>
            <w:tcW w:w="9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735" w:type="dxa"/>
            <w:tcBorders/>
            <w:shd w:fill="CCEEFF" w:val="clear"/>
            <w:tcMar>
              <w:bottom w:w="0" w:type="dxa"/>
            </w:tcMar>
            <w:vAlign w:val="center"/>
          </w:tcPr>
          <w:p>
            <w:pPr>
              <w:pStyle w:val="TableContents"/>
              <w:spacing w:before="0" w:after="283"/>
              <w:jc w:val="right"/>
              <w:rPr>
                <w:sz w:val="20"/>
              </w:rPr>
            </w:pPr>
            <w:r>
              <w:rPr>
                <w:sz w:val="20"/>
              </w:rPr>
              <w:t>X</w:t>
            </w:r>
          </w:p>
        </w:tc>
        <w:tc>
          <w:tcPr>
            <w:tcW w:w="1569" w:type="dxa"/>
            <w:tcBorders/>
            <w:shd w:fill="CCEEFF" w:val="clear"/>
            <w:tcMar>
              <w:bottom w:w="0" w:type="dxa"/>
            </w:tcMar>
            <w:vAlign w:val="center"/>
          </w:tcPr>
          <w:p>
            <w:pPr>
              <w:pStyle w:val="TableContents"/>
              <w:spacing w:before="0" w:after="283"/>
              <w:rPr/>
            </w:pPr>
            <w:r>
              <w:rPr/>
              <w:t> </w:t>
            </w:r>
          </w:p>
        </w:tc>
      </w:tr>
      <w:tr>
        <w:trPr/>
        <w:tc>
          <w:tcPr>
            <w:tcW w:w="2345" w:type="dxa"/>
            <w:tcBorders/>
            <w:shd w:fill="FFFFFF" w:val="clear"/>
            <w:tcMar>
              <w:bottom w:w="0" w:type="dxa"/>
            </w:tcMar>
            <w:vAlign w:val="center"/>
          </w:tcPr>
          <w:p>
            <w:pPr>
              <w:pStyle w:val="TableContents"/>
              <w:spacing w:before="0" w:after="283"/>
              <w:rPr>
                <w:sz w:val="20"/>
              </w:rPr>
            </w:pPr>
            <w:r>
              <w:rPr>
                <w:sz w:val="20"/>
              </w:rPr>
              <w:t>Thomas M. Patton</w:t>
            </w:r>
          </w:p>
        </w:tc>
        <w:tc>
          <w:tcPr>
            <w:tcW w:w="60" w:type="dxa"/>
            <w:tcBorders/>
            <w:shd w:fill="FFFFFF" w:val="clear"/>
            <w:tcMar>
              <w:bottom w:w="0" w:type="dxa"/>
            </w:tcMar>
            <w:vAlign w:val="center"/>
          </w:tcPr>
          <w:p>
            <w:pPr>
              <w:pStyle w:val="TableContents"/>
              <w:spacing w:before="0" w:after="283"/>
              <w:jc w:val="center"/>
              <w:rPr/>
            </w:pPr>
            <w:r>
              <w:rPr/>
              <w:t> </w:t>
            </w:r>
          </w:p>
        </w:tc>
        <w:tc>
          <w:tcPr>
            <w:tcW w:w="806" w:type="dxa"/>
            <w:tcBorders/>
            <w:shd w:fill="FFFFFF" w:val="clear"/>
            <w:tcMar>
              <w:bottom w:w="0" w:type="dxa"/>
            </w:tcMar>
            <w:vAlign w:val="center"/>
          </w:tcPr>
          <w:p>
            <w:pPr>
              <w:pStyle w:val="TableContents"/>
              <w:spacing w:before="0" w:after="283"/>
              <w:jc w:val="right"/>
              <w:rPr>
                <w:sz w:val="20"/>
              </w:rPr>
            </w:pPr>
            <w:r>
              <w:rPr>
                <w:sz w:val="20"/>
              </w:rPr>
              <w:t>X</w:t>
            </w:r>
          </w:p>
        </w:tc>
        <w:tc>
          <w:tcPr>
            <w:tcW w:w="653" w:type="dxa"/>
            <w:tcBorders/>
            <w:shd w:fill="FFFFFF" w:val="clear"/>
            <w:tcMar>
              <w:bottom w:w="0" w:type="dxa"/>
            </w:tcMar>
            <w:vAlign w:val="center"/>
          </w:tcPr>
          <w:p>
            <w:pPr>
              <w:pStyle w:val="TableContents"/>
              <w:spacing w:before="0" w:after="283"/>
              <w:rPr>
                <w:sz w:val="20"/>
              </w:rPr>
            </w:pPr>
            <w:r>
              <w:rPr>
                <w:sz w:val="20"/>
              </w:rPr>
              <w:t>*</w:t>
            </w:r>
          </w:p>
        </w:tc>
        <w:tc>
          <w:tcPr>
            <w:tcW w:w="60" w:type="dxa"/>
            <w:tcBorders/>
            <w:shd w:fill="FFFFFF" w:val="clear"/>
            <w:tcMar>
              <w:bottom w:w="0" w:type="dxa"/>
            </w:tcMar>
            <w:vAlign w:val="center"/>
          </w:tcPr>
          <w:p>
            <w:pPr>
              <w:pStyle w:val="TableContents"/>
              <w:spacing w:before="0" w:after="283"/>
              <w:jc w:val="center"/>
              <w:rPr/>
            </w:pPr>
            <w:r>
              <w:rPr/>
              <w:t> </w:t>
            </w:r>
          </w:p>
        </w:tc>
        <w:tc>
          <w:tcPr>
            <w:tcW w:w="1222" w:type="dxa"/>
            <w:tcBorders/>
            <w:shd w:fill="FFFFFF" w:val="clear"/>
            <w:tcMar>
              <w:bottom w:w="0" w:type="dxa"/>
            </w:tcMar>
            <w:vAlign w:val="center"/>
          </w:tcPr>
          <w:p>
            <w:pPr>
              <w:pStyle w:val="TableContents"/>
              <w:spacing w:before="0" w:after="283"/>
              <w:jc w:val="right"/>
              <w:rPr/>
            </w:pPr>
            <w:r>
              <w:rPr/>
              <w:t> </w:t>
            </w:r>
          </w:p>
        </w:tc>
        <w:tc>
          <w:tcPr>
            <w:tcW w:w="9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735" w:type="dxa"/>
            <w:tcBorders/>
            <w:shd w:fill="FFFFFF" w:val="clear"/>
            <w:tcMar>
              <w:bottom w:w="0" w:type="dxa"/>
            </w:tcMar>
            <w:vAlign w:val="center"/>
          </w:tcPr>
          <w:p>
            <w:pPr>
              <w:pStyle w:val="TableContents"/>
              <w:spacing w:before="0" w:after="283"/>
              <w:jc w:val="right"/>
              <w:rPr/>
            </w:pPr>
            <w:r>
              <w:rPr/>
              <w:t> </w:t>
            </w:r>
          </w:p>
        </w:tc>
        <w:tc>
          <w:tcPr>
            <w:tcW w:w="1569" w:type="dxa"/>
            <w:tcBorders/>
            <w:shd w:fill="FFFFFF" w:val="clear"/>
            <w:tcMar>
              <w:bottom w:w="0" w:type="dxa"/>
            </w:tcMar>
            <w:vAlign w:val="center"/>
          </w:tcPr>
          <w:p>
            <w:pPr>
              <w:pStyle w:val="TableContents"/>
              <w:spacing w:before="0" w:after="283"/>
              <w:rPr/>
            </w:pPr>
            <w:r>
              <w:rPr/>
              <w:t> </w:t>
            </w:r>
          </w:p>
        </w:tc>
      </w:tr>
      <w:tr>
        <w:trPr/>
        <w:tc>
          <w:tcPr>
            <w:tcW w:w="2345" w:type="dxa"/>
            <w:tcBorders>
              <w:bottom w:val="single" w:sz="8" w:space="0" w:color="000000"/>
            </w:tcBorders>
            <w:shd w:fill="CCEEFF" w:val="clear"/>
            <w:vAlign w:val="center"/>
          </w:tcPr>
          <w:p>
            <w:pPr>
              <w:pStyle w:val="TableContents"/>
              <w:spacing w:before="0" w:after="283"/>
              <w:rPr>
                <w:sz w:val="20"/>
              </w:rPr>
            </w:pPr>
            <w:r>
              <w:rPr>
                <w:sz w:val="20"/>
              </w:rPr>
              <w:t>Patricia Wilber</w:t>
            </w:r>
            <w:r>
              <w:rPr>
                <w:position w:val="7"/>
                <w:sz w:val="16"/>
                <w:sz w:val="20"/>
              </w:rPr>
              <w:t>(4)</w:t>
            </w:r>
          </w:p>
        </w:tc>
        <w:tc>
          <w:tcPr>
            <w:tcW w:w="60" w:type="dxa"/>
            <w:tcBorders/>
            <w:shd w:fill="CCEEFF" w:val="clear"/>
            <w:tcMar>
              <w:bottom w:w="0" w:type="dxa"/>
            </w:tcMar>
            <w:vAlign w:val="center"/>
          </w:tcPr>
          <w:p>
            <w:pPr>
              <w:pStyle w:val="TableContents"/>
              <w:spacing w:before="0" w:after="283"/>
              <w:jc w:val="center"/>
              <w:rPr/>
            </w:pPr>
            <w:r>
              <w:rPr/>
              <w:t> </w:t>
            </w:r>
          </w:p>
        </w:tc>
        <w:tc>
          <w:tcPr>
            <w:tcW w:w="806" w:type="dxa"/>
            <w:tcBorders>
              <w:bottom w:val="single" w:sz="8" w:space="0" w:color="000000"/>
            </w:tcBorders>
            <w:shd w:fill="CCEEFF" w:val="clear"/>
            <w:vAlign w:val="center"/>
          </w:tcPr>
          <w:p>
            <w:pPr>
              <w:pStyle w:val="TableContents"/>
              <w:spacing w:before="0" w:after="283"/>
              <w:jc w:val="right"/>
              <w:rPr>
                <w:sz w:val="20"/>
              </w:rPr>
            </w:pPr>
            <w:r>
              <w:rPr>
                <w:sz w:val="20"/>
              </w:rPr>
              <w:t>X</w:t>
            </w:r>
          </w:p>
        </w:tc>
        <w:tc>
          <w:tcPr>
            <w:tcW w:w="653" w:type="dxa"/>
            <w:tcBorders>
              <w:bottom w:val="single" w:sz="8" w:space="0" w:color="000000"/>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vAlign w:val="center"/>
          </w:tcPr>
          <w:p>
            <w:pPr>
              <w:pStyle w:val="TableContents"/>
              <w:spacing w:before="0" w:after="283"/>
              <w:jc w:val="center"/>
              <w:rPr/>
            </w:pPr>
            <w:r>
              <w:rPr/>
              <w:t> </w:t>
            </w:r>
          </w:p>
        </w:tc>
        <w:tc>
          <w:tcPr>
            <w:tcW w:w="1222" w:type="dxa"/>
            <w:tcBorders>
              <w:bottom w:val="single" w:sz="8" w:space="0" w:color="000000"/>
            </w:tcBorders>
            <w:shd w:fill="CCEEFF" w:val="clear"/>
            <w:vAlign w:val="center"/>
          </w:tcPr>
          <w:p>
            <w:pPr>
              <w:pStyle w:val="TableContents"/>
              <w:spacing w:before="0" w:after="283"/>
              <w:jc w:val="right"/>
              <w:rPr/>
            </w:pPr>
            <w:r>
              <w:rPr/>
              <w:t> </w:t>
            </w:r>
          </w:p>
        </w:tc>
        <w:tc>
          <w:tcPr>
            <w:tcW w:w="987" w:type="dxa"/>
            <w:tcBorders>
              <w:bottom w:val="single" w:sz="8" w:space="0" w:color="000000"/>
            </w:tcBorders>
            <w:shd w:fill="CCEEFF" w:val="clear"/>
            <w:vAlign w:val="center"/>
          </w:tcPr>
          <w:p>
            <w:pPr>
              <w:pStyle w:val="TableContents"/>
              <w:spacing w:before="0" w:after="283"/>
              <w:rPr/>
            </w:pPr>
            <w:r>
              <w:rPr/>
              <w:t> </w:t>
            </w:r>
          </w:p>
        </w:tc>
        <w:tc>
          <w:tcPr>
            <w:tcW w:w="60" w:type="dxa"/>
            <w:tcBorders>
              <w:bottom w:val="single" w:sz="8" w:space="0" w:color="000000"/>
            </w:tcBorders>
            <w:shd w:fill="CCEEFF" w:val="clear"/>
            <w:vAlign w:val="center"/>
          </w:tcPr>
          <w:p>
            <w:pPr>
              <w:pStyle w:val="TableContents"/>
              <w:spacing w:before="0" w:after="283"/>
              <w:jc w:val="center"/>
              <w:rPr/>
            </w:pPr>
            <w:r>
              <w:rPr/>
              <w:t> </w:t>
            </w:r>
          </w:p>
        </w:tc>
        <w:tc>
          <w:tcPr>
            <w:tcW w:w="1735" w:type="dxa"/>
            <w:tcBorders>
              <w:bottom w:val="single" w:sz="8" w:space="0" w:color="000000"/>
            </w:tcBorders>
            <w:shd w:fill="CCEEFF" w:val="clear"/>
            <w:vAlign w:val="center"/>
          </w:tcPr>
          <w:p>
            <w:pPr>
              <w:pStyle w:val="TableContents"/>
              <w:spacing w:before="0" w:after="283"/>
              <w:jc w:val="right"/>
              <w:rPr/>
            </w:pPr>
            <w:r>
              <w:rPr/>
              <w:t> </w:t>
            </w:r>
          </w:p>
        </w:tc>
        <w:tc>
          <w:tcPr>
            <w:tcW w:w="1569" w:type="dxa"/>
            <w:tcBorders>
              <w:bottom w:val="single" w:sz="8" w:space="0" w:color="000000"/>
            </w:tcBorders>
            <w:shd w:fill="CCEEFF" w:val="clear"/>
            <w:vAlign w:val="center"/>
          </w:tcPr>
          <w:p>
            <w:pPr>
              <w:pStyle w:val="TableContents"/>
              <w:spacing w:before="0" w:after="283"/>
              <w:rPr/>
            </w:pPr>
            <w:r>
              <w:rPr/>
              <w:t> </w:t>
            </w:r>
          </w:p>
        </w:tc>
      </w:tr>
      <w:tr>
        <w:trPr/>
        <w:tc>
          <w:tcPr>
            <w:tcW w:w="2345" w:type="dxa"/>
            <w:tcBorders/>
            <w:shd w:fill="FFFFFF" w:val="clear"/>
            <w:tcMar>
              <w:bottom w:w="0" w:type="dxa"/>
            </w:tcMar>
            <w:vAlign w:val="center"/>
          </w:tcPr>
          <w:p>
            <w:pPr>
              <w:pStyle w:val="TableContents"/>
              <w:spacing w:before="0" w:after="283"/>
              <w:rPr>
                <w:sz w:val="20"/>
              </w:rPr>
            </w:pPr>
            <w:r>
              <w:rPr>
                <w:sz w:val="20"/>
              </w:rPr>
              <w:t>Number of meetings in 2022</w:t>
            </w:r>
          </w:p>
        </w:tc>
        <w:tc>
          <w:tcPr>
            <w:tcW w:w="60" w:type="dxa"/>
            <w:tcBorders/>
            <w:shd w:fill="FFFFFF" w:val="clear"/>
            <w:tcMar>
              <w:bottom w:w="0" w:type="dxa"/>
            </w:tcMar>
            <w:vAlign w:val="center"/>
          </w:tcPr>
          <w:p>
            <w:pPr>
              <w:pStyle w:val="TableContents"/>
              <w:spacing w:before="0" w:after="283"/>
              <w:jc w:val="center"/>
              <w:rPr/>
            </w:pPr>
            <w:r>
              <w:rPr/>
              <w:t> </w:t>
            </w:r>
          </w:p>
        </w:tc>
        <w:tc>
          <w:tcPr>
            <w:tcW w:w="806" w:type="dxa"/>
            <w:tcBorders/>
            <w:shd w:fill="FFFFFF" w:val="clear"/>
            <w:tcMar>
              <w:bottom w:w="0" w:type="dxa"/>
            </w:tcMar>
            <w:vAlign w:val="center"/>
          </w:tcPr>
          <w:p>
            <w:pPr>
              <w:pStyle w:val="TableContents"/>
              <w:spacing w:before="0" w:after="283"/>
              <w:jc w:val="right"/>
              <w:rPr>
                <w:sz w:val="20"/>
              </w:rPr>
            </w:pPr>
            <w:r>
              <w:rPr>
                <w:sz w:val="20"/>
              </w:rPr>
              <w:t>6</w:t>
            </w:r>
          </w:p>
        </w:tc>
        <w:tc>
          <w:tcPr>
            <w:tcW w:w="6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222" w:type="dxa"/>
            <w:tcBorders/>
            <w:shd w:fill="FFFFFF" w:val="clear"/>
            <w:tcMar>
              <w:bottom w:w="0" w:type="dxa"/>
            </w:tcMar>
            <w:vAlign w:val="center"/>
          </w:tcPr>
          <w:p>
            <w:pPr>
              <w:pStyle w:val="TableContents"/>
              <w:spacing w:before="0" w:after="283"/>
              <w:jc w:val="right"/>
              <w:rPr>
                <w:sz w:val="20"/>
              </w:rPr>
            </w:pPr>
            <w:r>
              <w:rPr>
                <w:sz w:val="20"/>
              </w:rPr>
              <w:t>5</w:t>
            </w:r>
          </w:p>
        </w:tc>
        <w:tc>
          <w:tcPr>
            <w:tcW w:w="9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735" w:type="dxa"/>
            <w:tcBorders/>
            <w:shd w:fill="FFFFFF" w:val="clear"/>
            <w:tcMar>
              <w:bottom w:w="0" w:type="dxa"/>
            </w:tcMar>
            <w:vAlign w:val="center"/>
          </w:tcPr>
          <w:p>
            <w:pPr>
              <w:pStyle w:val="TableContents"/>
              <w:spacing w:before="0" w:after="283"/>
              <w:jc w:val="right"/>
              <w:rPr>
                <w:sz w:val="20"/>
              </w:rPr>
            </w:pPr>
            <w:r>
              <w:rPr>
                <w:sz w:val="20"/>
              </w:rPr>
              <w:t>5</w:t>
            </w:r>
          </w:p>
        </w:tc>
        <w:tc>
          <w:tcPr>
            <w:tcW w:w="1569"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Atieh resigned from the Board and its committees effective June 8,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Ms. Goldstein joined the Board on March 15, 2022 and became a member of the Nominating and Governance Committee on May 5,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Dr. Ondra resigned from the Board and its committees effective March 4,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Ms. Wilber joined the Board on March 15, 2022 and became a member of the Audit Committee on May 5,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Nominating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assists our Board in identifying director nominees consistent with criteria established by our Board. Although the Governance and Nominating Committee does not currently have a specific policy with regard to consideration of director candidates recommended by stockholders, the Board and the Nominating and Governance Committee believe that the Nominating and Governance Committee would provide such recommendations the same consideration as other candidates. Any recommendation submitted by a stockholder to the Nominating and Governance Committee should include information relating to each of the qualifications outlined below concerning the potential candidate along with the other information required by the rules of the SEC, our Bylaws for stockholder nominations.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nominees for director are identified and suggested to the Governance and Nominating Committee by the Company’s current directors or management using their business networks and evaluation criteria they deem important, which may or may not include diversity. While the Company does not have a specific policy regarding diversity and has not established minimum experience or diversity qualifications for director candidates, when considering the nomination of directors, the Governance and Nominating Committee does generally consider the diversity of its directors and nominees in terms of knowledge, experience, background, skills, expertise and other demographic factors. The Company does not impose formal term limits on its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the Company’s directors and executive officers, and persons who own more than 10% of a registered class of the Company’s equity securities, to file with the SEC initial reports of ownership and reports of changes in ownership of the Company’s shares of common stock and other equity securities. Officers, directors and greater than 10% stockholders are required by SEC regulations to furnish the Company with copies of all Section 16(a) forms they file.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11 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36" w:name="a12"/>
      <w:bookmarkEnd w:id="36"/>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based solely on a review of the copies of such reports furnished to it and written representations that no other reports were required, during the fiscal year ended December 31, 2022, all Section 16(a) filing requirements applicable to its officers, directors and greater than 10% beneficial owners were complied with.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 For Employees, Executive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Business Conduct and Ethics, (the “Code of Conduct”) applicable to all of its employees, executive officers and directors. The Code of Conduct is available on the Company’s website at www.electrocore.com, under the “Corporate Governance” tab of the “Investors” section. The audit committee of the Board is responsible for overseeing the Code of Conduct and must approve any waivers of the Code of Conduct for executive officers and directors. The Company expects that any amendments to the Code of Conduct, or any waivers of its requirements, will be disclosed on its website.</w:t>
      </w:r>
    </w:p>
    <w:p>
      <w:pPr>
        <w:pStyle w:val="TextBody"/>
        <w:spacing w:before="0" w:after="0"/>
        <w:ind w:left="0" w:right="0" w:hanging="0"/>
        <w:jc w:val="both"/>
        <w:rPr>
          <w:caps w:val="false"/>
          <w:smallCaps w:val="false"/>
        </w:rPr>
      </w:pPr>
      <w:r>
        <w:rPr>
          <w:caps w:val="false"/>
          <w:smallCaps w:val="false"/>
        </w:rPr>
        <w:t> </w:t>
      </w:r>
    </w:p>
    <w:tbl>
      <w:tblPr>
        <w:tblW w:w="4458" w:type="dxa"/>
        <w:jc w:val="left"/>
        <w:tblInd w:w="0" w:type="dxa"/>
        <w:tblCellMar>
          <w:top w:w="0" w:type="dxa"/>
          <w:left w:w="0" w:type="dxa"/>
          <w:bottom w:w="0" w:type="dxa"/>
          <w:right w:w="0" w:type="dxa"/>
        </w:tblCellMar>
      </w:tblPr>
      <w:tblGrid>
        <w:gridCol w:w="38"/>
        <w:gridCol w:w="965"/>
        <w:gridCol w:w="345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pPr>
            <w:r>
              <w:rPr/>
              <w:t>ITEM 11.</w:t>
            </w:r>
          </w:p>
        </w:tc>
        <w:tc>
          <w:tcPr>
            <w:tcW w:w="3455" w:type="dxa"/>
            <w:tcBorders/>
            <w:shd w:fill="auto" w:val="clear"/>
            <w:vAlign w:val="center"/>
          </w:tcPr>
          <w:p>
            <w:pPr>
              <w:pStyle w:val="TableContents"/>
              <w:spacing w:before="0" w:after="283"/>
              <w:jc w:val="both"/>
              <w:rPr/>
            </w:pPr>
            <w:r>
              <w:rPr>
                <w:u w:val="single"/>
              </w:rPr>
              <w:t>EXECUTIVE COMPENSATION</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Summary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an emerging growth company and is thus subject to the scaled reporting rules applicable to emerging growth companies. The following section and notes describe, under such scaled reporting rules, information for the fiscal years ended December 31, 2022 and 2021, concerning the compensation awarded to, earned by or paid to: (i) our principal executive officer during the fiscal year ended December 31, 2022, and (ii) the most highly compensated executive officer, other than the principal executive officer, during the fiscal year ended December 31, 2022 (collectively, the “NEOs”). The Company’s only executive officers are its Chief Executive Officer (the “CEO”) and its Chief Financial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85"/>
        <w:gridCol w:w="60"/>
        <w:gridCol w:w="380"/>
        <w:gridCol w:w="60"/>
        <w:gridCol w:w="605"/>
        <w:gridCol w:w="60"/>
        <w:gridCol w:w="605"/>
        <w:gridCol w:w="60"/>
        <w:gridCol w:w="806"/>
        <w:gridCol w:w="60"/>
        <w:gridCol w:w="1221"/>
        <w:gridCol w:w="60"/>
        <w:gridCol w:w="2195"/>
        <w:gridCol w:w="60"/>
        <w:gridCol w:w="1671"/>
        <w:gridCol w:w="60"/>
        <w:gridCol w:w="757"/>
      </w:tblGrid>
      <w:tr>
        <w:trPr/>
        <w:tc>
          <w:tcPr>
            <w:tcW w:w="1485" w:type="dxa"/>
            <w:tcBorders>
              <w:bottom w:val="single" w:sz="8" w:space="0" w:color="000000"/>
            </w:tcBorders>
            <w:shd w:fill="auto" w:val="clear"/>
            <w:vAlign w:val="center"/>
          </w:tcPr>
          <w:p>
            <w:pPr>
              <w:pStyle w:val="TableContents"/>
              <w:spacing w:before="0" w:after="283"/>
              <w:rPr>
                <w:b/>
                <w:sz w:val="16"/>
              </w:rPr>
            </w:pPr>
            <w:r>
              <w:rPr>
                <w:b/>
                <w:sz w:val="16"/>
              </w:rPr>
              <w:t>Name and Principal Position</w:t>
            </w:r>
          </w:p>
        </w:tc>
        <w:tc>
          <w:tcPr>
            <w:tcW w:w="60" w:type="dxa"/>
            <w:tcBorders/>
            <w:shd w:fill="auto" w:val="clear"/>
            <w:tcMar>
              <w:bottom w:w="0" w:type="dxa"/>
            </w:tcMar>
            <w:vAlign w:val="center"/>
          </w:tcPr>
          <w:p>
            <w:pPr>
              <w:pStyle w:val="TableContents"/>
              <w:spacing w:before="0" w:after="283"/>
              <w:jc w:val="center"/>
              <w:rPr/>
            </w:pPr>
            <w:r>
              <w:rPr/>
              <w:t> </w:t>
            </w:r>
          </w:p>
        </w:tc>
        <w:tc>
          <w:tcPr>
            <w:tcW w:w="380" w:type="dxa"/>
            <w:tcBorders>
              <w:bottom w:val="single" w:sz="8" w:space="0" w:color="000000"/>
            </w:tcBorders>
            <w:shd w:fill="auto" w:val="clear"/>
            <w:vAlign w:val="center"/>
          </w:tcPr>
          <w:p>
            <w:pPr>
              <w:pStyle w:val="TableContents"/>
              <w:spacing w:before="0" w:after="283"/>
              <w:jc w:val="center"/>
              <w:rPr>
                <w:b/>
                <w:sz w:val="16"/>
              </w:rPr>
            </w:pPr>
            <w:r>
              <w:rPr>
                <w:b/>
                <w:sz w:val="16"/>
              </w:rPr>
              <w:t>Year</w:t>
            </w:r>
          </w:p>
        </w:tc>
        <w:tc>
          <w:tcPr>
            <w:tcW w:w="60" w:type="dxa"/>
            <w:tcBorders/>
            <w:shd w:fill="auto" w:val="clear"/>
            <w:tcMar>
              <w:bottom w:w="0" w:type="dxa"/>
            </w:tcMar>
            <w:vAlign w:val="center"/>
          </w:tcPr>
          <w:p>
            <w:pPr>
              <w:pStyle w:val="TableContents"/>
              <w:spacing w:before="0" w:after="283"/>
              <w:jc w:val="center"/>
              <w:rPr/>
            </w:pPr>
            <w:r>
              <w:rPr/>
              <w:t> </w:t>
            </w:r>
          </w:p>
        </w:tc>
        <w:tc>
          <w:tcPr>
            <w:tcW w:w="605" w:type="dxa"/>
            <w:tcBorders>
              <w:bottom w:val="single" w:sz="8" w:space="0" w:color="000000"/>
            </w:tcBorders>
            <w:shd w:fill="auto" w:val="clear"/>
            <w:vAlign w:val="center"/>
          </w:tcPr>
          <w:p>
            <w:pPr>
              <w:pStyle w:val="TableContents"/>
              <w:spacing w:before="0" w:after="283"/>
              <w:jc w:val="center"/>
              <w:rPr>
                <w:b/>
                <w:sz w:val="16"/>
              </w:rPr>
            </w:pPr>
            <w:r>
              <w:rPr>
                <w:b/>
                <w:sz w:val="16"/>
              </w:rPr>
              <w:t>Salary</w:t>
              <w:br/>
              <w:t>($)</w:t>
            </w:r>
          </w:p>
        </w:tc>
        <w:tc>
          <w:tcPr>
            <w:tcW w:w="60" w:type="dxa"/>
            <w:tcBorders/>
            <w:shd w:fill="auto" w:val="clear"/>
            <w:tcMar>
              <w:bottom w:w="0" w:type="dxa"/>
            </w:tcMar>
            <w:vAlign w:val="center"/>
          </w:tcPr>
          <w:p>
            <w:pPr>
              <w:pStyle w:val="TableContents"/>
              <w:spacing w:before="0" w:after="283"/>
              <w:jc w:val="center"/>
              <w:rPr/>
            </w:pPr>
            <w:r>
              <w:rPr/>
              <w:t> </w:t>
            </w:r>
          </w:p>
        </w:tc>
        <w:tc>
          <w:tcPr>
            <w:tcW w:w="605" w:type="dxa"/>
            <w:tcBorders>
              <w:bottom w:val="single" w:sz="8" w:space="0" w:color="000000"/>
            </w:tcBorders>
            <w:shd w:fill="auto" w:val="clear"/>
            <w:vAlign w:val="center"/>
          </w:tcPr>
          <w:p>
            <w:pPr>
              <w:pStyle w:val="TableContents"/>
              <w:spacing w:before="0" w:after="283"/>
              <w:jc w:val="center"/>
              <w:rPr>
                <w:b/>
                <w:sz w:val="16"/>
              </w:rPr>
            </w:pPr>
            <w:r>
              <w:rPr>
                <w:b/>
                <w:sz w:val="16"/>
              </w:rPr>
              <w:t>Bonus</w:t>
              <w:br/>
              <w:t>($)(1)</w:t>
            </w:r>
          </w:p>
        </w:tc>
        <w:tc>
          <w:tcPr>
            <w:tcW w:w="60" w:type="dxa"/>
            <w:tcBorders/>
            <w:shd w:fill="auto" w:val="clear"/>
            <w:tcMar>
              <w:bottom w:w="0" w:type="dxa"/>
            </w:tcMar>
            <w:vAlign w:val="center"/>
          </w:tcPr>
          <w:p>
            <w:pPr>
              <w:pStyle w:val="TableContents"/>
              <w:spacing w:before="0" w:after="283"/>
              <w:jc w:val="center"/>
              <w:rPr/>
            </w:pPr>
            <w:r>
              <w:rPr/>
              <w:t> </w:t>
            </w:r>
          </w:p>
        </w:tc>
        <w:tc>
          <w:tcPr>
            <w:tcW w:w="806" w:type="dxa"/>
            <w:tcBorders>
              <w:bottom w:val="single" w:sz="8" w:space="0" w:color="000000"/>
            </w:tcBorders>
            <w:shd w:fill="auto" w:val="clear"/>
            <w:vAlign w:val="center"/>
          </w:tcPr>
          <w:p>
            <w:pPr>
              <w:pStyle w:val="TableContents"/>
              <w:spacing w:before="0" w:after="283"/>
              <w:jc w:val="center"/>
              <w:rPr>
                <w:b/>
                <w:sz w:val="16"/>
              </w:rPr>
            </w:pPr>
            <w:r>
              <w:rPr>
                <w:b/>
                <w:sz w:val="16"/>
              </w:rPr>
              <w:t>Stock Awards</w:t>
              <w:br/>
              <w:t>($)</w:t>
            </w:r>
          </w:p>
        </w:tc>
        <w:tc>
          <w:tcPr>
            <w:tcW w:w="60" w:type="dxa"/>
            <w:tcBorders/>
            <w:shd w:fill="auto" w:val="clear"/>
            <w:tcMar>
              <w:bottom w:w="0" w:type="dxa"/>
            </w:tcMar>
            <w:vAlign w:val="center"/>
          </w:tcPr>
          <w:p>
            <w:pPr>
              <w:pStyle w:val="TableContents"/>
              <w:spacing w:before="0" w:after="283"/>
              <w:jc w:val="center"/>
              <w:rPr/>
            </w:pPr>
            <w:r>
              <w:rPr/>
              <w:t> </w:t>
            </w:r>
          </w:p>
        </w:tc>
        <w:tc>
          <w:tcPr>
            <w:tcW w:w="1221" w:type="dxa"/>
            <w:tcBorders>
              <w:bottom w:val="single" w:sz="8" w:space="0" w:color="000000"/>
            </w:tcBorders>
            <w:shd w:fill="auto" w:val="clear"/>
            <w:vAlign w:val="center"/>
          </w:tcPr>
          <w:p>
            <w:pPr>
              <w:pStyle w:val="TableContents"/>
              <w:spacing w:before="0" w:after="283"/>
              <w:jc w:val="center"/>
              <w:rPr>
                <w:b/>
                <w:sz w:val="16"/>
              </w:rPr>
            </w:pPr>
            <w:r>
              <w:rPr>
                <w:b/>
                <w:sz w:val="16"/>
              </w:rPr>
              <w:t>Option Awards ($)(2)(3)</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bottom w:val="single" w:sz="8" w:space="0" w:color="000000"/>
            </w:tcBorders>
            <w:shd w:fill="auto" w:val="clear"/>
            <w:vAlign w:val="center"/>
          </w:tcPr>
          <w:p>
            <w:pPr>
              <w:pStyle w:val="TableContents"/>
              <w:spacing w:before="0" w:after="283"/>
              <w:jc w:val="center"/>
              <w:rPr>
                <w:b/>
                <w:sz w:val="16"/>
              </w:rPr>
            </w:pPr>
            <w:r>
              <w:rPr>
                <w:b/>
                <w:sz w:val="16"/>
              </w:rPr>
              <w:t>Non-Equity Incentive Plan Compensation ($)</w:t>
            </w:r>
          </w:p>
        </w:tc>
        <w:tc>
          <w:tcPr>
            <w:tcW w:w="60" w:type="dxa"/>
            <w:tcBorders/>
            <w:shd w:fill="auto" w:val="clear"/>
            <w:tcMar>
              <w:bottom w:w="0" w:type="dxa"/>
            </w:tcMar>
            <w:vAlign w:val="center"/>
          </w:tcPr>
          <w:p>
            <w:pPr>
              <w:pStyle w:val="TableContents"/>
              <w:spacing w:before="0" w:after="283"/>
              <w:jc w:val="center"/>
              <w:rPr/>
            </w:pPr>
            <w:r>
              <w:rPr/>
              <w:t> </w:t>
            </w:r>
          </w:p>
        </w:tc>
        <w:tc>
          <w:tcPr>
            <w:tcW w:w="1671" w:type="dxa"/>
            <w:tcBorders>
              <w:bottom w:val="single" w:sz="8" w:space="0" w:color="000000"/>
            </w:tcBorders>
            <w:shd w:fill="auto" w:val="clear"/>
            <w:vAlign w:val="center"/>
          </w:tcPr>
          <w:p>
            <w:pPr>
              <w:pStyle w:val="TableContents"/>
              <w:spacing w:before="0" w:after="283"/>
              <w:jc w:val="center"/>
              <w:rPr>
                <w:b/>
                <w:sz w:val="16"/>
              </w:rPr>
            </w:pPr>
            <w:r>
              <w:rPr>
                <w:b/>
                <w:sz w:val="16"/>
              </w:rPr>
              <w:t>All Other Compensation ($)(4)</w:t>
            </w:r>
          </w:p>
        </w:tc>
        <w:tc>
          <w:tcPr>
            <w:tcW w:w="60" w:type="dxa"/>
            <w:tcBorders/>
            <w:shd w:fill="auto" w:val="clear"/>
            <w:tcMar>
              <w:bottom w:w="0" w:type="dxa"/>
            </w:tcMar>
            <w:vAlign w:val="center"/>
          </w:tcPr>
          <w:p>
            <w:pPr>
              <w:pStyle w:val="TableContents"/>
              <w:spacing w:before="0" w:after="283"/>
              <w:jc w:val="center"/>
              <w:rPr/>
            </w:pPr>
            <w:r>
              <w:rPr/>
              <w:t> </w:t>
            </w:r>
          </w:p>
        </w:tc>
        <w:tc>
          <w:tcPr>
            <w:tcW w:w="757" w:type="dxa"/>
            <w:tcBorders>
              <w:bottom w:val="single" w:sz="8" w:space="0" w:color="000000"/>
            </w:tcBorders>
            <w:shd w:fill="auto" w:val="clear"/>
            <w:vAlign w:val="center"/>
          </w:tcPr>
          <w:p>
            <w:pPr>
              <w:pStyle w:val="TableContents"/>
              <w:jc w:val="center"/>
              <w:rPr>
                <w:b/>
              </w:rPr>
            </w:pPr>
            <w:r>
              <w:rPr>
                <w:b/>
              </w:rPr>
              <w:t>Total</w:t>
            </w:r>
          </w:p>
          <w:p>
            <w:pPr>
              <w:pStyle w:val="TableContents"/>
              <w:spacing w:before="0" w:after="283"/>
              <w:jc w:val="center"/>
              <w:rPr>
                <w:b/>
                <w:sz w:val="16"/>
              </w:rPr>
            </w:pPr>
            <w:r>
              <w:rPr>
                <w:b/>
                <w:sz w:val="16"/>
              </w:rPr>
              <w:t>($)</w:t>
            </w:r>
          </w:p>
        </w:tc>
      </w:tr>
      <w:tr>
        <w:trPr/>
        <w:tc>
          <w:tcPr>
            <w:tcW w:w="1485" w:type="dxa"/>
            <w:tcBorders/>
            <w:shd w:fill="CCEEFF" w:val="clear"/>
            <w:tcMar>
              <w:bottom w:w="0" w:type="dxa"/>
            </w:tcMar>
            <w:vAlign w:val="center"/>
          </w:tcPr>
          <w:p>
            <w:pPr>
              <w:pStyle w:val="TableContents"/>
              <w:spacing w:before="0" w:after="283"/>
              <w:rPr>
                <w:sz w:val="16"/>
              </w:rPr>
            </w:pPr>
            <w:r>
              <w:rPr>
                <w:sz w:val="16"/>
              </w:rPr>
              <w:t>Daniel S. Goldberger</w:t>
            </w:r>
          </w:p>
        </w:tc>
        <w:tc>
          <w:tcPr>
            <w:tcW w:w="60" w:type="dxa"/>
            <w:tcBorders/>
            <w:shd w:fill="CCEEFF" w:val="clear"/>
            <w:tcMar>
              <w:bottom w:w="0" w:type="dxa"/>
            </w:tcMar>
            <w:vAlign w:val="center"/>
          </w:tcPr>
          <w:p>
            <w:pPr>
              <w:pStyle w:val="TableContents"/>
              <w:spacing w:before="0" w:after="283"/>
              <w:jc w:val="center"/>
              <w:rPr/>
            </w:pPr>
            <w:r>
              <w:rPr/>
              <w:t> </w:t>
            </w:r>
          </w:p>
        </w:tc>
        <w:tc>
          <w:tcPr>
            <w:tcW w:w="380" w:type="dxa"/>
            <w:tcBorders/>
            <w:shd w:fill="CCEEFF" w:val="clear"/>
            <w:tcMar>
              <w:bottom w:w="0" w:type="dxa"/>
            </w:tcMar>
            <w:vAlign w:val="center"/>
          </w:tcPr>
          <w:p>
            <w:pPr>
              <w:pStyle w:val="TableContents"/>
              <w:spacing w:before="0" w:after="283"/>
              <w:jc w:val="center"/>
              <w:rPr>
                <w:sz w:val="16"/>
              </w:rPr>
            </w:pPr>
            <w:r>
              <w:rPr>
                <w:sz w:val="16"/>
              </w:rPr>
              <w:t>2022</w:t>
            </w:r>
          </w:p>
        </w:tc>
        <w:tc>
          <w:tcPr>
            <w:tcW w:w="60" w:type="dxa"/>
            <w:tcBorders/>
            <w:shd w:fill="CCEEFF" w:val="clear"/>
            <w:tcMar>
              <w:bottom w:w="0" w:type="dxa"/>
            </w:tcMar>
            <w:vAlign w:val="center"/>
          </w:tcPr>
          <w:p>
            <w:pPr>
              <w:pStyle w:val="TableContents"/>
              <w:spacing w:before="0" w:after="283"/>
              <w:jc w:val="right"/>
              <w:rPr/>
            </w:pPr>
            <w:r>
              <w:rPr/>
              <w:t> </w:t>
            </w:r>
          </w:p>
        </w:tc>
        <w:tc>
          <w:tcPr>
            <w:tcW w:w="605" w:type="dxa"/>
            <w:tcBorders/>
            <w:shd w:fill="CCEEFF" w:val="clear"/>
            <w:tcMar>
              <w:bottom w:w="0" w:type="dxa"/>
            </w:tcMar>
            <w:vAlign w:val="center"/>
          </w:tcPr>
          <w:p>
            <w:pPr>
              <w:pStyle w:val="TableContents"/>
              <w:spacing w:before="0" w:after="283"/>
              <w:jc w:val="right"/>
              <w:rPr>
                <w:sz w:val="16"/>
              </w:rPr>
            </w:pPr>
            <w:r>
              <w:rPr>
                <w:sz w:val="16"/>
              </w:rPr>
              <w:t>556,500</w:t>
            </w:r>
          </w:p>
        </w:tc>
        <w:tc>
          <w:tcPr>
            <w:tcW w:w="60" w:type="dxa"/>
            <w:tcBorders/>
            <w:shd w:fill="CCEEFF" w:val="clear"/>
            <w:tcMar>
              <w:bottom w:w="0" w:type="dxa"/>
            </w:tcMar>
            <w:vAlign w:val="center"/>
          </w:tcPr>
          <w:p>
            <w:pPr>
              <w:pStyle w:val="TableContents"/>
              <w:spacing w:before="0" w:after="283"/>
              <w:jc w:val="right"/>
              <w:rPr/>
            </w:pPr>
            <w:r>
              <w:rPr/>
              <w:t> </w:t>
            </w:r>
          </w:p>
        </w:tc>
        <w:tc>
          <w:tcPr>
            <w:tcW w:w="605" w:type="dxa"/>
            <w:tcBorders/>
            <w:shd w:fill="CCEEFF" w:val="clear"/>
            <w:tcMar>
              <w:bottom w:w="0" w:type="dxa"/>
            </w:tcMar>
            <w:vAlign w:val="center"/>
          </w:tcPr>
          <w:p>
            <w:pPr>
              <w:pStyle w:val="TableContents"/>
              <w:spacing w:before="0" w:after="283"/>
              <w:jc w:val="right"/>
              <w:rPr>
                <w:sz w:val="16"/>
              </w:rPr>
            </w:pPr>
            <w:r>
              <w:rPr>
                <w:sz w:val="16"/>
              </w:rPr>
              <w:t>278,250</w:t>
            </w:r>
          </w:p>
        </w:tc>
        <w:tc>
          <w:tcPr>
            <w:tcW w:w="60" w:type="dxa"/>
            <w:tcBorders/>
            <w:shd w:fill="CCEEFF" w:val="clear"/>
            <w:tcMar>
              <w:bottom w:w="0" w:type="dxa"/>
            </w:tcMar>
            <w:vAlign w:val="center"/>
          </w:tcPr>
          <w:p>
            <w:pPr>
              <w:pStyle w:val="TableContents"/>
              <w:spacing w:before="0" w:after="283"/>
              <w:jc w:val="right"/>
              <w:rPr/>
            </w:pPr>
            <w:r>
              <w:rPr/>
              <w:t> </w:t>
            </w:r>
          </w:p>
        </w:tc>
        <w:tc>
          <w:tcPr>
            <w:tcW w:w="806" w:type="dxa"/>
            <w:tcBorders/>
            <w:shd w:fill="CCEEFF" w:val="clear"/>
            <w:tcMar>
              <w:bottom w:w="0" w:type="dxa"/>
            </w:tcMar>
            <w:vAlign w:val="center"/>
          </w:tcPr>
          <w:p>
            <w:pPr>
              <w:pStyle w:val="TableContents"/>
              <w:spacing w:before="0" w:after="283"/>
              <w:jc w:val="right"/>
              <w:rPr>
                <w:sz w:val="16"/>
              </w:rPr>
            </w:pPr>
            <w:r>
              <w:rPr>
                <w:sz w:val="16"/>
              </w:rPr>
              <w:t>-</w:t>
            </w:r>
          </w:p>
        </w:tc>
        <w:tc>
          <w:tcPr>
            <w:tcW w:w="60" w:type="dxa"/>
            <w:tcBorders/>
            <w:shd w:fill="CCEEFF" w:val="clear"/>
            <w:tcMar>
              <w:bottom w:w="0" w:type="dxa"/>
            </w:tcMar>
            <w:vAlign w:val="center"/>
          </w:tcPr>
          <w:p>
            <w:pPr>
              <w:pStyle w:val="TableContents"/>
              <w:spacing w:before="0" w:after="283"/>
              <w:jc w:val="right"/>
              <w:rPr/>
            </w:pPr>
            <w:r>
              <w:rPr/>
              <w:t> </w:t>
            </w:r>
          </w:p>
        </w:tc>
        <w:tc>
          <w:tcPr>
            <w:tcW w:w="1221" w:type="dxa"/>
            <w:tcBorders/>
            <w:shd w:fill="CCEEFF" w:val="clear"/>
            <w:tcMar>
              <w:bottom w:w="0" w:type="dxa"/>
            </w:tcMar>
            <w:vAlign w:val="center"/>
          </w:tcPr>
          <w:p>
            <w:pPr>
              <w:pStyle w:val="TableContents"/>
              <w:spacing w:before="0" w:after="283"/>
              <w:jc w:val="right"/>
              <w:rPr>
                <w:sz w:val="16"/>
              </w:rPr>
            </w:pPr>
            <w:r>
              <w:rPr>
                <w:sz w:val="16"/>
              </w:rPr>
              <w:t>136,912</w:t>
            </w:r>
          </w:p>
        </w:tc>
        <w:tc>
          <w:tcPr>
            <w:tcW w:w="60" w:type="dxa"/>
            <w:tcBorders/>
            <w:shd w:fill="CCEEFF" w:val="clear"/>
            <w:tcMar>
              <w:bottom w:w="0" w:type="dxa"/>
            </w:tcMar>
            <w:vAlign w:val="center"/>
          </w:tcPr>
          <w:p>
            <w:pPr>
              <w:pStyle w:val="TableContents"/>
              <w:spacing w:before="0" w:after="283"/>
              <w:jc w:val="right"/>
              <w:rPr/>
            </w:pPr>
            <w:r>
              <w:rPr/>
              <w:t> </w:t>
            </w:r>
          </w:p>
        </w:tc>
        <w:tc>
          <w:tcPr>
            <w:tcW w:w="2195" w:type="dxa"/>
            <w:tcBorders/>
            <w:shd w:fill="CCEEFF" w:val="clear"/>
            <w:tcMar>
              <w:bottom w:w="0" w:type="dxa"/>
            </w:tcMar>
            <w:vAlign w:val="center"/>
          </w:tcPr>
          <w:p>
            <w:pPr>
              <w:pStyle w:val="TableContents"/>
              <w:spacing w:before="0" w:after="283"/>
              <w:jc w:val="right"/>
              <w:rPr>
                <w:sz w:val="16"/>
              </w:rPr>
            </w:pPr>
            <w:r>
              <w:rPr>
                <w:sz w:val="16"/>
              </w:rPr>
              <w:t>-</w:t>
            </w:r>
          </w:p>
        </w:tc>
        <w:tc>
          <w:tcPr>
            <w:tcW w:w="60" w:type="dxa"/>
            <w:tcBorders/>
            <w:shd w:fill="CCEEFF" w:val="clear"/>
            <w:tcMar>
              <w:bottom w:w="0" w:type="dxa"/>
            </w:tcMar>
            <w:vAlign w:val="center"/>
          </w:tcPr>
          <w:p>
            <w:pPr>
              <w:pStyle w:val="TableContents"/>
              <w:spacing w:before="0" w:after="283"/>
              <w:jc w:val="right"/>
              <w:rPr/>
            </w:pPr>
            <w:r>
              <w:rPr/>
              <w:t> </w:t>
            </w:r>
          </w:p>
        </w:tc>
        <w:tc>
          <w:tcPr>
            <w:tcW w:w="1671" w:type="dxa"/>
            <w:tcBorders/>
            <w:shd w:fill="CCEEFF" w:val="clear"/>
            <w:tcMar>
              <w:bottom w:w="0" w:type="dxa"/>
            </w:tcMar>
            <w:vAlign w:val="center"/>
          </w:tcPr>
          <w:p>
            <w:pPr>
              <w:pStyle w:val="TableContents"/>
              <w:spacing w:before="0" w:after="283"/>
              <w:jc w:val="right"/>
              <w:rPr>
                <w:sz w:val="16"/>
              </w:rPr>
            </w:pPr>
            <w:r>
              <w:rPr>
                <w:sz w:val="16"/>
              </w:rPr>
              <w:t>25,943</w:t>
            </w:r>
          </w:p>
        </w:tc>
        <w:tc>
          <w:tcPr>
            <w:tcW w:w="60" w:type="dxa"/>
            <w:tcBorders/>
            <w:shd w:fill="CCEEFF" w:val="clear"/>
            <w:tcMar>
              <w:bottom w:w="0" w:type="dxa"/>
            </w:tcMar>
            <w:vAlign w:val="center"/>
          </w:tcPr>
          <w:p>
            <w:pPr>
              <w:pStyle w:val="TableContents"/>
              <w:spacing w:before="0" w:after="283"/>
              <w:jc w:val="right"/>
              <w:rPr/>
            </w:pPr>
            <w:r>
              <w:rPr/>
              <w:t> </w:t>
            </w:r>
          </w:p>
        </w:tc>
        <w:tc>
          <w:tcPr>
            <w:tcW w:w="757" w:type="dxa"/>
            <w:tcBorders/>
            <w:shd w:fill="CCEEFF" w:val="clear"/>
            <w:tcMar>
              <w:bottom w:w="0" w:type="dxa"/>
            </w:tcMar>
            <w:vAlign w:val="center"/>
          </w:tcPr>
          <w:p>
            <w:pPr>
              <w:pStyle w:val="TableContents"/>
              <w:spacing w:before="0" w:after="283"/>
              <w:jc w:val="right"/>
              <w:rPr>
                <w:sz w:val="16"/>
              </w:rPr>
            </w:pPr>
            <w:r>
              <w:rPr>
                <w:sz w:val="16"/>
              </w:rPr>
              <w:t>997,605</w:t>
            </w:r>
          </w:p>
        </w:tc>
      </w:tr>
      <w:tr>
        <w:trPr/>
        <w:tc>
          <w:tcPr>
            <w:tcW w:w="1485" w:type="dxa"/>
            <w:tcBorders/>
            <w:shd w:fill="CCEEFF" w:val="clear"/>
            <w:tcMar>
              <w:bottom w:w="0" w:type="dxa"/>
            </w:tcMar>
            <w:vAlign w:val="center"/>
          </w:tcPr>
          <w:p>
            <w:pPr>
              <w:pStyle w:val="TableContents"/>
              <w:spacing w:before="0" w:after="283"/>
              <w:rPr>
                <w:i/>
                <w:sz w:val="16"/>
              </w:rPr>
            </w:pPr>
            <w:r>
              <w:rPr>
                <w:i/>
                <w:sz w:val="16"/>
              </w:rPr>
              <w:t>Chief Executive Officer</w:t>
            </w:r>
          </w:p>
        </w:tc>
        <w:tc>
          <w:tcPr>
            <w:tcW w:w="60" w:type="dxa"/>
            <w:tcBorders/>
            <w:shd w:fill="CCEEFF" w:val="clear"/>
            <w:tcMar>
              <w:bottom w:w="0" w:type="dxa"/>
            </w:tcMar>
            <w:vAlign w:val="center"/>
          </w:tcPr>
          <w:p>
            <w:pPr>
              <w:pStyle w:val="TableContents"/>
              <w:spacing w:before="0" w:after="283"/>
              <w:jc w:val="center"/>
              <w:rPr/>
            </w:pPr>
            <w:r>
              <w:rPr/>
              <w:t> </w:t>
            </w:r>
          </w:p>
        </w:tc>
        <w:tc>
          <w:tcPr>
            <w:tcW w:w="380" w:type="dxa"/>
            <w:tcBorders/>
            <w:shd w:fill="CCEEFF" w:val="clear"/>
            <w:tcMar>
              <w:bottom w:w="0" w:type="dxa"/>
            </w:tcMar>
            <w:vAlign w:val="center"/>
          </w:tcPr>
          <w:p>
            <w:pPr>
              <w:pStyle w:val="TableContents"/>
              <w:spacing w:before="0" w:after="283"/>
              <w:jc w:val="center"/>
              <w:rPr>
                <w:sz w:val="16"/>
              </w:rPr>
            </w:pPr>
            <w:r>
              <w:rPr>
                <w:sz w:val="16"/>
              </w:rPr>
              <w:t>2021</w:t>
            </w:r>
          </w:p>
        </w:tc>
        <w:tc>
          <w:tcPr>
            <w:tcW w:w="60" w:type="dxa"/>
            <w:tcBorders/>
            <w:shd w:fill="CCEEFF" w:val="clear"/>
            <w:tcMar>
              <w:bottom w:w="0" w:type="dxa"/>
            </w:tcMar>
            <w:vAlign w:val="center"/>
          </w:tcPr>
          <w:p>
            <w:pPr>
              <w:pStyle w:val="TableContents"/>
              <w:spacing w:before="0" w:after="283"/>
              <w:jc w:val="right"/>
              <w:rPr/>
            </w:pPr>
            <w:r>
              <w:rPr/>
              <w:t> </w:t>
            </w:r>
          </w:p>
        </w:tc>
        <w:tc>
          <w:tcPr>
            <w:tcW w:w="605" w:type="dxa"/>
            <w:tcBorders/>
            <w:shd w:fill="CCEEFF" w:val="clear"/>
            <w:tcMar>
              <w:bottom w:w="0" w:type="dxa"/>
            </w:tcMar>
            <w:vAlign w:val="center"/>
          </w:tcPr>
          <w:p>
            <w:pPr>
              <w:pStyle w:val="TableContents"/>
              <w:spacing w:before="0" w:after="283"/>
              <w:jc w:val="right"/>
              <w:rPr>
                <w:sz w:val="16"/>
              </w:rPr>
            </w:pPr>
            <w:r>
              <w:rPr>
                <w:sz w:val="16"/>
              </w:rPr>
              <w:t>525,000</w:t>
            </w:r>
          </w:p>
        </w:tc>
        <w:tc>
          <w:tcPr>
            <w:tcW w:w="60" w:type="dxa"/>
            <w:tcBorders/>
            <w:shd w:fill="CCEEFF" w:val="clear"/>
            <w:tcMar>
              <w:bottom w:w="0" w:type="dxa"/>
            </w:tcMar>
            <w:vAlign w:val="center"/>
          </w:tcPr>
          <w:p>
            <w:pPr>
              <w:pStyle w:val="TableContents"/>
              <w:spacing w:before="0" w:after="283"/>
              <w:jc w:val="right"/>
              <w:rPr/>
            </w:pPr>
            <w:r>
              <w:rPr/>
              <w:t> </w:t>
            </w:r>
          </w:p>
        </w:tc>
        <w:tc>
          <w:tcPr>
            <w:tcW w:w="605" w:type="dxa"/>
            <w:tcBorders/>
            <w:shd w:fill="CCEEFF" w:val="clear"/>
            <w:tcMar>
              <w:bottom w:w="0" w:type="dxa"/>
            </w:tcMar>
            <w:vAlign w:val="center"/>
          </w:tcPr>
          <w:p>
            <w:pPr>
              <w:pStyle w:val="TableContents"/>
              <w:spacing w:before="0" w:after="283"/>
              <w:jc w:val="right"/>
              <w:rPr>
                <w:sz w:val="16"/>
              </w:rPr>
            </w:pPr>
            <w:r>
              <w:rPr>
                <w:sz w:val="16"/>
              </w:rPr>
              <w:t>262,000</w:t>
            </w:r>
          </w:p>
        </w:tc>
        <w:tc>
          <w:tcPr>
            <w:tcW w:w="60" w:type="dxa"/>
            <w:tcBorders/>
            <w:shd w:fill="CCEEFF" w:val="clear"/>
            <w:tcMar>
              <w:bottom w:w="0" w:type="dxa"/>
            </w:tcMar>
            <w:vAlign w:val="center"/>
          </w:tcPr>
          <w:p>
            <w:pPr>
              <w:pStyle w:val="TableContents"/>
              <w:spacing w:before="0" w:after="283"/>
              <w:jc w:val="right"/>
              <w:rPr/>
            </w:pPr>
            <w:r>
              <w:rPr/>
              <w:t> </w:t>
            </w:r>
          </w:p>
        </w:tc>
        <w:tc>
          <w:tcPr>
            <w:tcW w:w="806" w:type="dxa"/>
            <w:tcBorders/>
            <w:shd w:fill="CCEEFF" w:val="clear"/>
            <w:tcMar>
              <w:bottom w:w="0" w:type="dxa"/>
            </w:tcMar>
            <w:vAlign w:val="center"/>
          </w:tcPr>
          <w:p>
            <w:pPr>
              <w:pStyle w:val="TableContents"/>
              <w:spacing w:before="0" w:after="283"/>
              <w:jc w:val="right"/>
              <w:rPr>
                <w:sz w:val="16"/>
              </w:rPr>
            </w:pPr>
            <w:r>
              <w:rPr>
                <w:sz w:val="16"/>
              </w:rPr>
              <w:t>-</w:t>
            </w:r>
          </w:p>
        </w:tc>
        <w:tc>
          <w:tcPr>
            <w:tcW w:w="60" w:type="dxa"/>
            <w:tcBorders/>
            <w:shd w:fill="CCEEFF" w:val="clear"/>
            <w:tcMar>
              <w:bottom w:w="0" w:type="dxa"/>
            </w:tcMar>
            <w:vAlign w:val="center"/>
          </w:tcPr>
          <w:p>
            <w:pPr>
              <w:pStyle w:val="TableContents"/>
              <w:spacing w:before="0" w:after="283"/>
              <w:jc w:val="right"/>
              <w:rPr/>
            </w:pPr>
            <w:r>
              <w:rPr/>
              <w:t> </w:t>
            </w:r>
          </w:p>
        </w:tc>
        <w:tc>
          <w:tcPr>
            <w:tcW w:w="1221" w:type="dxa"/>
            <w:tcBorders/>
            <w:shd w:fill="CCEEFF" w:val="clear"/>
            <w:tcMar>
              <w:bottom w:w="0" w:type="dxa"/>
            </w:tcMar>
            <w:vAlign w:val="center"/>
          </w:tcPr>
          <w:p>
            <w:pPr>
              <w:pStyle w:val="TableContents"/>
              <w:spacing w:before="0" w:after="283"/>
              <w:jc w:val="right"/>
              <w:rPr>
                <w:sz w:val="16"/>
              </w:rPr>
            </w:pPr>
            <w:r>
              <w:rPr>
                <w:sz w:val="16"/>
              </w:rPr>
              <w:t>493,669</w:t>
            </w:r>
          </w:p>
        </w:tc>
        <w:tc>
          <w:tcPr>
            <w:tcW w:w="60" w:type="dxa"/>
            <w:tcBorders/>
            <w:shd w:fill="CCEEFF" w:val="clear"/>
            <w:tcMar>
              <w:bottom w:w="0" w:type="dxa"/>
            </w:tcMar>
            <w:vAlign w:val="center"/>
          </w:tcPr>
          <w:p>
            <w:pPr>
              <w:pStyle w:val="TableContents"/>
              <w:spacing w:before="0" w:after="283"/>
              <w:jc w:val="right"/>
              <w:rPr/>
            </w:pPr>
            <w:r>
              <w:rPr/>
              <w:t> </w:t>
            </w:r>
          </w:p>
        </w:tc>
        <w:tc>
          <w:tcPr>
            <w:tcW w:w="2195" w:type="dxa"/>
            <w:tcBorders/>
            <w:shd w:fill="CCEEFF" w:val="clear"/>
            <w:tcMar>
              <w:bottom w:w="0" w:type="dxa"/>
            </w:tcMar>
            <w:vAlign w:val="center"/>
          </w:tcPr>
          <w:p>
            <w:pPr>
              <w:pStyle w:val="TableContents"/>
              <w:spacing w:before="0" w:after="283"/>
              <w:jc w:val="right"/>
              <w:rPr>
                <w:sz w:val="16"/>
              </w:rPr>
            </w:pPr>
            <w:r>
              <w:rPr>
                <w:sz w:val="16"/>
              </w:rPr>
              <w:t>-</w:t>
            </w:r>
          </w:p>
        </w:tc>
        <w:tc>
          <w:tcPr>
            <w:tcW w:w="60" w:type="dxa"/>
            <w:tcBorders/>
            <w:shd w:fill="CCEEFF" w:val="clear"/>
            <w:tcMar>
              <w:bottom w:w="0" w:type="dxa"/>
            </w:tcMar>
            <w:vAlign w:val="center"/>
          </w:tcPr>
          <w:p>
            <w:pPr>
              <w:pStyle w:val="TableContents"/>
              <w:spacing w:before="0" w:after="283"/>
              <w:jc w:val="right"/>
              <w:rPr/>
            </w:pPr>
            <w:r>
              <w:rPr/>
              <w:t> </w:t>
            </w:r>
          </w:p>
        </w:tc>
        <w:tc>
          <w:tcPr>
            <w:tcW w:w="1671" w:type="dxa"/>
            <w:tcBorders/>
            <w:shd w:fill="CCEEFF" w:val="clear"/>
            <w:tcMar>
              <w:bottom w:w="0" w:type="dxa"/>
            </w:tcMar>
            <w:vAlign w:val="center"/>
          </w:tcPr>
          <w:p>
            <w:pPr>
              <w:pStyle w:val="TableContents"/>
              <w:spacing w:before="0" w:after="283"/>
              <w:jc w:val="right"/>
              <w:rPr>
                <w:sz w:val="16"/>
              </w:rPr>
            </w:pPr>
            <w:r>
              <w:rPr>
                <w:sz w:val="16"/>
              </w:rPr>
              <w:t>23,670</w:t>
            </w:r>
          </w:p>
        </w:tc>
        <w:tc>
          <w:tcPr>
            <w:tcW w:w="60" w:type="dxa"/>
            <w:tcBorders/>
            <w:shd w:fill="CCEEFF" w:val="clear"/>
            <w:tcMar>
              <w:bottom w:w="0" w:type="dxa"/>
            </w:tcMar>
            <w:vAlign w:val="center"/>
          </w:tcPr>
          <w:p>
            <w:pPr>
              <w:pStyle w:val="TableContents"/>
              <w:spacing w:before="0" w:after="283"/>
              <w:jc w:val="right"/>
              <w:rPr/>
            </w:pPr>
            <w:r>
              <w:rPr/>
              <w:t> </w:t>
            </w:r>
          </w:p>
        </w:tc>
        <w:tc>
          <w:tcPr>
            <w:tcW w:w="757" w:type="dxa"/>
            <w:tcBorders/>
            <w:shd w:fill="CCEEFF" w:val="clear"/>
            <w:tcMar>
              <w:bottom w:w="0" w:type="dxa"/>
            </w:tcMar>
            <w:vAlign w:val="center"/>
          </w:tcPr>
          <w:p>
            <w:pPr>
              <w:pStyle w:val="TableContents"/>
              <w:spacing w:before="0" w:after="283"/>
              <w:jc w:val="right"/>
              <w:rPr>
                <w:sz w:val="16"/>
              </w:rPr>
            </w:pPr>
            <w:r>
              <w:rPr>
                <w:sz w:val="16"/>
              </w:rPr>
              <w:t>1,304,339</w:t>
            </w:r>
          </w:p>
        </w:tc>
      </w:tr>
      <w:tr>
        <w:trPr/>
        <w:tc>
          <w:tcPr>
            <w:tcW w:w="1485" w:type="dxa"/>
            <w:tcBorders/>
            <w:shd w:fill="FFFFFF" w:val="clear"/>
            <w:tcMar>
              <w:bottom w:w="0" w:type="dxa"/>
            </w:tcMar>
            <w:vAlign w:val="center"/>
          </w:tcPr>
          <w:p>
            <w:pPr>
              <w:pStyle w:val="TableContents"/>
              <w:spacing w:before="0" w:after="283"/>
              <w:rPr>
                <w:sz w:val="16"/>
              </w:rPr>
            </w:pPr>
            <w:r>
              <w:rPr>
                <w:sz w:val="16"/>
              </w:rPr>
              <w:t>Brian M. Posner</w:t>
            </w:r>
          </w:p>
        </w:tc>
        <w:tc>
          <w:tcPr>
            <w:tcW w:w="60" w:type="dxa"/>
            <w:tcBorders/>
            <w:shd w:fill="FFFFFF" w:val="clear"/>
            <w:tcMar>
              <w:bottom w:w="0" w:type="dxa"/>
            </w:tcMar>
            <w:vAlign w:val="center"/>
          </w:tcPr>
          <w:p>
            <w:pPr>
              <w:pStyle w:val="TableContents"/>
              <w:spacing w:before="0" w:after="283"/>
              <w:jc w:val="center"/>
              <w:rPr/>
            </w:pPr>
            <w:r>
              <w:rPr/>
              <w:t> </w:t>
            </w:r>
          </w:p>
        </w:tc>
        <w:tc>
          <w:tcPr>
            <w:tcW w:w="380" w:type="dxa"/>
            <w:tcBorders/>
            <w:shd w:fill="FFFFFF" w:val="clear"/>
            <w:tcMar>
              <w:bottom w:w="0" w:type="dxa"/>
            </w:tcMar>
            <w:vAlign w:val="center"/>
          </w:tcPr>
          <w:p>
            <w:pPr>
              <w:pStyle w:val="TableContents"/>
              <w:spacing w:before="0" w:after="283"/>
              <w:jc w:val="center"/>
              <w:rPr>
                <w:sz w:val="16"/>
              </w:rPr>
            </w:pPr>
            <w:r>
              <w:rPr>
                <w:sz w:val="16"/>
              </w:rPr>
              <w:t>2022</w:t>
            </w:r>
          </w:p>
        </w:tc>
        <w:tc>
          <w:tcPr>
            <w:tcW w:w="60" w:type="dxa"/>
            <w:tcBorders/>
            <w:shd w:fill="FFFFFF" w:val="clear"/>
            <w:tcMar>
              <w:bottom w:w="0" w:type="dxa"/>
            </w:tcMar>
            <w:vAlign w:val="center"/>
          </w:tcPr>
          <w:p>
            <w:pPr>
              <w:pStyle w:val="TableContents"/>
              <w:spacing w:before="0" w:after="283"/>
              <w:jc w:val="right"/>
              <w:rPr/>
            </w:pPr>
            <w:r>
              <w:rPr/>
              <w:t> </w:t>
            </w:r>
          </w:p>
        </w:tc>
        <w:tc>
          <w:tcPr>
            <w:tcW w:w="605" w:type="dxa"/>
            <w:tcBorders/>
            <w:shd w:fill="FFFFFF" w:val="clear"/>
            <w:tcMar>
              <w:bottom w:w="0" w:type="dxa"/>
            </w:tcMar>
            <w:vAlign w:val="center"/>
          </w:tcPr>
          <w:p>
            <w:pPr>
              <w:pStyle w:val="TableContents"/>
              <w:spacing w:before="0" w:after="283"/>
              <w:jc w:val="right"/>
              <w:rPr>
                <w:sz w:val="16"/>
              </w:rPr>
            </w:pPr>
            <w:r>
              <w:rPr>
                <w:sz w:val="16"/>
              </w:rPr>
              <w:t>387,000</w:t>
            </w:r>
          </w:p>
        </w:tc>
        <w:tc>
          <w:tcPr>
            <w:tcW w:w="60" w:type="dxa"/>
            <w:tcBorders/>
            <w:shd w:fill="FFFFFF" w:val="clear"/>
            <w:tcMar>
              <w:bottom w:w="0" w:type="dxa"/>
            </w:tcMar>
            <w:vAlign w:val="center"/>
          </w:tcPr>
          <w:p>
            <w:pPr>
              <w:pStyle w:val="TableContents"/>
              <w:spacing w:before="0" w:after="283"/>
              <w:jc w:val="right"/>
              <w:rPr/>
            </w:pPr>
            <w:r>
              <w:rPr/>
              <w:t> </w:t>
            </w:r>
          </w:p>
        </w:tc>
        <w:tc>
          <w:tcPr>
            <w:tcW w:w="605" w:type="dxa"/>
            <w:tcBorders/>
            <w:shd w:fill="FFFFFF" w:val="clear"/>
            <w:tcMar>
              <w:bottom w:w="0" w:type="dxa"/>
            </w:tcMar>
            <w:vAlign w:val="center"/>
          </w:tcPr>
          <w:p>
            <w:pPr>
              <w:pStyle w:val="TableContents"/>
              <w:spacing w:before="0" w:after="283"/>
              <w:jc w:val="right"/>
              <w:rPr>
                <w:sz w:val="16"/>
              </w:rPr>
            </w:pPr>
            <w:r>
              <w:rPr>
                <w:sz w:val="16"/>
              </w:rPr>
              <w:t>154,800</w:t>
            </w:r>
          </w:p>
        </w:tc>
        <w:tc>
          <w:tcPr>
            <w:tcW w:w="60" w:type="dxa"/>
            <w:tcBorders/>
            <w:shd w:fill="FFFFFF" w:val="clear"/>
            <w:tcMar>
              <w:bottom w:w="0" w:type="dxa"/>
            </w:tcMar>
            <w:vAlign w:val="center"/>
          </w:tcPr>
          <w:p>
            <w:pPr>
              <w:pStyle w:val="TableContents"/>
              <w:spacing w:before="0" w:after="283"/>
              <w:jc w:val="right"/>
              <w:rPr/>
            </w:pPr>
            <w:r>
              <w:rPr/>
              <w:t> </w:t>
            </w:r>
          </w:p>
        </w:tc>
        <w:tc>
          <w:tcPr>
            <w:tcW w:w="806" w:type="dxa"/>
            <w:tcBorders/>
            <w:shd w:fill="FFFFFF" w:val="clear"/>
            <w:tcMar>
              <w:bottom w:w="0" w:type="dxa"/>
            </w:tcMar>
            <w:vAlign w:val="center"/>
          </w:tcPr>
          <w:p>
            <w:pPr>
              <w:pStyle w:val="TableContents"/>
              <w:spacing w:before="0" w:after="283"/>
              <w:jc w:val="right"/>
              <w:rPr>
                <w:sz w:val="16"/>
              </w:rPr>
            </w:pPr>
            <w:r>
              <w:rPr>
                <w:sz w:val="16"/>
              </w:rPr>
              <w:t>-</w:t>
            </w:r>
          </w:p>
        </w:tc>
        <w:tc>
          <w:tcPr>
            <w:tcW w:w="60" w:type="dxa"/>
            <w:tcBorders/>
            <w:shd w:fill="FFFFFF" w:val="clear"/>
            <w:tcMar>
              <w:bottom w:w="0" w:type="dxa"/>
            </w:tcMar>
            <w:vAlign w:val="center"/>
          </w:tcPr>
          <w:p>
            <w:pPr>
              <w:pStyle w:val="TableContents"/>
              <w:spacing w:before="0" w:after="283"/>
              <w:jc w:val="right"/>
              <w:rPr/>
            </w:pPr>
            <w:r>
              <w:rPr/>
              <w:t> </w:t>
            </w:r>
          </w:p>
        </w:tc>
        <w:tc>
          <w:tcPr>
            <w:tcW w:w="1221" w:type="dxa"/>
            <w:tcBorders/>
            <w:shd w:fill="FFFFFF" w:val="clear"/>
            <w:tcMar>
              <w:bottom w:w="0" w:type="dxa"/>
            </w:tcMar>
            <w:vAlign w:val="center"/>
          </w:tcPr>
          <w:p>
            <w:pPr>
              <w:pStyle w:val="TableContents"/>
              <w:spacing w:before="0" w:after="283"/>
              <w:jc w:val="right"/>
              <w:rPr>
                <w:sz w:val="16"/>
              </w:rPr>
            </w:pPr>
            <w:r>
              <w:rPr>
                <w:sz w:val="16"/>
              </w:rPr>
              <w:t>54,770</w:t>
            </w:r>
          </w:p>
        </w:tc>
        <w:tc>
          <w:tcPr>
            <w:tcW w:w="60" w:type="dxa"/>
            <w:tcBorders/>
            <w:shd w:fill="FFFFFF" w:val="clear"/>
            <w:tcMar>
              <w:bottom w:w="0" w:type="dxa"/>
            </w:tcMar>
            <w:vAlign w:val="center"/>
          </w:tcPr>
          <w:p>
            <w:pPr>
              <w:pStyle w:val="TableContents"/>
              <w:spacing w:before="0" w:after="283"/>
              <w:jc w:val="right"/>
              <w:rPr/>
            </w:pPr>
            <w:r>
              <w:rPr/>
              <w:t> </w:t>
            </w:r>
          </w:p>
        </w:tc>
        <w:tc>
          <w:tcPr>
            <w:tcW w:w="2195" w:type="dxa"/>
            <w:tcBorders/>
            <w:shd w:fill="FFFFFF" w:val="clear"/>
            <w:tcMar>
              <w:bottom w:w="0" w:type="dxa"/>
            </w:tcMar>
            <w:vAlign w:val="center"/>
          </w:tcPr>
          <w:p>
            <w:pPr>
              <w:pStyle w:val="TableContents"/>
              <w:spacing w:before="0" w:after="283"/>
              <w:jc w:val="right"/>
              <w:rPr>
                <w:sz w:val="16"/>
              </w:rPr>
            </w:pPr>
            <w:r>
              <w:rPr>
                <w:sz w:val="16"/>
              </w:rPr>
              <w:t>-</w:t>
            </w:r>
          </w:p>
        </w:tc>
        <w:tc>
          <w:tcPr>
            <w:tcW w:w="60" w:type="dxa"/>
            <w:tcBorders/>
            <w:shd w:fill="FFFFFF" w:val="clear"/>
            <w:tcMar>
              <w:bottom w:w="0" w:type="dxa"/>
            </w:tcMar>
            <w:vAlign w:val="center"/>
          </w:tcPr>
          <w:p>
            <w:pPr>
              <w:pStyle w:val="TableContents"/>
              <w:spacing w:before="0" w:after="283"/>
              <w:jc w:val="right"/>
              <w:rPr/>
            </w:pPr>
            <w:r>
              <w:rPr/>
              <w:t> </w:t>
            </w:r>
          </w:p>
        </w:tc>
        <w:tc>
          <w:tcPr>
            <w:tcW w:w="1671" w:type="dxa"/>
            <w:tcBorders/>
            <w:shd w:fill="FFFFFF" w:val="clear"/>
            <w:tcMar>
              <w:bottom w:w="0" w:type="dxa"/>
            </w:tcMar>
            <w:vAlign w:val="center"/>
          </w:tcPr>
          <w:p>
            <w:pPr>
              <w:pStyle w:val="TableContents"/>
              <w:spacing w:before="0" w:after="283"/>
              <w:jc w:val="right"/>
              <w:rPr>
                <w:sz w:val="16"/>
              </w:rPr>
            </w:pPr>
            <w:r>
              <w:rPr>
                <w:sz w:val="16"/>
              </w:rPr>
              <w:t>18,260</w:t>
            </w:r>
          </w:p>
        </w:tc>
        <w:tc>
          <w:tcPr>
            <w:tcW w:w="60" w:type="dxa"/>
            <w:tcBorders/>
            <w:shd w:fill="FFFFFF" w:val="clear"/>
            <w:tcMar>
              <w:bottom w:w="0" w:type="dxa"/>
            </w:tcMar>
            <w:vAlign w:val="center"/>
          </w:tcPr>
          <w:p>
            <w:pPr>
              <w:pStyle w:val="TableContents"/>
              <w:spacing w:before="0" w:after="283"/>
              <w:jc w:val="right"/>
              <w:rPr/>
            </w:pPr>
            <w:r>
              <w:rPr/>
              <w:t> </w:t>
            </w:r>
          </w:p>
        </w:tc>
        <w:tc>
          <w:tcPr>
            <w:tcW w:w="757" w:type="dxa"/>
            <w:tcBorders/>
            <w:shd w:fill="FFFFFF" w:val="clear"/>
            <w:tcMar>
              <w:bottom w:w="0" w:type="dxa"/>
            </w:tcMar>
            <w:vAlign w:val="center"/>
          </w:tcPr>
          <w:p>
            <w:pPr>
              <w:pStyle w:val="TableContents"/>
              <w:spacing w:before="0" w:after="283"/>
              <w:jc w:val="right"/>
              <w:rPr>
                <w:sz w:val="16"/>
              </w:rPr>
            </w:pPr>
            <w:r>
              <w:rPr>
                <w:sz w:val="16"/>
              </w:rPr>
              <w:t>614,830</w:t>
            </w:r>
          </w:p>
        </w:tc>
      </w:tr>
      <w:tr>
        <w:trPr/>
        <w:tc>
          <w:tcPr>
            <w:tcW w:w="1485" w:type="dxa"/>
            <w:tcBorders/>
            <w:shd w:fill="FFFFFF" w:val="clear"/>
            <w:tcMar>
              <w:bottom w:w="0" w:type="dxa"/>
            </w:tcMar>
            <w:vAlign w:val="center"/>
          </w:tcPr>
          <w:p>
            <w:pPr>
              <w:pStyle w:val="TableContents"/>
              <w:spacing w:before="0" w:after="283"/>
              <w:rPr>
                <w:i/>
                <w:sz w:val="16"/>
              </w:rPr>
            </w:pPr>
            <w:r>
              <w:rPr>
                <w:i/>
                <w:sz w:val="16"/>
              </w:rPr>
              <w:t>Chief Financial Officer</w:t>
            </w:r>
          </w:p>
        </w:tc>
        <w:tc>
          <w:tcPr>
            <w:tcW w:w="60" w:type="dxa"/>
            <w:tcBorders/>
            <w:shd w:fill="FFFFFF" w:val="clear"/>
            <w:tcMar>
              <w:bottom w:w="0" w:type="dxa"/>
            </w:tcMar>
            <w:vAlign w:val="center"/>
          </w:tcPr>
          <w:p>
            <w:pPr>
              <w:pStyle w:val="TableContents"/>
              <w:spacing w:before="0" w:after="283"/>
              <w:jc w:val="center"/>
              <w:rPr/>
            </w:pPr>
            <w:r>
              <w:rPr/>
              <w:t> </w:t>
            </w:r>
          </w:p>
        </w:tc>
        <w:tc>
          <w:tcPr>
            <w:tcW w:w="380" w:type="dxa"/>
            <w:tcBorders/>
            <w:shd w:fill="FFFFFF" w:val="clear"/>
            <w:tcMar>
              <w:bottom w:w="0" w:type="dxa"/>
            </w:tcMar>
            <w:vAlign w:val="center"/>
          </w:tcPr>
          <w:p>
            <w:pPr>
              <w:pStyle w:val="TableContents"/>
              <w:spacing w:before="0" w:after="283"/>
              <w:jc w:val="center"/>
              <w:rPr>
                <w:sz w:val="16"/>
              </w:rPr>
            </w:pPr>
            <w:r>
              <w:rPr>
                <w:sz w:val="16"/>
              </w:rPr>
              <w:t>2021</w:t>
            </w:r>
          </w:p>
        </w:tc>
        <w:tc>
          <w:tcPr>
            <w:tcW w:w="60" w:type="dxa"/>
            <w:tcBorders/>
            <w:shd w:fill="FFFFFF" w:val="clear"/>
            <w:tcMar>
              <w:bottom w:w="0" w:type="dxa"/>
            </w:tcMar>
            <w:vAlign w:val="center"/>
          </w:tcPr>
          <w:p>
            <w:pPr>
              <w:pStyle w:val="TableContents"/>
              <w:spacing w:before="0" w:after="283"/>
              <w:jc w:val="right"/>
              <w:rPr/>
            </w:pPr>
            <w:r>
              <w:rPr/>
              <w:t> </w:t>
            </w:r>
          </w:p>
        </w:tc>
        <w:tc>
          <w:tcPr>
            <w:tcW w:w="605" w:type="dxa"/>
            <w:tcBorders/>
            <w:shd w:fill="FFFFFF" w:val="clear"/>
            <w:tcMar>
              <w:bottom w:w="0" w:type="dxa"/>
            </w:tcMar>
            <w:vAlign w:val="center"/>
          </w:tcPr>
          <w:p>
            <w:pPr>
              <w:pStyle w:val="TableContents"/>
              <w:spacing w:before="0" w:after="283"/>
              <w:jc w:val="right"/>
              <w:rPr>
                <w:sz w:val="16"/>
              </w:rPr>
            </w:pPr>
            <w:r>
              <w:rPr>
                <w:sz w:val="16"/>
              </w:rPr>
              <w:t>365,000</w:t>
            </w:r>
          </w:p>
        </w:tc>
        <w:tc>
          <w:tcPr>
            <w:tcW w:w="60" w:type="dxa"/>
            <w:tcBorders/>
            <w:shd w:fill="FFFFFF" w:val="clear"/>
            <w:tcMar>
              <w:bottom w:w="0" w:type="dxa"/>
            </w:tcMar>
            <w:vAlign w:val="center"/>
          </w:tcPr>
          <w:p>
            <w:pPr>
              <w:pStyle w:val="TableContents"/>
              <w:spacing w:before="0" w:after="283"/>
              <w:jc w:val="right"/>
              <w:rPr/>
            </w:pPr>
            <w:r>
              <w:rPr/>
              <w:t> </w:t>
            </w:r>
          </w:p>
        </w:tc>
        <w:tc>
          <w:tcPr>
            <w:tcW w:w="605" w:type="dxa"/>
            <w:tcBorders/>
            <w:shd w:fill="FFFFFF" w:val="clear"/>
            <w:tcMar>
              <w:bottom w:w="0" w:type="dxa"/>
            </w:tcMar>
            <w:vAlign w:val="center"/>
          </w:tcPr>
          <w:p>
            <w:pPr>
              <w:pStyle w:val="TableContents"/>
              <w:spacing w:before="0" w:after="283"/>
              <w:jc w:val="right"/>
              <w:rPr>
                <w:sz w:val="16"/>
              </w:rPr>
            </w:pPr>
            <w:r>
              <w:rPr>
                <w:sz w:val="16"/>
              </w:rPr>
              <w:t>146,000</w:t>
            </w:r>
          </w:p>
        </w:tc>
        <w:tc>
          <w:tcPr>
            <w:tcW w:w="60" w:type="dxa"/>
            <w:tcBorders/>
            <w:shd w:fill="FFFFFF" w:val="clear"/>
            <w:tcMar>
              <w:bottom w:w="0" w:type="dxa"/>
            </w:tcMar>
            <w:vAlign w:val="center"/>
          </w:tcPr>
          <w:p>
            <w:pPr>
              <w:pStyle w:val="TableContents"/>
              <w:spacing w:before="0" w:after="283"/>
              <w:jc w:val="right"/>
              <w:rPr/>
            </w:pPr>
            <w:r>
              <w:rPr/>
              <w:t> </w:t>
            </w:r>
          </w:p>
        </w:tc>
        <w:tc>
          <w:tcPr>
            <w:tcW w:w="806" w:type="dxa"/>
            <w:tcBorders/>
            <w:shd w:fill="FFFFFF" w:val="clear"/>
            <w:tcMar>
              <w:bottom w:w="0" w:type="dxa"/>
            </w:tcMar>
            <w:vAlign w:val="center"/>
          </w:tcPr>
          <w:p>
            <w:pPr>
              <w:pStyle w:val="TableContents"/>
              <w:spacing w:before="0" w:after="283"/>
              <w:jc w:val="right"/>
              <w:rPr>
                <w:sz w:val="16"/>
              </w:rPr>
            </w:pPr>
            <w:r>
              <w:rPr>
                <w:sz w:val="16"/>
              </w:rPr>
              <w:t>-</w:t>
            </w:r>
          </w:p>
        </w:tc>
        <w:tc>
          <w:tcPr>
            <w:tcW w:w="60" w:type="dxa"/>
            <w:tcBorders/>
            <w:shd w:fill="FFFFFF" w:val="clear"/>
            <w:tcMar>
              <w:bottom w:w="0" w:type="dxa"/>
            </w:tcMar>
            <w:vAlign w:val="center"/>
          </w:tcPr>
          <w:p>
            <w:pPr>
              <w:pStyle w:val="TableContents"/>
              <w:spacing w:before="0" w:after="283"/>
              <w:jc w:val="right"/>
              <w:rPr/>
            </w:pPr>
            <w:r>
              <w:rPr/>
              <w:t> </w:t>
            </w:r>
          </w:p>
        </w:tc>
        <w:tc>
          <w:tcPr>
            <w:tcW w:w="1221" w:type="dxa"/>
            <w:tcBorders/>
            <w:shd w:fill="FFFFFF" w:val="clear"/>
            <w:tcMar>
              <w:bottom w:w="0" w:type="dxa"/>
            </w:tcMar>
            <w:vAlign w:val="center"/>
          </w:tcPr>
          <w:p>
            <w:pPr>
              <w:pStyle w:val="TableContents"/>
              <w:spacing w:before="0" w:after="283"/>
              <w:jc w:val="right"/>
              <w:rPr>
                <w:sz w:val="16"/>
              </w:rPr>
            </w:pPr>
            <w:r>
              <w:rPr>
                <w:sz w:val="16"/>
              </w:rPr>
              <w:t>301,175</w:t>
            </w:r>
          </w:p>
        </w:tc>
        <w:tc>
          <w:tcPr>
            <w:tcW w:w="60" w:type="dxa"/>
            <w:tcBorders/>
            <w:shd w:fill="FFFFFF" w:val="clear"/>
            <w:tcMar>
              <w:bottom w:w="0" w:type="dxa"/>
            </w:tcMar>
            <w:vAlign w:val="center"/>
          </w:tcPr>
          <w:p>
            <w:pPr>
              <w:pStyle w:val="TableContents"/>
              <w:spacing w:before="0" w:after="283"/>
              <w:jc w:val="right"/>
              <w:rPr/>
            </w:pPr>
            <w:r>
              <w:rPr/>
              <w:t> </w:t>
            </w:r>
          </w:p>
        </w:tc>
        <w:tc>
          <w:tcPr>
            <w:tcW w:w="2195" w:type="dxa"/>
            <w:tcBorders/>
            <w:shd w:fill="FFFFFF" w:val="clear"/>
            <w:tcMar>
              <w:bottom w:w="0" w:type="dxa"/>
            </w:tcMar>
            <w:vAlign w:val="center"/>
          </w:tcPr>
          <w:p>
            <w:pPr>
              <w:pStyle w:val="TableContents"/>
              <w:spacing w:before="0" w:after="283"/>
              <w:jc w:val="right"/>
              <w:rPr>
                <w:sz w:val="16"/>
              </w:rPr>
            </w:pPr>
            <w:r>
              <w:rPr>
                <w:sz w:val="16"/>
              </w:rPr>
              <w:t>-</w:t>
            </w:r>
          </w:p>
        </w:tc>
        <w:tc>
          <w:tcPr>
            <w:tcW w:w="60" w:type="dxa"/>
            <w:tcBorders/>
            <w:shd w:fill="FFFFFF" w:val="clear"/>
            <w:tcMar>
              <w:bottom w:w="0" w:type="dxa"/>
            </w:tcMar>
            <w:vAlign w:val="center"/>
          </w:tcPr>
          <w:p>
            <w:pPr>
              <w:pStyle w:val="TableContents"/>
              <w:spacing w:before="0" w:after="283"/>
              <w:jc w:val="right"/>
              <w:rPr/>
            </w:pPr>
            <w:r>
              <w:rPr/>
              <w:t> </w:t>
            </w:r>
          </w:p>
        </w:tc>
        <w:tc>
          <w:tcPr>
            <w:tcW w:w="1671" w:type="dxa"/>
            <w:tcBorders/>
            <w:shd w:fill="FFFFFF" w:val="clear"/>
            <w:tcMar>
              <w:bottom w:w="0" w:type="dxa"/>
            </w:tcMar>
            <w:vAlign w:val="center"/>
          </w:tcPr>
          <w:p>
            <w:pPr>
              <w:pStyle w:val="TableContents"/>
              <w:spacing w:before="0" w:after="283"/>
              <w:jc w:val="right"/>
              <w:rPr>
                <w:sz w:val="16"/>
              </w:rPr>
            </w:pPr>
            <w:r>
              <w:rPr>
                <w:sz w:val="16"/>
              </w:rPr>
              <w:t>23,280</w:t>
            </w:r>
          </w:p>
        </w:tc>
        <w:tc>
          <w:tcPr>
            <w:tcW w:w="60" w:type="dxa"/>
            <w:tcBorders/>
            <w:shd w:fill="FFFFFF" w:val="clear"/>
            <w:tcMar>
              <w:bottom w:w="0" w:type="dxa"/>
            </w:tcMar>
            <w:vAlign w:val="center"/>
          </w:tcPr>
          <w:p>
            <w:pPr>
              <w:pStyle w:val="TableContents"/>
              <w:spacing w:before="0" w:after="283"/>
              <w:jc w:val="right"/>
              <w:rPr/>
            </w:pPr>
            <w:r>
              <w:rPr/>
              <w:t> </w:t>
            </w:r>
          </w:p>
        </w:tc>
        <w:tc>
          <w:tcPr>
            <w:tcW w:w="757" w:type="dxa"/>
            <w:tcBorders/>
            <w:shd w:fill="FFFFFF" w:val="clear"/>
            <w:tcMar>
              <w:bottom w:w="0" w:type="dxa"/>
            </w:tcMar>
            <w:vAlign w:val="center"/>
          </w:tcPr>
          <w:p>
            <w:pPr>
              <w:pStyle w:val="TableContents"/>
              <w:spacing w:before="0" w:after="283"/>
              <w:jc w:val="right"/>
              <w:rPr>
                <w:sz w:val="16"/>
              </w:rPr>
            </w:pPr>
            <w:r>
              <w:rPr>
                <w:sz w:val="16"/>
              </w:rPr>
              <w:t>835,455</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7"/>
        <w:gridCol w:w="9990"/>
      </w:tblGrid>
      <w:tr>
        <w:trPr/>
        <w:tc>
          <w:tcPr>
            <w:tcW w:w="3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jc w:val="left"/>
              <w:rPr/>
            </w:pPr>
            <w:r>
              <w:rPr/>
              <w:t>1.</w:t>
            </w:r>
          </w:p>
        </w:tc>
        <w:tc>
          <w:tcPr>
            <w:tcW w:w="9990" w:type="dxa"/>
            <w:tcBorders/>
            <w:shd w:fill="auto" w:val="clear"/>
            <w:vAlign w:val="center"/>
          </w:tcPr>
          <w:p>
            <w:pPr>
              <w:pStyle w:val="TableContents"/>
              <w:spacing w:before="0" w:after="283"/>
              <w:rPr/>
            </w:pPr>
            <w:r>
              <w:rPr/>
              <w:t>Bonuses in this column represent discretionary cash bonuses approved by the Board and/or compensation committee of the Board for 2022 or 2021, as applicable.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2.</w:t>
            </w:r>
          </w:p>
        </w:tc>
        <w:tc>
          <w:tcPr>
            <w:tcW w:w="10015" w:type="dxa"/>
            <w:tcBorders/>
            <w:shd w:fill="auto" w:val="clear"/>
            <w:vAlign w:val="center"/>
          </w:tcPr>
          <w:p>
            <w:pPr>
              <w:pStyle w:val="TableContents"/>
              <w:spacing w:before="0" w:after="283"/>
              <w:rPr/>
            </w:pPr>
            <w:r>
              <w:rPr/>
              <w:t>Includes the value of stock options determined using the grant date fair value computed in accordance with FASB ASC 718. See Note 12 to the consolidated financial statements of the Company for the fiscal year ended December 31, 2022 in the Form 10-K filed by the Company on March 8, 2023 for additional description of the assumptions used in the valuation. Amounts in this column do not reflect the actual economic value that may be realized by the applicable NEO.</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8"/>
        <w:gridCol w:w="9989"/>
      </w:tblGrid>
      <w:tr>
        <w:trPr/>
        <w:tc>
          <w:tcPr>
            <w:tcW w:w="3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jc w:val="left"/>
              <w:rPr/>
            </w:pPr>
            <w:r>
              <w:rPr/>
              <w:t>3.</w:t>
            </w:r>
          </w:p>
        </w:tc>
        <w:tc>
          <w:tcPr>
            <w:tcW w:w="9989" w:type="dxa"/>
            <w:tcBorders/>
            <w:shd w:fill="auto" w:val="clear"/>
            <w:vAlign w:val="center"/>
          </w:tcPr>
          <w:p>
            <w:pPr>
              <w:pStyle w:val="TableContents"/>
              <w:spacing w:before="0" w:after="283"/>
              <w:rPr/>
            </w:pPr>
            <w:r>
              <w:rPr/>
              <w:t>On April 17, 2023, Mr. Goldberger voluntarily relinquished the Option Awards granted to him on October 1, 2019, January 25, 2021, and January 17, 2022.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jc w:val="left"/>
              <w:rPr/>
            </w:pPr>
            <w:r>
              <w:rPr/>
              <w:t>4.</w:t>
            </w:r>
          </w:p>
        </w:tc>
        <w:tc>
          <w:tcPr>
            <w:tcW w:w="9983" w:type="dxa"/>
            <w:tcBorders/>
            <w:shd w:fill="auto" w:val="clear"/>
            <w:vAlign w:val="center"/>
          </w:tcPr>
          <w:p>
            <w:pPr>
              <w:pStyle w:val="TableContents"/>
              <w:spacing w:before="0" w:after="283"/>
              <w:rPr/>
            </w:pPr>
            <w:r>
              <w:rPr/>
              <w:t>These amounts consist of payments of health care premiums, contributions to health savings accounts, and employer 401(k) contributions.</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jc w:val="center"/>
        <w:rPr>
          <w:bdr w:val="single" w:sz="8" w:space="1" w:color="000000"/>
        </w:rPr>
      </w:pPr>
      <w:r>
        <w:rPr>
          <w:bdr w:val="single" w:sz="8" w:space="1" w:color="000000"/>
        </w:rPr>
        <w:t>12 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Philosophy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compensation annually for all employees, including its NEOs. The Company’s compensation philosophy is centered around two key tenets: (1) building long-term value for the Company’s stockholders, and (2) driving employee engagement. To that end, the Company’s executive compensation program is grounded in the following principles: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3"/>
        <w:gridCol w:w="8352"/>
      </w:tblGrid>
      <w:tr>
        <w:trPr/>
        <w:tc>
          <w:tcPr>
            <w:tcW w:w="1853" w:type="dxa"/>
            <w:tcBorders/>
            <w:shd w:fill="auto" w:val="clear"/>
            <w:vAlign w:val="center"/>
          </w:tcPr>
          <w:p>
            <w:pPr>
              <w:pStyle w:val="TableContents"/>
              <w:spacing w:before="0" w:after="283"/>
              <w:ind w:left="0" w:right="0" w:hanging="153"/>
              <w:jc w:val="both"/>
              <w:rPr/>
            </w:pPr>
            <w:r>
              <w:rPr>
                <w:rFonts w:ascii="Symbol" w:hAnsi="Symbol"/>
              </w:rPr>
              <w:t>·</w:t>
            </w:r>
            <w:r>
              <w:rPr/>
              <w:t>   Attraction and Engagement:</w:t>
            </w:r>
          </w:p>
        </w:tc>
        <w:tc>
          <w:tcPr>
            <w:tcW w:w="8352" w:type="dxa"/>
            <w:tcBorders/>
            <w:shd w:fill="auto" w:val="clear"/>
            <w:vAlign w:val="center"/>
          </w:tcPr>
          <w:p>
            <w:pPr>
              <w:pStyle w:val="TableContents"/>
              <w:spacing w:before="0" w:after="283"/>
              <w:rPr>
                <w:sz w:val="20"/>
              </w:rPr>
            </w:pPr>
            <w:r>
              <w:rPr>
                <w:sz w:val="20"/>
              </w:rPr>
              <w:t>Enable the Company to attract highly-talented people with exceptional leadership capabilities and engage high-caliber talent.</w:t>
            </w:r>
          </w:p>
        </w:tc>
      </w:tr>
      <w:tr>
        <w:trPr/>
        <w:tc>
          <w:tcPr>
            <w:tcW w:w="1853" w:type="dxa"/>
            <w:tcBorders/>
            <w:shd w:fill="auto" w:val="clear"/>
            <w:vAlign w:val="center"/>
          </w:tcPr>
          <w:p>
            <w:pPr>
              <w:pStyle w:val="TableContents"/>
              <w:spacing w:before="0" w:after="283"/>
              <w:rPr/>
            </w:pPr>
            <w:r>
              <w:rPr/>
              <w:t> </w:t>
            </w:r>
          </w:p>
        </w:tc>
        <w:tc>
          <w:tcPr>
            <w:tcW w:w="8352" w:type="dxa"/>
            <w:tcBorders/>
            <w:shd w:fill="auto" w:val="clear"/>
            <w:vAlign w:val="center"/>
          </w:tcPr>
          <w:p>
            <w:pPr>
              <w:pStyle w:val="TableContents"/>
              <w:spacing w:before="0" w:after="283"/>
              <w:ind w:left="0" w:right="0" w:hanging="153"/>
              <w:rPr/>
            </w:pPr>
            <w:r>
              <w:rPr/>
              <w:t> </w:t>
            </w:r>
          </w:p>
        </w:tc>
      </w:tr>
      <w:tr>
        <w:trPr/>
        <w:tc>
          <w:tcPr>
            <w:tcW w:w="1853" w:type="dxa"/>
            <w:tcBorders/>
            <w:shd w:fill="auto" w:val="clear"/>
            <w:vAlign w:val="center"/>
          </w:tcPr>
          <w:p>
            <w:pPr>
              <w:pStyle w:val="TableContents"/>
              <w:spacing w:before="0" w:after="283"/>
              <w:jc w:val="both"/>
              <w:rPr/>
            </w:pPr>
            <w:r>
              <w:rPr>
                <w:rFonts w:ascii="Symbol" w:hAnsi="Symbol"/>
              </w:rPr>
              <w:t>·</w:t>
            </w:r>
            <w:r>
              <w:rPr/>
              <w:t>   Competitiveness:</w:t>
            </w:r>
          </w:p>
        </w:tc>
        <w:tc>
          <w:tcPr>
            <w:tcW w:w="8352" w:type="dxa"/>
            <w:tcBorders/>
            <w:shd w:fill="auto" w:val="clear"/>
            <w:vAlign w:val="center"/>
          </w:tcPr>
          <w:p>
            <w:pPr>
              <w:pStyle w:val="TableContents"/>
              <w:spacing w:before="0" w:after="283"/>
              <w:rPr>
                <w:sz w:val="20"/>
              </w:rPr>
            </w:pPr>
            <w:r>
              <w:rPr>
                <w:sz w:val="20"/>
              </w:rPr>
              <w:t>Provide total compensation opportunity levels that are competitive with those being offered to individuals holding comparable positions at other companies with which the Company competes for business and leadership talent.</w:t>
            </w:r>
          </w:p>
        </w:tc>
      </w:tr>
      <w:tr>
        <w:trPr/>
        <w:tc>
          <w:tcPr>
            <w:tcW w:w="1853" w:type="dxa"/>
            <w:tcBorders/>
            <w:shd w:fill="auto" w:val="clear"/>
            <w:vAlign w:val="center"/>
          </w:tcPr>
          <w:p>
            <w:pPr>
              <w:pStyle w:val="TableContents"/>
              <w:spacing w:before="0" w:after="283"/>
              <w:rPr/>
            </w:pPr>
            <w:r>
              <w:rPr/>
              <w:t> </w:t>
            </w:r>
          </w:p>
        </w:tc>
        <w:tc>
          <w:tcPr>
            <w:tcW w:w="8352" w:type="dxa"/>
            <w:tcBorders/>
            <w:shd w:fill="auto" w:val="clear"/>
            <w:vAlign w:val="center"/>
          </w:tcPr>
          <w:p>
            <w:pPr>
              <w:pStyle w:val="TableContents"/>
              <w:spacing w:before="0" w:after="283"/>
              <w:ind w:left="0" w:right="0" w:hanging="153"/>
              <w:rPr/>
            </w:pPr>
            <w:r>
              <w:rPr/>
              <w:t> </w:t>
            </w:r>
          </w:p>
        </w:tc>
      </w:tr>
      <w:tr>
        <w:trPr/>
        <w:tc>
          <w:tcPr>
            <w:tcW w:w="1853" w:type="dxa"/>
            <w:tcBorders/>
            <w:shd w:fill="auto" w:val="clear"/>
            <w:vAlign w:val="center"/>
          </w:tcPr>
          <w:p>
            <w:pPr>
              <w:pStyle w:val="TableContents"/>
              <w:spacing w:before="0" w:after="283"/>
              <w:jc w:val="both"/>
              <w:rPr/>
            </w:pPr>
            <w:r>
              <w:rPr>
                <w:rFonts w:ascii="Symbol" w:hAnsi="Symbol"/>
              </w:rPr>
              <w:t>·</w:t>
            </w:r>
            <w:r>
              <w:rPr/>
              <w:t>   Stockholder Alignment:</w:t>
            </w:r>
          </w:p>
        </w:tc>
        <w:tc>
          <w:tcPr>
            <w:tcW w:w="8352" w:type="dxa"/>
            <w:tcBorders/>
            <w:shd w:fill="auto" w:val="clear"/>
            <w:vAlign w:val="center"/>
          </w:tcPr>
          <w:p>
            <w:pPr>
              <w:pStyle w:val="TableContents"/>
              <w:spacing w:before="0" w:after="283"/>
              <w:rPr>
                <w:sz w:val="20"/>
              </w:rPr>
            </w:pPr>
            <w:r>
              <w:rPr>
                <w:sz w:val="20"/>
              </w:rPr>
              <w:t>Deliver majority of compensation through pay elements that are designed to create long-term value for the Company’s stockholders, as well as foster a culture of ownership.</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Decision-Making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NEO compensation (base salaries, bonuses and annual equity incentive awards), the Company considers the following:</w:t>
      </w:r>
    </w:p>
    <w:p>
      <w:pPr>
        <w:pStyle w:val="TextBody"/>
        <w:spacing w:before="0" w:after="0"/>
        <w:ind w:left="0" w:right="0" w:hanging="0"/>
        <w:jc w:val="both"/>
        <w:rPr>
          <w:caps w:val="false"/>
          <w:smallCaps w:val="false"/>
        </w:rPr>
      </w:pPr>
      <w:r>
        <w:rPr>
          <w:caps w:val="false"/>
          <w:smallCaps w:val="false"/>
        </w:rPr>
        <w:t> </w:t>
      </w:r>
    </w:p>
    <w:tbl>
      <w:tblPr>
        <w:tblW w:w="6168" w:type="dxa"/>
        <w:jc w:val="left"/>
        <w:tblInd w:w="0" w:type="dxa"/>
        <w:tblCellMar>
          <w:top w:w="0" w:type="dxa"/>
          <w:left w:w="0" w:type="dxa"/>
          <w:bottom w:w="0" w:type="dxa"/>
          <w:right w:w="0" w:type="dxa"/>
        </w:tblCellMar>
      </w:tblPr>
      <w:tblGrid>
        <w:gridCol w:w="38"/>
        <w:gridCol w:w="125"/>
        <w:gridCol w:w="600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6005" w:type="dxa"/>
            <w:tcBorders/>
            <w:shd w:fill="auto" w:val="clear"/>
            <w:vAlign w:val="center"/>
          </w:tcPr>
          <w:p>
            <w:pPr>
              <w:pStyle w:val="TableContents"/>
              <w:spacing w:before="0" w:after="283"/>
              <w:jc w:val="both"/>
              <w:rPr/>
            </w:pPr>
            <w:r>
              <w:rPr/>
              <w:t>the relative importance of each NEO’s role and responsibilities;</w:t>
            </w:r>
          </w:p>
        </w:tc>
      </w:tr>
    </w:tbl>
    <w:p>
      <w:pPr>
        <w:pStyle w:val="TextBody"/>
        <w:spacing w:before="0" w:after="0"/>
        <w:rPr>
          <w:caps w:val="false"/>
          <w:smallCaps w:val="false"/>
        </w:rPr>
      </w:pPr>
      <w:r>
        <w:rPr>
          <w:caps w:val="false"/>
          <w:smallCaps w:val="false"/>
        </w:rPr>
        <w:t> </w:t>
      </w:r>
    </w:p>
    <w:tbl>
      <w:tblPr>
        <w:tblW w:w="6903" w:type="dxa"/>
        <w:jc w:val="left"/>
        <w:tblInd w:w="0" w:type="dxa"/>
        <w:tblCellMar>
          <w:top w:w="0" w:type="dxa"/>
          <w:left w:w="0" w:type="dxa"/>
          <w:bottom w:w="0" w:type="dxa"/>
          <w:right w:w="0" w:type="dxa"/>
        </w:tblCellMar>
      </w:tblPr>
      <w:tblGrid>
        <w:gridCol w:w="38"/>
        <w:gridCol w:w="125"/>
        <w:gridCol w:w="674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6740" w:type="dxa"/>
            <w:tcBorders/>
            <w:shd w:fill="auto" w:val="clear"/>
            <w:vAlign w:val="center"/>
          </w:tcPr>
          <w:p>
            <w:pPr>
              <w:pStyle w:val="TableContents"/>
              <w:spacing w:before="0" w:after="283"/>
              <w:jc w:val="both"/>
              <w:rPr/>
            </w:pPr>
            <w:r>
              <w:rPr/>
              <w:t>how the NEO has performed relative to these roles and responsibilities;</w:t>
            </w:r>
          </w:p>
        </w:tc>
      </w:tr>
    </w:tbl>
    <w:p>
      <w:pPr>
        <w:pStyle w:val="TextBody"/>
        <w:spacing w:before="0" w:after="0"/>
        <w:rPr>
          <w:caps w:val="false"/>
          <w:smallCaps w:val="false"/>
        </w:rPr>
      </w:pPr>
      <w:r>
        <w:rPr>
          <w:caps w:val="false"/>
          <w:smallCaps w:val="false"/>
        </w:rPr>
        <w:t> </w:t>
      </w:r>
    </w:p>
    <w:tbl>
      <w:tblPr>
        <w:tblW w:w="3483" w:type="dxa"/>
        <w:jc w:val="left"/>
        <w:tblInd w:w="0" w:type="dxa"/>
        <w:tblCellMar>
          <w:top w:w="0" w:type="dxa"/>
          <w:left w:w="0" w:type="dxa"/>
          <w:bottom w:w="0" w:type="dxa"/>
          <w:right w:w="0" w:type="dxa"/>
        </w:tblCellMar>
      </w:tblPr>
      <w:tblGrid>
        <w:gridCol w:w="38"/>
        <w:gridCol w:w="125"/>
        <w:gridCol w:w="332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3320" w:type="dxa"/>
            <w:tcBorders/>
            <w:shd w:fill="auto" w:val="clear"/>
            <w:vAlign w:val="center"/>
          </w:tcPr>
          <w:p>
            <w:pPr>
              <w:pStyle w:val="TableContents"/>
              <w:spacing w:before="0" w:after="283"/>
              <w:jc w:val="both"/>
              <w:rPr/>
            </w:pPr>
            <w:r>
              <w:rPr/>
              <w:t>overall company performance;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compensation for comparable positions in the market (as defined by a combination of identified industry comparables and industry/size-specific survey data).The compensation committee oversees the executive compensation program for the Company’s NEOs. The committee may work closely with an independent consultant and management to examine the effectiveness of the Company’s executive compensation program throughout the year and seeks to ensure that the executive compensation program supports the Company’s business goals and aligns with stockholder interests.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IPO, the compensation committee was tasked with the review and approval of compensation for all executive officers other than the CEO. The Company’s compensation committee typically reviews and discusses management’s proposed compensation with the CEO for all executives other than the CEO.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CEO, the compensation committee reviews and recommends to the Board for approval annual compensation targets and associated performance goals. Based on those discussions and after receiving recommendations from the compensation committee, the Board, in its discretion and without members of management participating and ultimately sets compensation for the CEO.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and 2021, the compensation committee in its discretion did not engage a compensation consultant.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13 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2021, Mr. Goldberger received a base salary of $525,000 per annum, which was increased to $556,000 for 2022 and $601,020 for 2023. For 2021, Mr. Posner received a base salary of $365,000 per annum, which was increased to $387,000 for 2022 and $415,000 for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NEOs the opportunity to earn annual discretionary cash bonuses, as determined by the Board or the compensation committee annually at their discretion. The CEO makes recommendations to the compensation committee regarding annual bonus payouts for the executive officers including the Company’s other NEOs. With respect to the CEO’s bonus, the compensation committee makes a recommendation to the Board, both of which and act without the participation of management including the CEO as to his own salary and bonus determination.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annual bonuses were based on such factors as the Board and the compensation committee deemed appropriate, including a variety of individual and Company priorities and objectives relating to 2022, as well as the individual NEO’s performance as it related to his area of responsibility.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equity-based incentive awards are designed to align the Company’s interests with those of its employees and consultants, including its executive officers. The Company’s compensation committee is responsible for approving equity grants for executive officers other than the CEO. As noted above, CEO equity awards are recommended by the compensation committee for approval by the Board. The Company’s executives generally are awarded an initial new hire grant upon commencement of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IPO, all employee equity awards have been granted pursuant to the 2018 Omnibus Incentive Compensation Plan. All options are granted with a per share exercise price equal to no less than the closing price of the common stock on the Nasdaq Stock Market on or immediately prior to the date of grant. Both time-vested stock options and restricted stock generally vest over a four-year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has granted equity awards to its employees, including its NEOs, as the long-term incentive component of its compensation program.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2021, Mr. Goldberger received an incentive award of 18,000 options to purchase shares of common stock, at an exercise price of $39.90 per share. One-fourth of the options vest on each of the first four anniversaries of the date of grant, subject to Mr. Goldberger’s continued employment with the Company on the applicable vesting 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2022, Mr. Goldberger received an incentive award of 16,666 options to purchase shares of common stock, at an exercise price of $11.55 per share. One-third of the options vest on each of the first three anniversaries of the date of grant, subject to Mr. Goldberger’s continued employment with the Company on the applicable vesting 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2023, Mr. Goldberger voluntarily relinquished the foregoing incentive awards granted on January 25, 2021 and January 17, 2022, as well as an incentive award of stock options granted to him on October 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2021, Mr. Posner received an incentive award of 16,666 options to purchase shares of common stock, at an exercise price of $26.55 per share. One-fourth of the options vest on each of the first four anniversaries of the grant date, subject to Mr. Posner’s continued employment with the Company on the applicable vesting 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2022, Mr. Posner received an incentive award of 6,666 options to purchase shares of common stock, at an exercise price of $11.55 per share. One-third of the option vests on each of the first three anniversaries of the grant date, subject to Mr. Posner’s continued employment with the Company on the applicable vesting 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14 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 and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NEOs are eligible to participate in the Company’s employee benefit plans and programs, including medical and dental benefits and flexible spending accounts, to the same extent as the Company’s other full-time employees, subject to the terms and eligibility requirements of those plans. The Company also sponsors a 401(k) defined contribution plan in which its NEOs may participate, subject to limits imposed by the Internal Revenue Code, to the same extent as its other full-time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executive officers are not party to employment agreements with a fixed term. They are employed on an at-will basis, subject to the terms of (i) their respective offer letters, and (ii) the Executive Severance Policy described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Daniel S. Goldberger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Offer Letter (the “Goldberger Agreement”), Mr. Goldberger was paid an annual base salary of $556,500 for 2022, which was increased to $601,020 for 2023. In addition, Mr. Goldberger is entitled to receive, subject to employment by the Company on the applicable date of bonus payout, an annual target discretionary bonus of up to 50% of his annual base salary, payable at the discretion of the Board. In January 2023, on the recommendation of the compensation committee, Mr. Goldberger’s target discretionary bonus opportunity for 2023 was adjusted to be for up to 60% of his base salary. Pursuant to the Goldberger Agreement, Mr. Goldberger is also eligible to receive healthcare benefits as may be provided from time to time by the Company to its employees generally, to participate in the Company’s 401(k) plan and to receive paid time off annually in accordance with the Company’s policies in effect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Brian M. Posner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Offer Letter (the “Posner Agreement”), Mr. Posner was paid an annual base salary of $ $387,000 in 2022, which was increased to $415,000 in 2023. In addition, Mr. Posner is entitled to receive, subject to employment by the Company on the applicable date of bonus payout, an annual target discretionary bonus of up to 40% of his annual base salary, payable at the discretion of the Board or the compensation committee. Pursuant to the Posner Agreement, Mr. Posner is also eligible to receive healthcare benefits as may be provided from time to time by the Company to its employees generally, to participate in the Company’s 401(k) plan and to receive paid time off annually in accordance with the Company’s policies in effect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End of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outstanding options, units and stock awards issued by the Company held by each of the Company’s NEOs as of December 31, 2022. None of the Company’s NEOs held any other equity awards from the Company as of December 31,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58"/>
        <w:gridCol w:w="60"/>
        <w:gridCol w:w="1431"/>
        <w:gridCol w:w="60"/>
        <w:gridCol w:w="1599"/>
        <w:gridCol w:w="60"/>
        <w:gridCol w:w="125"/>
        <w:gridCol w:w="842"/>
        <w:gridCol w:w="60"/>
        <w:gridCol w:w="729"/>
        <w:gridCol w:w="60"/>
        <w:gridCol w:w="1032"/>
        <w:gridCol w:w="60"/>
        <w:gridCol w:w="667"/>
        <w:gridCol w:w="60"/>
        <w:gridCol w:w="1012"/>
        <w:gridCol w:w="60"/>
        <w:gridCol w:w="125"/>
        <w:gridCol w:w="1005"/>
      </w:tblGrid>
      <w:tr>
        <w:trPr/>
        <w:tc>
          <w:tcPr>
            <w:tcW w:w="1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6058" w:type="dxa"/>
            <w:gridSpan w:val="11"/>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Option Awards</w:t>
            </w:r>
          </w:p>
        </w:tc>
        <w:tc>
          <w:tcPr>
            <w:tcW w:w="2929"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Stock Awards</w:t>
            </w:r>
          </w:p>
        </w:tc>
      </w:tr>
      <w:tr>
        <w:trPr/>
        <w:tc>
          <w:tcPr>
            <w:tcW w:w="1158"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Name</w:t>
            </w:r>
          </w:p>
        </w:tc>
        <w:tc>
          <w:tcPr>
            <w:tcW w:w="60" w:type="dxa"/>
            <w:tcBorders/>
            <w:shd w:fill="auto" w:val="clear"/>
            <w:vAlign w:val="center"/>
          </w:tcPr>
          <w:p>
            <w:pPr>
              <w:pStyle w:val="TableContents"/>
              <w:spacing w:before="0" w:after="283"/>
              <w:jc w:val="center"/>
              <w:rPr/>
            </w:pPr>
            <w:r>
              <w:rPr/>
              <w:t> </w:t>
            </w:r>
          </w:p>
        </w:tc>
        <w:tc>
          <w:tcPr>
            <w:tcW w:w="1431"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Number of Securities Underlying Unexercised Options Exercisable (#)</w:t>
            </w:r>
          </w:p>
        </w:tc>
        <w:tc>
          <w:tcPr>
            <w:tcW w:w="60" w:type="dxa"/>
            <w:tcBorders/>
            <w:shd w:fill="auto" w:val="clear"/>
            <w:vAlign w:val="center"/>
          </w:tcPr>
          <w:p>
            <w:pPr>
              <w:pStyle w:val="TableContents"/>
              <w:spacing w:before="0" w:after="283"/>
              <w:jc w:val="center"/>
              <w:rPr/>
            </w:pPr>
            <w:r>
              <w:rPr/>
              <w:t> </w:t>
            </w:r>
          </w:p>
        </w:tc>
        <w:tc>
          <w:tcPr>
            <w:tcW w:w="1599"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Number of Securities Underlying Unexercised Options Unexercisable (#)</w:t>
            </w:r>
          </w:p>
        </w:tc>
        <w:tc>
          <w:tcPr>
            <w:tcW w:w="60" w:type="dxa"/>
            <w:tcBorders/>
            <w:shd w:fill="auto" w:val="clear"/>
            <w:vAlign w:val="center"/>
          </w:tcPr>
          <w:p>
            <w:pPr>
              <w:pStyle w:val="TableContents"/>
              <w:spacing w:before="0" w:after="283"/>
              <w:jc w:val="center"/>
              <w:rPr/>
            </w:pPr>
            <w:r>
              <w:rPr/>
              <w:t> </w:t>
            </w:r>
          </w:p>
        </w:tc>
        <w:tc>
          <w:tcPr>
            <w:tcW w:w="125" w:type="dxa"/>
            <w:tcBorders/>
            <w:shd w:fill="auto" w:val="clear"/>
            <w:vAlign w:val="center"/>
          </w:tcPr>
          <w:p>
            <w:pPr>
              <w:pStyle w:val="TableContents"/>
              <w:spacing w:before="0" w:after="283"/>
              <w:jc w:val="center"/>
              <w:rPr/>
            </w:pPr>
            <w:r>
              <w:rPr/>
              <w:t> </w:t>
            </w:r>
          </w:p>
        </w:tc>
        <w:tc>
          <w:tcPr>
            <w:tcW w:w="842" w:type="dxa"/>
            <w:tcBorders>
              <w:bottom w:val="single" w:sz="8" w:space="0" w:color="000000"/>
            </w:tcBorders>
            <w:shd w:fill="auto" w:val="clear"/>
            <w:tcMar>
              <w:bottom w:w="28" w:type="dxa"/>
            </w:tcMar>
            <w:vAlign w:val="center"/>
          </w:tcPr>
          <w:p>
            <w:pPr>
              <w:pStyle w:val="TableContents"/>
              <w:jc w:val="center"/>
              <w:rPr>
                <w:b/>
                <w:sz w:val="20"/>
              </w:rPr>
            </w:pPr>
            <w:r>
              <w:rPr>
                <w:b/>
                <w:sz w:val="20"/>
              </w:rPr>
              <w:t>Option Exercise Price</w:t>
            </w:r>
          </w:p>
          <w:p>
            <w:pPr>
              <w:pStyle w:val="TableContents"/>
              <w:spacing w:before="0" w:after="283"/>
              <w:jc w:val="center"/>
              <w:rPr>
                <w:b/>
                <w:sz w:val="20"/>
              </w:rPr>
            </w:pPr>
            <w:r>
              <w:rPr>
                <w:b/>
                <w:sz w:val="20"/>
              </w:rPr>
              <w:t>($)</w:t>
            </w:r>
          </w:p>
        </w:tc>
        <w:tc>
          <w:tcPr>
            <w:tcW w:w="60" w:type="dxa"/>
            <w:tcBorders/>
            <w:shd w:fill="auto" w:val="clear"/>
            <w:vAlign w:val="center"/>
          </w:tcPr>
          <w:p>
            <w:pPr>
              <w:pStyle w:val="TableContents"/>
              <w:spacing w:before="0" w:after="283"/>
              <w:jc w:val="center"/>
              <w:rPr/>
            </w:pPr>
            <w:r>
              <w:rPr/>
              <w:t> </w:t>
            </w:r>
          </w:p>
        </w:tc>
        <w:tc>
          <w:tcPr>
            <w:tcW w:w="729"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Option Award Grant Date</w:t>
            </w:r>
          </w:p>
        </w:tc>
        <w:tc>
          <w:tcPr>
            <w:tcW w:w="60" w:type="dxa"/>
            <w:tcBorders/>
            <w:shd w:fill="auto" w:val="clear"/>
            <w:vAlign w:val="center"/>
          </w:tcPr>
          <w:p>
            <w:pPr>
              <w:pStyle w:val="TableContents"/>
              <w:spacing w:before="0" w:after="283"/>
              <w:jc w:val="center"/>
              <w:rPr/>
            </w:pPr>
            <w:r>
              <w:rPr/>
              <w:t> </w:t>
            </w:r>
          </w:p>
        </w:tc>
        <w:tc>
          <w:tcPr>
            <w:tcW w:w="1032"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Option Expiration Date</w:t>
            </w:r>
          </w:p>
        </w:tc>
        <w:tc>
          <w:tcPr>
            <w:tcW w:w="60" w:type="dxa"/>
            <w:tcBorders/>
            <w:shd w:fill="auto" w:val="clear"/>
            <w:vAlign w:val="center"/>
          </w:tcPr>
          <w:p>
            <w:pPr>
              <w:pStyle w:val="TableContents"/>
              <w:spacing w:before="0" w:after="283"/>
              <w:jc w:val="center"/>
              <w:rPr/>
            </w:pPr>
            <w:r>
              <w:rPr/>
              <w:t> </w:t>
            </w:r>
          </w:p>
        </w:tc>
        <w:tc>
          <w:tcPr>
            <w:tcW w:w="667"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Award Grant Date</w:t>
            </w:r>
          </w:p>
        </w:tc>
        <w:tc>
          <w:tcPr>
            <w:tcW w:w="60" w:type="dxa"/>
            <w:tcBorders/>
            <w:shd w:fill="auto" w:val="clear"/>
            <w:vAlign w:val="center"/>
          </w:tcPr>
          <w:p>
            <w:pPr>
              <w:pStyle w:val="TableContents"/>
              <w:spacing w:before="0" w:after="283"/>
              <w:jc w:val="center"/>
              <w:rPr/>
            </w:pPr>
            <w:r>
              <w:rPr/>
              <w:t> </w:t>
            </w:r>
          </w:p>
        </w:tc>
        <w:tc>
          <w:tcPr>
            <w:tcW w:w="1012" w:type="dxa"/>
            <w:tcBorders>
              <w:bottom w:val="single" w:sz="8" w:space="0" w:color="000000"/>
            </w:tcBorders>
            <w:shd w:fill="auto" w:val="clear"/>
            <w:tcMar>
              <w:bottom w:w="28" w:type="dxa"/>
            </w:tcMar>
            <w:vAlign w:val="center"/>
          </w:tcPr>
          <w:p>
            <w:pPr>
              <w:pStyle w:val="TableContents"/>
              <w:jc w:val="center"/>
              <w:rPr>
                <w:b/>
                <w:sz w:val="20"/>
              </w:rPr>
            </w:pPr>
            <w:r>
              <w:rPr>
                <w:b/>
                <w:sz w:val="20"/>
              </w:rPr>
              <w:t>Number of shares or units of stock that have not vested</w:t>
            </w:r>
          </w:p>
          <w:p>
            <w:pPr>
              <w:pStyle w:val="TableContents"/>
              <w:spacing w:before="0" w:after="283"/>
              <w:jc w:val="center"/>
              <w:rPr>
                <w:b/>
                <w:sz w:val="20"/>
              </w:rPr>
            </w:pPr>
            <w:r>
              <w:rPr>
                <w:b/>
                <w:sz w:val="20"/>
              </w:rPr>
              <w:t>(#)</w:t>
            </w:r>
          </w:p>
        </w:tc>
        <w:tc>
          <w:tcPr>
            <w:tcW w:w="60" w:type="dxa"/>
            <w:tcBorders/>
            <w:shd w:fill="auto" w:val="clear"/>
            <w:vAlign w:val="center"/>
          </w:tcPr>
          <w:p>
            <w:pPr>
              <w:pStyle w:val="TableContents"/>
              <w:spacing w:before="0" w:after="283"/>
              <w:jc w:val="center"/>
              <w:rPr/>
            </w:pPr>
            <w:r>
              <w:rPr/>
              <w:t> </w:t>
            </w:r>
          </w:p>
        </w:tc>
        <w:tc>
          <w:tcPr>
            <w:tcW w:w="125"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1005" w:type="dxa"/>
            <w:tcBorders>
              <w:bottom w:val="single" w:sz="8" w:space="0" w:color="000000"/>
            </w:tcBorders>
            <w:shd w:fill="auto" w:val="clear"/>
            <w:tcMar>
              <w:bottom w:w="28" w:type="dxa"/>
            </w:tcMar>
            <w:vAlign w:val="center"/>
          </w:tcPr>
          <w:p>
            <w:pPr>
              <w:pStyle w:val="TableContents"/>
              <w:jc w:val="center"/>
              <w:rPr>
                <w:b/>
                <w:sz w:val="20"/>
              </w:rPr>
            </w:pPr>
            <w:r>
              <w:rPr>
                <w:b/>
                <w:sz w:val="20"/>
              </w:rPr>
              <w:t>Market value of shares or unit of stock that have not vested</w:t>
            </w:r>
          </w:p>
          <w:p>
            <w:pPr>
              <w:pStyle w:val="TableContents"/>
              <w:spacing w:before="0" w:after="283"/>
              <w:jc w:val="center"/>
              <w:rPr>
                <w:b/>
                <w:sz w:val="20"/>
              </w:rPr>
            </w:pPr>
            <w:r>
              <w:rPr>
                <w:b/>
                <w:sz w:val="20"/>
              </w:rPr>
              <w:t>($)</w:t>
            </w:r>
          </w:p>
        </w:tc>
      </w:tr>
      <w:tr>
        <w:trPr/>
        <w:tc>
          <w:tcPr>
            <w:tcW w:w="1158" w:type="dxa"/>
            <w:tcBorders/>
            <w:shd w:fill="CCEEFF" w:val="clear"/>
            <w:vAlign w:val="center"/>
          </w:tcPr>
          <w:p>
            <w:pPr>
              <w:pStyle w:val="TableContents"/>
              <w:spacing w:before="0" w:after="283"/>
              <w:rPr>
                <w:b/>
                <w:sz w:val="20"/>
              </w:rPr>
            </w:pPr>
            <w:r>
              <w:rPr>
                <w:b/>
                <w:sz w:val="20"/>
              </w:rPr>
              <w:t>Daniel S. Goldberger</w:t>
            </w:r>
            <w:r>
              <w:rPr>
                <w:b/>
                <w:position w:val="7"/>
                <w:sz w:val="16"/>
                <w:sz w:val="20"/>
              </w:rPr>
              <w:t>(1)</w:t>
            </w:r>
          </w:p>
        </w:tc>
        <w:tc>
          <w:tcPr>
            <w:tcW w:w="60" w:type="dxa"/>
            <w:tcBorders/>
            <w:shd w:fill="CCEEFF" w:val="clear"/>
            <w:vAlign w:val="center"/>
          </w:tcPr>
          <w:p>
            <w:pPr>
              <w:pStyle w:val="TableContents"/>
              <w:spacing w:before="0" w:after="283"/>
              <w:jc w:val="right"/>
              <w:rPr/>
            </w:pPr>
            <w:r>
              <w:rPr/>
              <w:t> </w:t>
            </w:r>
          </w:p>
        </w:tc>
        <w:tc>
          <w:tcPr>
            <w:tcW w:w="1431" w:type="dxa"/>
            <w:tcBorders/>
            <w:shd w:fill="CCEEFF" w:val="clear"/>
            <w:vAlign w:val="center"/>
          </w:tcPr>
          <w:p>
            <w:pPr>
              <w:pStyle w:val="TableContents"/>
              <w:spacing w:before="0" w:after="283"/>
              <w:jc w:val="right"/>
              <w:rPr>
                <w:sz w:val="20"/>
              </w:rPr>
            </w:pPr>
            <w:r>
              <w:rPr>
                <w:sz w:val="20"/>
              </w:rPr>
              <w:t>38,217</w:t>
            </w:r>
          </w:p>
        </w:tc>
        <w:tc>
          <w:tcPr>
            <w:tcW w:w="60" w:type="dxa"/>
            <w:tcBorders/>
            <w:shd w:fill="CCEEFF" w:val="clear"/>
            <w:vAlign w:val="center"/>
          </w:tcPr>
          <w:p>
            <w:pPr>
              <w:pStyle w:val="TableContents"/>
              <w:spacing w:before="0" w:after="283"/>
              <w:jc w:val="right"/>
              <w:rPr/>
            </w:pPr>
            <w:r>
              <w:rPr/>
              <w:t> </w:t>
            </w:r>
          </w:p>
        </w:tc>
        <w:tc>
          <w:tcPr>
            <w:tcW w:w="1599" w:type="dxa"/>
            <w:tcBorders/>
            <w:shd w:fill="CCEEFF" w:val="clear"/>
            <w:vAlign w:val="center"/>
          </w:tcPr>
          <w:p>
            <w:pPr>
              <w:pStyle w:val="TableContents"/>
              <w:spacing w:before="0" w:after="283"/>
              <w:jc w:val="right"/>
              <w:rPr>
                <w:sz w:val="20"/>
              </w:rPr>
            </w:pPr>
            <w:r>
              <w:rPr>
                <w:sz w:val="20"/>
              </w:rPr>
              <w:t>12,738</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sz w:val="20"/>
              </w:rPr>
            </w:pPr>
            <w:r>
              <w:rPr>
                <w:sz w:val="20"/>
              </w:rPr>
              <w:t>$</w:t>
            </w:r>
          </w:p>
        </w:tc>
        <w:tc>
          <w:tcPr>
            <w:tcW w:w="842" w:type="dxa"/>
            <w:tcBorders/>
            <w:shd w:fill="CCEEFF" w:val="clear"/>
            <w:vAlign w:val="center"/>
          </w:tcPr>
          <w:p>
            <w:pPr>
              <w:pStyle w:val="TableContents"/>
              <w:spacing w:before="0" w:after="283"/>
              <w:jc w:val="right"/>
              <w:rPr>
                <w:sz w:val="20"/>
              </w:rPr>
            </w:pPr>
            <w:r>
              <w:rPr>
                <w:sz w:val="20"/>
              </w:rPr>
              <w:t>27,90</w:t>
            </w:r>
          </w:p>
        </w:tc>
        <w:tc>
          <w:tcPr>
            <w:tcW w:w="60" w:type="dxa"/>
            <w:tcBorders/>
            <w:shd w:fill="CCEEFF" w:val="clear"/>
            <w:vAlign w:val="center"/>
          </w:tcPr>
          <w:p>
            <w:pPr>
              <w:pStyle w:val="TableContents"/>
              <w:spacing w:before="0" w:after="283"/>
              <w:jc w:val="right"/>
              <w:rPr/>
            </w:pPr>
            <w:r>
              <w:rPr/>
              <w:t> </w:t>
            </w:r>
          </w:p>
        </w:tc>
        <w:tc>
          <w:tcPr>
            <w:tcW w:w="729" w:type="dxa"/>
            <w:tcBorders/>
            <w:shd w:fill="CCEEFF" w:val="clear"/>
            <w:vAlign w:val="center"/>
          </w:tcPr>
          <w:p>
            <w:pPr>
              <w:pStyle w:val="TableContents"/>
              <w:spacing w:before="0" w:after="283"/>
              <w:jc w:val="right"/>
              <w:rPr>
                <w:sz w:val="20"/>
              </w:rPr>
            </w:pPr>
            <w:r>
              <w:rPr>
                <w:sz w:val="20"/>
              </w:rPr>
              <w:t>10/1/2019</w:t>
            </w:r>
          </w:p>
        </w:tc>
        <w:tc>
          <w:tcPr>
            <w:tcW w:w="60" w:type="dxa"/>
            <w:tcBorders/>
            <w:shd w:fill="CCEEFF" w:val="clear"/>
            <w:vAlign w:val="center"/>
          </w:tcPr>
          <w:p>
            <w:pPr>
              <w:pStyle w:val="TableContents"/>
              <w:spacing w:before="0" w:after="283"/>
              <w:jc w:val="right"/>
              <w:rPr/>
            </w:pPr>
            <w:r>
              <w:rPr/>
              <w:t> </w:t>
            </w:r>
          </w:p>
        </w:tc>
        <w:tc>
          <w:tcPr>
            <w:tcW w:w="1032" w:type="dxa"/>
            <w:tcBorders/>
            <w:shd w:fill="CCEEFF" w:val="clear"/>
            <w:vAlign w:val="center"/>
          </w:tcPr>
          <w:p>
            <w:pPr>
              <w:pStyle w:val="TableContents"/>
              <w:spacing w:before="0" w:after="283"/>
              <w:jc w:val="right"/>
              <w:rPr>
                <w:sz w:val="20"/>
              </w:rPr>
            </w:pPr>
            <w:r>
              <w:rPr>
                <w:sz w:val="20"/>
              </w:rPr>
              <w:t>10/1/2029</w:t>
            </w:r>
          </w:p>
        </w:tc>
        <w:tc>
          <w:tcPr>
            <w:tcW w:w="60" w:type="dxa"/>
            <w:tcBorders/>
            <w:shd w:fill="CCEEFF" w:val="clear"/>
            <w:vAlign w:val="center"/>
          </w:tcPr>
          <w:p>
            <w:pPr>
              <w:pStyle w:val="TableContents"/>
              <w:spacing w:before="0" w:after="283"/>
              <w:jc w:val="right"/>
              <w:rPr/>
            </w:pPr>
            <w:r>
              <w:rPr/>
              <w:t> </w:t>
            </w:r>
          </w:p>
        </w:tc>
        <w:tc>
          <w:tcPr>
            <w:tcW w:w="667"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012" w:type="dxa"/>
            <w:tcBorders/>
            <w:shd w:fill="CCEEFF" w:val="clear"/>
            <w:vAlign w:val="center"/>
          </w:tcPr>
          <w:p>
            <w:pPr>
              <w:pStyle w:val="TableContents"/>
              <w:spacing w:before="0" w:after="283"/>
              <w:jc w:val="right"/>
              <w:rPr>
                <w:sz w:val="20"/>
              </w:rPr>
            </w:pPr>
            <w:r>
              <w:rPr>
                <w:sz w:val="20"/>
              </w:rPr>
              <w:t>3,584</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sz w:val="20"/>
              </w:rPr>
            </w:pPr>
            <w:r>
              <w:rPr>
                <w:sz w:val="20"/>
              </w:rPr>
              <w:t>$</w:t>
            </w:r>
          </w:p>
        </w:tc>
        <w:tc>
          <w:tcPr>
            <w:tcW w:w="1005" w:type="dxa"/>
            <w:tcBorders/>
            <w:shd w:fill="CCEEFF" w:val="clear"/>
            <w:vAlign w:val="center"/>
          </w:tcPr>
          <w:p>
            <w:pPr>
              <w:pStyle w:val="TableContents"/>
              <w:spacing w:before="0" w:after="283"/>
              <w:jc w:val="right"/>
              <w:rPr>
                <w:sz w:val="20"/>
              </w:rPr>
            </w:pPr>
            <w:r>
              <w:rPr>
                <w:sz w:val="20"/>
              </w:rPr>
              <w:t>13,834</w:t>
            </w:r>
          </w:p>
        </w:tc>
      </w:tr>
      <w:tr>
        <w:trPr/>
        <w:tc>
          <w:tcPr>
            <w:tcW w:w="115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1431" w:type="dxa"/>
            <w:tcBorders/>
            <w:shd w:fill="CCEEFF" w:val="clear"/>
            <w:vAlign w:val="center"/>
          </w:tcPr>
          <w:p>
            <w:pPr>
              <w:pStyle w:val="TableContents"/>
              <w:spacing w:before="0" w:after="283"/>
              <w:jc w:val="right"/>
              <w:rPr>
                <w:sz w:val="20"/>
              </w:rPr>
            </w:pPr>
            <w:r>
              <w:rPr>
                <w:sz w:val="20"/>
              </w:rPr>
              <w:t>4,500</w:t>
            </w:r>
          </w:p>
        </w:tc>
        <w:tc>
          <w:tcPr>
            <w:tcW w:w="60" w:type="dxa"/>
            <w:tcBorders/>
            <w:shd w:fill="CCEEFF" w:val="clear"/>
            <w:vAlign w:val="center"/>
          </w:tcPr>
          <w:p>
            <w:pPr>
              <w:pStyle w:val="TableContents"/>
              <w:spacing w:before="0" w:after="283"/>
              <w:jc w:val="right"/>
              <w:rPr/>
            </w:pPr>
            <w:r>
              <w:rPr/>
              <w:t> </w:t>
            </w:r>
          </w:p>
        </w:tc>
        <w:tc>
          <w:tcPr>
            <w:tcW w:w="1599" w:type="dxa"/>
            <w:tcBorders/>
            <w:shd w:fill="CCEEFF" w:val="clear"/>
            <w:vAlign w:val="center"/>
          </w:tcPr>
          <w:p>
            <w:pPr>
              <w:pStyle w:val="TableContents"/>
              <w:spacing w:before="0" w:after="283"/>
              <w:jc w:val="right"/>
              <w:rPr>
                <w:sz w:val="20"/>
              </w:rPr>
            </w:pPr>
            <w:r>
              <w:rPr>
                <w:sz w:val="20"/>
              </w:rPr>
              <w:t>13,500</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sz w:val="20"/>
              </w:rPr>
            </w:pPr>
            <w:r>
              <w:rPr>
                <w:sz w:val="20"/>
              </w:rPr>
              <w:t>$</w:t>
            </w:r>
          </w:p>
        </w:tc>
        <w:tc>
          <w:tcPr>
            <w:tcW w:w="842" w:type="dxa"/>
            <w:tcBorders/>
            <w:shd w:fill="CCEEFF" w:val="clear"/>
            <w:vAlign w:val="center"/>
          </w:tcPr>
          <w:p>
            <w:pPr>
              <w:pStyle w:val="TableContents"/>
              <w:spacing w:before="0" w:after="283"/>
              <w:jc w:val="right"/>
              <w:rPr>
                <w:sz w:val="20"/>
              </w:rPr>
            </w:pPr>
            <w:r>
              <w:rPr>
                <w:sz w:val="20"/>
              </w:rPr>
              <w:t>39.90</w:t>
            </w:r>
          </w:p>
        </w:tc>
        <w:tc>
          <w:tcPr>
            <w:tcW w:w="60" w:type="dxa"/>
            <w:tcBorders/>
            <w:shd w:fill="CCEEFF" w:val="clear"/>
            <w:vAlign w:val="center"/>
          </w:tcPr>
          <w:p>
            <w:pPr>
              <w:pStyle w:val="TableContents"/>
              <w:spacing w:before="0" w:after="283"/>
              <w:jc w:val="right"/>
              <w:rPr/>
            </w:pPr>
            <w:r>
              <w:rPr/>
              <w:t> </w:t>
            </w:r>
          </w:p>
        </w:tc>
        <w:tc>
          <w:tcPr>
            <w:tcW w:w="729" w:type="dxa"/>
            <w:tcBorders/>
            <w:shd w:fill="CCEEFF" w:val="clear"/>
            <w:vAlign w:val="center"/>
          </w:tcPr>
          <w:p>
            <w:pPr>
              <w:pStyle w:val="TableContents"/>
              <w:spacing w:before="0" w:after="283"/>
              <w:jc w:val="right"/>
              <w:rPr>
                <w:sz w:val="20"/>
              </w:rPr>
            </w:pPr>
            <w:r>
              <w:rPr>
                <w:sz w:val="20"/>
              </w:rPr>
              <w:t>1/25/2021</w:t>
            </w:r>
          </w:p>
        </w:tc>
        <w:tc>
          <w:tcPr>
            <w:tcW w:w="60" w:type="dxa"/>
            <w:tcBorders/>
            <w:shd w:fill="CCEEFF" w:val="clear"/>
            <w:vAlign w:val="center"/>
          </w:tcPr>
          <w:p>
            <w:pPr>
              <w:pStyle w:val="TableContents"/>
              <w:spacing w:before="0" w:after="283"/>
              <w:jc w:val="right"/>
              <w:rPr/>
            </w:pPr>
            <w:r>
              <w:rPr/>
              <w:t> </w:t>
            </w:r>
          </w:p>
        </w:tc>
        <w:tc>
          <w:tcPr>
            <w:tcW w:w="1032" w:type="dxa"/>
            <w:tcBorders/>
            <w:shd w:fill="CCEEFF" w:val="clear"/>
            <w:vAlign w:val="center"/>
          </w:tcPr>
          <w:p>
            <w:pPr>
              <w:pStyle w:val="TableContents"/>
              <w:spacing w:before="0" w:after="283"/>
              <w:jc w:val="right"/>
              <w:rPr>
                <w:sz w:val="20"/>
              </w:rPr>
            </w:pPr>
            <w:r>
              <w:rPr>
                <w:sz w:val="20"/>
              </w:rPr>
              <w:t>1/25/2031</w:t>
            </w:r>
          </w:p>
        </w:tc>
        <w:tc>
          <w:tcPr>
            <w:tcW w:w="60" w:type="dxa"/>
            <w:tcBorders/>
            <w:shd w:fill="CCEEFF" w:val="clear"/>
            <w:vAlign w:val="center"/>
          </w:tcPr>
          <w:p>
            <w:pPr>
              <w:pStyle w:val="TableContents"/>
              <w:spacing w:before="0" w:after="283"/>
              <w:jc w:val="right"/>
              <w:rPr/>
            </w:pPr>
            <w:r>
              <w:rPr/>
              <w:t> </w:t>
            </w:r>
          </w:p>
        </w:tc>
        <w:tc>
          <w:tcPr>
            <w:tcW w:w="667"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012"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sz w:val="20"/>
              </w:rPr>
            </w:pPr>
            <w:r>
              <w:rPr>
                <w:sz w:val="20"/>
              </w:rPr>
              <w:t>-</w:t>
            </w:r>
          </w:p>
        </w:tc>
      </w:tr>
      <w:tr>
        <w:trPr/>
        <w:tc>
          <w:tcPr>
            <w:tcW w:w="115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1431"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599" w:type="dxa"/>
            <w:tcBorders/>
            <w:shd w:fill="CCEEFF" w:val="clear"/>
            <w:vAlign w:val="center"/>
          </w:tcPr>
          <w:p>
            <w:pPr>
              <w:pStyle w:val="TableContents"/>
              <w:spacing w:before="0" w:after="283"/>
              <w:jc w:val="right"/>
              <w:rPr>
                <w:sz w:val="20"/>
              </w:rPr>
            </w:pPr>
            <w:r>
              <w:rPr>
                <w:sz w:val="20"/>
              </w:rPr>
              <w:t>16,666</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sz w:val="20"/>
              </w:rPr>
            </w:pPr>
            <w:r>
              <w:rPr>
                <w:sz w:val="20"/>
              </w:rPr>
              <w:t>$</w:t>
            </w:r>
          </w:p>
        </w:tc>
        <w:tc>
          <w:tcPr>
            <w:tcW w:w="842" w:type="dxa"/>
            <w:tcBorders/>
            <w:shd w:fill="CCEEFF" w:val="clear"/>
            <w:vAlign w:val="center"/>
          </w:tcPr>
          <w:p>
            <w:pPr>
              <w:pStyle w:val="TableContents"/>
              <w:spacing w:before="0" w:after="283"/>
              <w:jc w:val="right"/>
              <w:rPr>
                <w:sz w:val="20"/>
              </w:rPr>
            </w:pPr>
            <w:r>
              <w:rPr>
                <w:sz w:val="20"/>
              </w:rPr>
              <w:t>11.55</w:t>
            </w:r>
          </w:p>
        </w:tc>
        <w:tc>
          <w:tcPr>
            <w:tcW w:w="60" w:type="dxa"/>
            <w:tcBorders/>
            <w:shd w:fill="CCEEFF" w:val="clear"/>
            <w:vAlign w:val="center"/>
          </w:tcPr>
          <w:p>
            <w:pPr>
              <w:pStyle w:val="TableContents"/>
              <w:spacing w:before="0" w:after="283"/>
              <w:jc w:val="right"/>
              <w:rPr/>
            </w:pPr>
            <w:r>
              <w:rPr/>
              <w:t> </w:t>
            </w:r>
          </w:p>
        </w:tc>
        <w:tc>
          <w:tcPr>
            <w:tcW w:w="729" w:type="dxa"/>
            <w:tcBorders/>
            <w:shd w:fill="CCEEFF" w:val="clear"/>
            <w:vAlign w:val="center"/>
          </w:tcPr>
          <w:p>
            <w:pPr>
              <w:pStyle w:val="TableContents"/>
              <w:spacing w:before="0" w:after="283"/>
              <w:jc w:val="right"/>
              <w:rPr>
                <w:sz w:val="20"/>
              </w:rPr>
            </w:pPr>
            <w:r>
              <w:rPr>
                <w:sz w:val="20"/>
              </w:rPr>
              <w:t>1/17/2022</w:t>
            </w:r>
          </w:p>
        </w:tc>
        <w:tc>
          <w:tcPr>
            <w:tcW w:w="60" w:type="dxa"/>
            <w:tcBorders/>
            <w:shd w:fill="CCEEFF" w:val="clear"/>
            <w:vAlign w:val="center"/>
          </w:tcPr>
          <w:p>
            <w:pPr>
              <w:pStyle w:val="TableContents"/>
              <w:spacing w:before="0" w:after="283"/>
              <w:jc w:val="right"/>
              <w:rPr/>
            </w:pPr>
            <w:r>
              <w:rPr/>
              <w:t> </w:t>
            </w:r>
          </w:p>
        </w:tc>
        <w:tc>
          <w:tcPr>
            <w:tcW w:w="1032" w:type="dxa"/>
            <w:tcBorders/>
            <w:shd w:fill="CCEEFF" w:val="clear"/>
            <w:vAlign w:val="center"/>
          </w:tcPr>
          <w:p>
            <w:pPr>
              <w:pStyle w:val="TableContents"/>
              <w:spacing w:before="0" w:after="283"/>
              <w:jc w:val="right"/>
              <w:rPr>
                <w:sz w:val="20"/>
              </w:rPr>
            </w:pPr>
            <w:r>
              <w:rPr>
                <w:sz w:val="20"/>
              </w:rPr>
              <w:t>1/17/2032</w:t>
            </w:r>
          </w:p>
        </w:tc>
        <w:tc>
          <w:tcPr>
            <w:tcW w:w="60" w:type="dxa"/>
            <w:tcBorders/>
            <w:shd w:fill="CCEEFF" w:val="clear"/>
            <w:vAlign w:val="center"/>
          </w:tcPr>
          <w:p>
            <w:pPr>
              <w:pStyle w:val="TableContents"/>
              <w:spacing w:before="0" w:after="283"/>
              <w:jc w:val="right"/>
              <w:rPr/>
            </w:pPr>
            <w:r>
              <w:rPr/>
              <w:t> </w:t>
            </w:r>
          </w:p>
        </w:tc>
        <w:tc>
          <w:tcPr>
            <w:tcW w:w="667"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012"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right"/>
              <w:rPr/>
            </w:pPr>
            <w:r>
              <w:rPr/>
              <w:t> </w:t>
            </w:r>
          </w:p>
        </w:tc>
        <w:tc>
          <w:tcPr>
            <w:tcW w:w="125"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sz w:val="20"/>
              </w:rPr>
            </w:pPr>
            <w:r>
              <w:rPr>
                <w:sz w:val="20"/>
              </w:rPr>
              <w:t>-</w:t>
            </w:r>
          </w:p>
        </w:tc>
      </w:tr>
      <w:tr>
        <w:trPr/>
        <w:tc>
          <w:tcPr>
            <w:tcW w:w="1158" w:type="dxa"/>
            <w:tcBorders/>
            <w:shd w:fill="FFFFFF" w:val="clear"/>
            <w:vAlign w:val="center"/>
          </w:tcPr>
          <w:p>
            <w:pPr>
              <w:pStyle w:val="TableContents"/>
              <w:spacing w:before="0" w:after="283"/>
              <w:rPr>
                <w:b/>
                <w:sz w:val="20"/>
              </w:rPr>
            </w:pPr>
            <w:r>
              <w:rPr>
                <w:b/>
                <w:sz w:val="20"/>
              </w:rPr>
              <w:t>Brian M. Posner</w:t>
            </w:r>
          </w:p>
        </w:tc>
        <w:tc>
          <w:tcPr>
            <w:tcW w:w="60" w:type="dxa"/>
            <w:tcBorders/>
            <w:shd w:fill="FFFFFF" w:val="clear"/>
            <w:vAlign w:val="center"/>
          </w:tcPr>
          <w:p>
            <w:pPr>
              <w:pStyle w:val="TableContents"/>
              <w:spacing w:before="0" w:after="283"/>
              <w:jc w:val="right"/>
              <w:rPr/>
            </w:pPr>
            <w:r>
              <w:rPr/>
              <w:t> </w:t>
            </w:r>
          </w:p>
        </w:tc>
        <w:tc>
          <w:tcPr>
            <w:tcW w:w="1431" w:type="dxa"/>
            <w:tcBorders/>
            <w:shd w:fill="FFFFFF" w:val="clear"/>
            <w:vAlign w:val="center"/>
          </w:tcPr>
          <w:p>
            <w:pPr>
              <w:pStyle w:val="TableContents"/>
              <w:spacing w:before="0" w:after="283"/>
              <w:jc w:val="right"/>
              <w:rPr>
                <w:sz w:val="20"/>
              </w:rPr>
            </w:pPr>
            <w:r>
              <w:rPr>
                <w:sz w:val="20"/>
              </w:rPr>
              <w:t>6,562</w:t>
            </w:r>
          </w:p>
        </w:tc>
        <w:tc>
          <w:tcPr>
            <w:tcW w:w="60" w:type="dxa"/>
            <w:tcBorders/>
            <w:shd w:fill="FFFFFF" w:val="clear"/>
            <w:vAlign w:val="center"/>
          </w:tcPr>
          <w:p>
            <w:pPr>
              <w:pStyle w:val="TableContents"/>
              <w:spacing w:before="0" w:after="283"/>
              <w:jc w:val="right"/>
              <w:rPr/>
            </w:pPr>
            <w:r>
              <w:rPr/>
              <w:t> </w:t>
            </w:r>
          </w:p>
        </w:tc>
        <w:tc>
          <w:tcPr>
            <w:tcW w:w="1599" w:type="dxa"/>
            <w:tcBorders/>
            <w:shd w:fill="FFFFFF" w:val="clear"/>
            <w:vAlign w:val="center"/>
          </w:tcPr>
          <w:p>
            <w:pPr>
              <w:pStyle w:val="TableContents"/>
              <w:spacing w:before="0" w:after="283"/>
              <w:jc w:val="right"/>
              <w:rPr>
                <w:sz w:val="20"/>
              </w:rPr>
            </w:pPr>
            <w:r>
              <w:rPr>
                <w:sz w:val="20"/>
              </w:rPr>
              <w:t>437</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sz w:val="20"/>
              </w:rPr>
            </w:pPr>
            <w:r>
              <w:rPr>
                <w:sz w:val="20"/>
              </w:rPr>
              <w:t>$</w:t>
            </w:r>
          </w:p>
        </w:tc>
        <w:tc>
          <w:tcPr>
            <w:tcW w:w="842" w:type="dxa"/>
            <w:tcBorders/>
            <w:shd w:fill="FFFFFF" w:val="clear"/>
            <w:vAlign w:val="center"/>
          </w:tcPr>
          <w:p>
            <w:pPr>
              <w:pStyle w:val="TableContents"/>
              <w:spacing w:before="0" w:after="283"/>
              <w:jc w:val="right"/>
              <w:rPr>
                <w:sz w:val="20"/>
              </w:rPr>
            </w:pPr>
            <w:r>
              <w:rPr>
                <w:sz w:val="20"/>
              </w:rPr>
              <w:t>120.90</w:t>
            </w:r>
          </w:p>
        </w:tc>
        <w:tc>
          <w:tcPr>
            <w:tcW w:w="60" w:type="dxa"/>
            <w:tcBorders/>
            <w:shd w:fill="FFFFFF" w:val="clear"/>
            <w:vAlign w:val="center"/>
          </w:tcPr>
          <w:p>
            <w:pPr>
              <w:pStyle w:val="TableContents"/>
              <w:spacing w:before="0" w:after="283"/>
              <w:jc w:val="right"/>
              <w:rPr/>
            </w:pPr>
            <w:r>
              <w:rPr/>
              <w:t> </w:t>
            </w:r>
          </w:p>
        </w:tc>
        <w:tc>
          <w:tcPr>
            <w:tcW w:w="729" w:type="dxa"/>
            <w:tcBorders/>
            <w:shd w:fill="FFFFFF" w:val="clear"/>
            <w:vAlign w:val="center"/>
          </w:tcPr>
          <w:p>
            <w:pPr>
              <w:pStyle w:val="TableContents"/>
              <w:spacing w:before="0" w:after="283"/>
              <w:jc w:val="right"/>
              <w:rPr>
                <w:sz w:val="20"/>
              </w:rPr>
            </w:pPr>
            <w:r>
              <w:rPr>
                <w:sz w:val="20"/>
              </w:rPr>
              <w:t>3/11/2019</w:t>
            </w:r>
          </w:p>
        </w:tc>
        <w:tc>
          <w:tcPr>
            <w:tcW w:w="60" w:type="dxa"/>
            <w:tcBorders/>
            <w:shd w:fill="FFFFFF" w:val="clear"/>
            <w:vAlign w:val="center"/>
          </w:tcPr>
          <w:p>
            <w:pPr>
              <w:pStyle w:val="TableContents"/>
              <w:spacing w:before="0" w:after="283"/>
              <w:jc w:val="right"/>
              <w:rPr/>
            </w:pPr>
            <w:r>
              <w:rPr/>
              <w:t> </w:t>
            </w:r>
          </w:p>
        </w:tc>
        <w:tc>
          <w:tcPr>
            <w:tcW w:w="1032" w:type="dxa"/>
            <w:tcBorders/>
            <w:shd w:fill="FFFFFF" w:val="clear"/>
            <w:vAlign w:val="center"/>
          </w:tcPr>
          <w:p>
            <w:pPr>
              <w:pStyle w:val="TableContents"/>
              <w:spacing w:before="0" w:after="283"/>
              <w:jc w:val="right"/>
              <w:rPr>
                <w:sz w:val="20"/>
              </w:rPr>
            </w:pPr>
            <w:r>
              <w:rPr>
                <w:sz w:val="20"/>
              </w:rPr>
              <w:t>3/11/2029</w:t>
            </w:r>
          </w:p>
        </w:tc>
        <w:tc>
          <w:tcPr>
            <w:tcW w:w="60" w:type="dxa"/>
            <w:tcBorders/>
            <w:shd w:fill="FFFFFF" w:val="clear"/>
            <w:vAlign w:val="center"/>
          </w:tcPr>
          <w:p>
            <w:pPr>
              <w:pStyle w:val="TableContents"/>
              <w:spacing w:before="0" w:after="283"/>
              <w:jc w:val="right"/>
              <w:rPr/>
            </w:pPr>
            <w:r>
              <w:rPr/>
              <w:t> </w:t>
            </w:r>
          </w:p>
        </w:tc>
        <w:tc>
          <w:tcPr>
            <w:tcW w:w="667"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012"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jc w:val="right"/>
              <w:rPr>
                <w:sz w:val="20"/>
              </w:rPr>
            </w:pPr>
            <w:r>
              <w:rPr>
                <w:sz w:val="20"/>
              </w:rPr>
              <w:t>-</w:t>
            </w:r>
          </w:p>
        </w:tc>
      </w:tr>
      <w:tr>
        <w:trPr/>
        <w:tc>
          <w:tcPr>
            <w:tcW w:w="115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1431" w:type="dxa"/>
            <w:tcBorders/>
            <w:shd w:fill="FFFFFF" w:val="clear"/>
            <w:vAlign w:val="center"/>
          </w:tcPr>
          <w:p>
            <w:pPr>
              <w:pStyle w:val="TableContents"/>
              <w:spacing w:before="0" w:after="283"/>
              <w:jc w:val="right"/>
              <w:rPr>
                <w:sz w:val="20"/>
              </w:rPr>
            </w:pPr>
            <w:r>
              <w:rPr>
                <w:sz w:val="20"/>
              </w:rPr>
              <w:t>3,500</w:t>
            </w:r>
          </w:p>
        </w:tc>
        <w:tc>
          <w:tcPr>
            <w:tcW w:w="60" w:type="dxa"/>
            <w:tcBorders/>
            <w:shd w:fill="FFFFFF" w:val="clear"/>
            <w:vAlign w:val="center"/>
          </w:tcPr>
          <w:p>
            <w:pPr>
              <w:pStyle w:val="TableContents"/>
              <w:spacing w:before="0" w:after="283"/>
              <w:jc w:val="right"/>
              <w:rPr/>
            </w:pPr>
            <w:r>
              <w:rPr/>
              <w:t> </w:t>
            </w:r>
          </w:p>
        </w:tc>
        <w:tc>
          <w:tcPr>
            <w:tcW w:w="1599" w:type="dxa"/>
            <w:tcBorders/>
            <w:shd w:fill="FFFFFF" w:val="clear"/>
            <w:vAlign w:val="center"/>
          </w:tcPr>
          <w:p>
            <w:pPr>
              <w:pStyle w:val="TableContents"/>
              <w:spacing w:before="0" w:after="283"/>
              <w:jc w:val="right"/>
              <w:rPr>
                <w:sz w:val="20"/>
              </w:rPr>
            </w:pPr>
            <w:r>
              <w:rPr>
                <w:sz w:val="20"/>
              </w:rPr>
              <w:t>3,500</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sz w:val="20"/>
              </w:rPr>
            </w:pPr>
            <w:r>
              <w:rPr>
                <w:sz w:val="20"/>
              </w:rPr>
              <w:t>$</w:t>
            </w:r>
          </w:p>
        </w:tc>
        <w:tc>
          <w:tcPr>
            <w:tcW w:w="842" w:type="dxa"/>
            <w:tcBorders/>
            <w:shd w:fill="FFFFFF" w:val="clear"/>
            <w:vAlign w:val="center"/>
          </w:tcPr>
          <w:p>
            <w:pPr>
              <w:pStyle w:val="TableContents"/>
              <w:spacing w:before="0" w:after="283"/>
              <w:jc w:val="right"/>
              <w:rPr>
                <w:sz w:val="20"/>
              </w:rPr>
            </w:pPr>
            <w:r>
              <w:rPr>
                <w:sz w:val="20"/>
              </w:rPr>
              <w:t>21.00</w:t>
            </w:r>
          </w:p>
        </w:tc>
        <w:tc>
          <w:tcPr>
            <w:tcW w:w="60" w:type="dxa"/>
            <w:tcBorders/>
            <w:shd w:fill="FFFFFF" w:val="clear"/>
            <w:vAlign w:val="center"/>
          </w:tcPr>
          <w:p>
            <w:pPr>
              <w:pStyle w:val="TableContents"/>
              <w:spacing w:before="0" w:after="283"/>
              <w:jc w:val="right"/>
              <w:rPr/>
            </w:pPr>
            <w:r>
              <w:rPr/>
              <w:t> </w:t>
            </w:r>
          </w:p>
        </w:tc>
        <w:tc>
          <w:tcPr>
            <w:tcW w:w="729" w:type="dxa"/>
            <w:tcBorders/>
            <w:shd w:fill="FFFFFF" w:val="clear"/>
            <w:vAlign w:val="center"/>
          </w:tcPr>
          <w:p>
            <w:pPr>
              <w:pStyle w:val="TableContents"/>
              <w:spacing w:before="0" w:after="283"/>
              <w:jc w:val="right"/>
              <w:rPr>
                <w:sz w:val="20"/>
              </w:rPr>
            </w:pPr>
            <w:r>
              <w:rPr>
                <w:sz w:val="20"/>
              </w:rPr>
              <w:t>6/12/2020</w:t>
            </w:r>
          </w:p>
        </w:tc>
        <w:tc>
          <w:tcPr>
            <w:tcW w:w="60" w:type="dxa"/>
            <w:tcBorders/>
            <w:shd w:fill="FFFFFF" w:val="clear"/>
            <w:vAlign w:val="center"/>
          </w:tcPr>
          <w:p>
            <w:pPr>
              <w:pStyle w:val="TableContents"/>
              <w:spacing w:before="0" w:after="283"/>
              <w:jc w:val="right"/>
              <w:rPr/>
            </w:pPr>
            <w:r>
              <w:rPr/>
              <w:t> </w:t>
            </w:r>
          </w:p>
        </w:tc>
        <w:tc>
          <w:tcPr>
            <w:tcW w:w="1032" w:type="dxa"/>
            <w:tcBorders/>
            <w:shd w:fill="FFFFFF" w:val="clear"/>
            <w:vAlign w:val="center"/>
          </w:tcPr>
          <w:p>
            <w:pPr>
              <w:pStyle w:val="TableContents"/>
              <w:spacing w:before="0" w:after="283"/>
              <w:jc w:val="right"/>
              <w:rPr>
                <w:sz w:val="20"/>
              </w:rPr>
            </w:pPr>
            <w:r>
              <w:rPr>
                <w:sz w:val="20"/>
              </w:rPr>
              <w:t>6/12/2030</w:t>
            </w:r>
          </w:p>
        </w:tc>
        <w:tc>
          <w:tcPr>
            <w:tcW w:w="60" w:type="dxa"/>
            <w:tcBorders/>
            <w:shd w:fill="FFFFFF" w:val="clear"/>
            <w:vAlign w:val="center"/>
          </w:tcPr>
          <w:p>
            <w:pPr>
              <w:pStyle w:val="TableContents"/>
              <w:spacing w:before="0" w:after="283"/>
              <w:jc w:val="right"/>
              <w:rPr/>
            </w:pPr>
            <w:r>
              <w:rPr/>
              <w:t> </w:t>
            </w:r>
          </w:p>
        </w:tc>
        <w:tc>
          <w:tcPr>
            <w:tcW w:w="667"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012"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jc w:val="right"/>
              <w:rPr>
                <w:sz w:val="20"/>
              </w:rPr>
            </w:pPr>
            <w:r>
              <w:rPr>
                <w:sz w:val="20"/>
              </w:rPr>
              <w:t>-</w:t>
            </w:r>
          </w:p>
        </w:tc>
      </w:tr>
      <w:tr>
        <w:trPr/>
        <w:tc>
          <w:tcPr>
            <w:tcW w:w="115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1431" w:type="dxa"/>
            <w:tcBorders/>
            <w:shd w:fill="FFFFFF" w:val="clear"/>
            <w:vAlign w:val="center"/>
          </w:tcPr>
          <w:p>
            <w:pPr>
              <w:pStyle w:val="TableContents"/>
              <w:spacing w:before="0" w:after="283"/>
              <w:jc w:val="right"/>
              <w:rPr>
                <w:sz w:val="20"/>
              </w:rPr>
            </w:pPr>
            <w:r>
              <w:rPr>
                <w:sz w:val="20"/>
              </w:rPr>
              <w:t>4,167</w:t>
            </w:r>
          </w:p>
        </w:tc>
        <w:tc>
          <w:tcPr>
            <w:tcW w:w="60" w:type="dxa"/>
            <w:tcBorders/>
            <w:shd w:fill="FFFFFF" w:val="clear"/>
            <w:vAlign w:val="center"/>
          </w:tcPr>
          <w:p>
            <w:pPr>
              <w:pStyle w:val="TableContents"/>
              <w:spacing w:before="0" w:after="283"/>
              <w:jc w:val="right"/>
              <w:rPr/>
            </w:pPr>
            <w:r>
              <w:rPr/>
              <w:t> </w:t>
            </w:r>
          </w:p>
        </w:tc>
        <w:tc>
          <w:tcPr>
            <w:tcW w:w="1599" w:type="dxa"/>
            <w:tcBorders/>
            <w:shd w:fill="FFFFFF" w:val="clear"/>
            <w:vAlign w:val="center"/>
          </w:tcPr>
          <w:p>
            <w:pPr>
              <w:pStyle w:val="TableContents"/>
              <w:spacing w:before="0" w:after="283"/>
              <w:jc w:val="right"/>
              <w:rPr>
                <w:sz w:val="20"/>
              </w:rPr>
            </w:pPr>
            <w:r>
              <w:rPr>
                <w:sz w:val="20"/>
              </w:rPr>
              <w:t>12,499</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sz w:val="20"/>
              </w:rPr>
            </w:pPr>
            <w:r>
              <w:rPr>
                <w:sz w:val="20"/>
              </w:rPr>
              <w:t>$</w:t>
            </w:r>
          </w:p>
        </w:tc>
        <w:tc>
          <w:tcPr>
            <w:tcW w:w="842" w:type="dxa"/>
            <w:tcBorders/>
            <w:shd w:fill="FFFFFF" w:val="clear"/>
            <w:vAlign w:val="center"/>
          </w:tcPr>
          <w:p>
            <w:pPr>
              <w:pStyle w:val="TableContents"/>
              <w:spacing w:before="0" w:after="283"/>
              <w:jc w:val="right"/>
              <w:rPr>
                <w:sz w:val="20"/>
              </w:rPr>
            </w:pPr>
            <w:r>
              <w:rPr>
                <w:sz w:val="20"/>
              </w:rPr>
              <w:t>26.55</w:t>
            </w:r>
          </w:p>
        </w:tc>
        <w:tc>
          <w:tcPr>
            <w:tcW w:w="60" w:type="dxa"/>
            <w:tcBorders/>
            <w:shd w:fill="FFFFFF" w:val="clear"/>
            <w:vAlign w:val="center"/>
          </w:tcPr>
          <w:p>
            <w:pPr>
              <w:pStyle w:val="TableContents"/>
              <w:spacing w:before="0" w:after="283"/>
              <w:jc w:val="right"/>
              <w:rPr/>
            </w:pPr>
            <w:r>
              <w:rPr/>
              <w:t> </w:t>
            </w:r>
          </w:p>
        </w:tc>
        <w:tc>
          <w:tcPr>
            <w:tcW w:w="729" w:type="dxa"/>
            <w:tcBorders/>
            <w:shd w:fill="FFFFFF" w:val="clear"/>
            <w:vAlign w:val="center"/>
          </w:tcPr>
          <w:p>
            <w:pPr>
              <w:pStyle w:val="TableContents"/>
              <w:spacing w:before="0" w:after="283"/>
              <w:jc w:val="right"/>
              <w:rPr>
                <w:sz w:val="20"/>
              </w:rPr>
            </w:pPr>
            <w:r>
              <w:rPr>
                <w:sz w:val="20"/>
              </w:rPr>
              <w:t>1/18/2021</w:t>
            </w:r>
          </w:p>
        </w:tc>
        <w:tc>
          <w:tcPr>
            <w:tcW w:w="60" w:type="dxa"/>
            <w:tcBorders/>
            <w:shd w:fill="FFFFFF" w:val="clear"/>
            <w:vAlign w:val="center"/>
          </w:tcPr>
          <w:p>
            <w:pPr>
              <w:pStyle w:val="TableContents"/>
              <w:spacing w:before="0" w:after="283"/>
              <w:jc w:val="right"/>
              <w:rPr/>
            </w:pPr>
            <w:r>
              <w:rPr/>
              <w:t> </w:t>
            </w:r>
          </w:p>
        </w:tc>
        <w:tc>
          <w:tcPr>
            <w:tcW w:w="1032" w:type="dxa"/>
            <w:tcBorders/>
            <w:shd w:fill="FFFFFF" w:val="clear"/>
            <w:vAlign w:val="center"/>
          </w:tcPr>
          <w:p>
            <w:pPr>
              <w:pStyle w:val="TableContents"/>
              <w:spacing w:before="0" w:after="283"/>
              <w:jc w:val="right"/>
              <w:rPr>
                <w:sz w:val="20"/>
              </w:rPr>
            </w:pPr>
            <w:r>
              <w:rPr>
                <w:sz w:val="20"/>
              </w:rPr>
              <w:t>1/18/2031</w:t>
            </w:r>
          </w:p>
        </w:tc>
        <w:tc>
          <w:tcPr>
            <w:tcW w:w="60" w:type="dxa"/>
            <w:tcBorders/>
            <w:shd w:fill="FFFFFF" w:val="clear"/>
            <w:vAlign w:val="center"/>
          </w:tcPr>
          <w:p>
            <w:pPr>
              <w:pStyle w:val="TableContents"/>
              <w:spacing w:before="0" w:after="283"/>
              <w:jc w:val="right"/>
              <w:rPr/>
            </w:pPr>
            <w:r>
              <w:rPr/>
              <w:t> </w:t>
            </w:r>
          </w:p>
        </w:tc>
        <w:tc>
          <w:tcPr>
            <w:tcW w:w="667"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012"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jc w:val="right"/>
              <w:rPr>
                <w:sz w:val="20"/>
              </w:rPr>
            </w:pPr>
            <w:r>
              <w:rPr>
                <w:sz w:val="20"/>
              </w:rPr>
              <w:t>-</w:t>
            </w:r>
          </w:p>
        </w:tc>
      </w:tr>
      <w:tr>
        <w:trPr/>
        <w:tc>
          <w:tcPr>
            <w:tcW w:w="115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1431"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599" w:type="dxa"/>
            <w:tcBorders/>
            <w:shd w:fill="FFFFFF" w:val="clear"/>
            <w:vAlign w:val="center"/>
          </w:tcPr>
          <w:p>
            <w:pPr>
              <w:pStyle w:val="TableContents"/>
              <w:spacing w:before="0" w:after="283"/>
              <w:jc w:val="right"/>
              <w:rPr>
                <w:sz w:val="20"/>
              </w:rPr>
            </w:pPr>
            <w:r>
              <w:rPr>
                <w:sz w:val="20"/>
              </w:rPr>
              <w:t>6,666</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sz w:val="20"/>
              </w:rPr>
            </w:pPr>
            <w:r>
              <w:rPr>
                <w:sz w:val="20"/>
              </w:rPr>
              <w:t>$</w:t>
            </w:r>
          </w:p>
        </w:tc>
        <w:tc>
          <w:tcPr>
            <w:tcW w:w="842" w:type="dxa"/>
            <w:tcBorders/>
            <w:shd w:fill="FFFFFF" w:val="clear"/>
            <w:vAlign w:val="center"/>
          </w:tcPr>
          <w:p>
            <w:pPr>
              <w:pStyle w:val="TableContents"/>
              <w:spacing w:before="0" w:after="283"/>
              <w:jc w:val="right"/>
              <w:rPr>
                <w:sz w:val="20"/>
              </w:rPr>
            </w:pPr>
            <w:r>
              <w:rPr>
                <w:sz w:val="20"/>
              </w:rPr>
              <w:t>11.55</w:t>
            </w:r>
          </w:p>
        </w:tc>
        <w:tc>
          <w:tcPr>
            <w:tcW w:w="60" w:type="dxa"/>
            <w:tcBorders/>
            <w:shd w:fill="FFFFFF" w:val="clear"/>
            <w:vAlign w:val="center"/>
          </w:tcPr>
          <w:p>
            <w:pPr>
              <w:pStyle w:val="TableContents"/>
              <w:spacing w:before="0" w:after="283"/>
              <w:jc w:val="right"/>
              <w:rPr/>
            </w:pPr>
            <w:r>
              <w:rPr/>
              <w:t> </w:t>
            </w:r>
          </w:p>
        </w:tc>
        <w:tc>
          <w:tcPr>
            <w:tcW w:w="729" w:type="dxa"/>
            <w:tcBorders/>
            <w:shd w:fill="FFFFFF" w:val="clear"/>
            <w:vAlign w:val="center"/>
          </w:tcPr>
          <w:p>
            <w:pPr>
              <w:pStyle w:val="TableContents"/>
              <w:spacing w:before="0" w:after="283"/>
              <w:jc w:val="right"/>
              <w:rPr>
                <w:sz w:val="20"/>
              </w:rPr>
            </w:pPr>
            <w:r>
              <w:rPr>
                <w:sz w:val="20"/>
              </w:rPr>
              <w:t>1/14/2022</w:t>
            </w:r>
          </w:p>
        </w:tc>
        <w:tc>
          <w:tcPr>
            <w:tcW w:w="60" w:type="dxa"/>
            <w:tcBorders/>
            <w:shd w:fill="FFFFFF" w:val="clear"/>
            <w:vAlign w:val="center"/>
          </w:tcPr>
          <w:p>
            <w:pPr>
              <w:pStyle w:val="TableContents"/>
              <w:spacing w:before="0" w:after="283"/>
              <w:jc w:val="right"/>
              <w:rPr/>
            </w:pPr>
            <w:r>
              <w:rPr/>
              <w:t> </w:t>
            </w:r>
          </w:p>
        </w:tc>
        <w:tc>
          <w:tcPr>
            <w:tcW w:w="1032" w:type="dxa"/>
            <w:tcBorders/>
            <w:shd w:fill="FFFFFF" w:val="clear"/>
            <w:vAlign w:val="center"/>
          </w:tcPr>
          <w:p>
            <w:pPr>
              <w:pStyle w:val="TableContents"/>
              <w:spacing w:before="0" w:after="283"/>
              <w:jc w:val="right"/>
              <w:rPr>
                <w:sz w:val="20"/>
              </w:rPr>
            </w:pPr>
            <w:r>
              <w:rPr>
                <w:sz w:val="20"/>
              </w:rPr>
              <w:t>1/14/2032</w:t>
            </w:r>
          </w:p>
        </w:tc>
        <w:tc>
          <w:tcPr>
            <w:tcW w:w="60" w:type="dxa"/>
            <w:tcBorders/>
            <w:shd w:fill="FFFFFF" w:val="clear"/>
            <w:vAlign w:val="center"/>
          </w:tcPr>
          <w:p>
            <w:pPr>
              <w:pStyle w:val="TableContents"/>
              <w:spacing w:before="0" w:after="283"/>
              <w:jc w:val="right"/>
              <w:rPr/>
            </w:pPr>
            <w:r>
              <w:rPr/>
              <w:t> </w:t>
            </w:r>
          </w:p>
        </w:tc>
        <w:tc>
          <w:tcPr>
            <w:tcW w:w="667"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012"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right"/>
              <w:rPr/>
            </w:pPr>
            <w:r>
              <w:rPr/>
              <w:t> </w:t>
            </w:r>
          </w:p>
        </w:tc>
        <w:tc>
          <w:tcPr>
            <w:tcW w:w="125" w:type="dxa"/>
            <w:tcBorders/>
            <w:shd w:fill="FFFFFF" w:val="clear"/>
            <w:vAlign w:val="center"/>
          </w:tcPr>
          <w:p>
            <w:pPr>
              <w:pStyle w:val="TableContents"/>
              <w:spacing w:before="0" w:after="283"/>
              <w:rPr/>
            </w:pPr>
            <w:r>
              <w:rPr/>
              <w:t> </w:t>
            </w:r>
          </w:p>
        </w:tc>
        <w:tc>
          <w:tcPr>
            <w:tcW w:w="1005" w:type="dxa"/>
            <w:tcBorders/>
            <w:shd w:fill="FFFFFF" w:val="clear"/>
            <w:vAlign w:val="center"/>
          </w:tcPr>
          <w:p>
            <w:pPr>
              <w:pStyle w:val="TableContents"/>
              <w:spacing w:before="0" w:after="283"/>
              <w:jc w:val="right"/>
              <w:rPr>
                <w:sz w:val="20"/>
              </w:rPr>
            </w:pPr>
            <w:r>
              <w:rPr>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April 17, 2023, Mr. Goldberger voluntarily relinquished the Option Awards granted on October 1, 2019, January 25, 2021, and January 17,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15 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Executive Severance Policy, if the Company terminates an eligible member of its senior management team without “cause” or if the executive resigns for “good reason” (as those terms are defined below), the Company will provide the following severance benefits: (i) severance payment in an amount equal to six months of base salary (or one year of base salary and target bonus in the case of the Company’s Chief Executive Officer or Chief Science and Strategy Officer) payable in equal installments over the six-month or one-year period, as applicable, (ii) the accrued but unpaid annual incentive bonus, if any, for the year ended prior to the executive’s termination of employment payable at the same time such annual bonuses for such year to other members of the senior management team, (iii) an annual incentive bonus, if any, for the year in which the executive’s termination of employment occurred based on actual performance and pro-rated for the period of employment during such year through the executive’s termination of employment; provided that no such pro-rated bonus shall be payable unless the period of employment during such year exceeds a specified number of months which will be paid at the same time annual incentive bonuses for such year are paid to other members of the senior management team and (iv) reimbursement of COBRA premiums for group health continuation coverage paid by the terminated executive for the duration of the “severance period” (as defined below). If the termination without cause or resignation for good reason occurs within two years after a “change in control” the Company will provide the following severance benefits in lieu of the benefits provided in the previous sentence: (i) a lump sum severance payment in an amount equal to one year of base salary (or one and one-half (1.5) years of the sum of base salary and target bonus in the case of the Company’s Chief Executive Officer or Chief Science and Strategy Officer), and (ii) reimbursement of COBRA premiums for group health continuation coverage paid by the terminated executive for the duration of the severance period, and (iii)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“cause” means any of the following: (a) the executive’s willful failure to fulfill, in any material respect, his or her duties and responsibilities to the Company (other than by reason of death, illness or disability); (b) the executive’s willful misconduct, gross negligence or willful acts of personal dishonesty in the performance of his or her duties to the Company that directly, materially and demonstrably impairs or damages the Company’s property, goodwill, reputation, business or finances; (c) the conviction of, or plea of nolo contendere by, the executive to, a felony or a crime involving moral turpitude that materially and demonstrably impairs or damages the Company’s property, goodwill, reputation, business or finances; (d) the executive’s commission of fraud or embezzlement against us; (e) the executive’s willful or intentional violation of any lawful policy that directly, materially and demonstrably impairs or damages the Company’s property, goodwill, reputation, business or finances; or (f) the executive’s breach of the terms of any confidentiality and assignment agreement, which contains restrictive covenants in favor of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the Company reduces the annual base compensation of all participants in the Executive Severance Policy on a substantially equivalent basis; (b) 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16 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37" w:name="a17"/>
      <w:bookmarkEnd w:id="37"/>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Executive Severance Policy, “severance period” means the number of months set forth in the table below based on the executive’s employment position at the time of his involuntary termination of employment that results in the executive’s termination for “good reason”: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33"/>
        <w:gridCol w:w="60"/>
        <w:gridCol w:w="5608"/>
        <w:gridCol w:w="60"/>
        <w:gridCol w:w="2844"/>
      </w:tblGrid>
      <w:tr>
        <w:trPr/>
        <w:tc>
          <w:tcPr>
            <w:tcW w:w="16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12"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Severance Period</w:t>
            </w:r>
          </w:p>
        </w:tc>
      </w:tr>
      <w:tr>
        <w:trPr/>
        <w:tc>
          <w:tcPr>
            <w:tcW w:w="1633"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Employment Position</w:t>
            </w:r>
          </w:p>
        </w:tc>
        <w:tc>
          <w:tcPr>
            <w:tcW w:w="60" w:type="dxa"/>
            <w:tcBorders/>
            <w:shd w:fill="auto" w:val="clear"/>
            <w:vAlign w:val="center"/>
          </w:tcPr>
          <w:p>
            <w:pPr>
              <w:pStyle w:val="TableContents"/>
              <w:spacing w:before="0" w:after="283"/>
              <w:jc w:val="center"/>
              <w:rPr/>
            </w:pPr>
            <w:r>
              <w:rPr/>
              <w:t> </w:t>
            </w:r>
          </w:p>
        </w:tc>
        <w:tc>
          <w:tcPr>
            <w:tcW w:w="5608"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Prior to a Change in Control or on or After the Second Anniversary of a Change in Control</w:t>
            </w:r>
          </w:p>
        </w:tc>
        <w:tc>
          <w:tcPr>
            <w:tcW w:w="60" w:type="dxa"/>
            <w:tcBorders>
              <w:top w:val="single" w:sz="8" w:space="0" w:color="000000"/>
            </w:tcBorders>
            <w:shd w:fill="auto" w:val="clear"/>
            <w:tcMar>
              <w:top w:w="28" w:type="dxa"/>
            </w:tcMar>
            <w:vAlign w:val="center"/>
          </w:tcPr>
          <w:p>
            <w:pPr>
              <w:pStyle w:val="TableContents"/>
              <w:spacing w:before="0" w:after="283"/>
              <w:jc w:val="center"/>
              <w:rPr/>
            </w:pPr>
            <w:r>
              <w:rPr/>
              <w:t> </w:t>
            </w:r>
          </w:p>
        </w:tc>
        <w:tc>
          <w:tcPr>
            <w:tcW w:w="2844"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Two-Year Period After a Change in Control</w:t>
            </w:r>
          </w:p>
        </w:tc>
      </w:tr>
      <w:tr>
        <w:trPr/>
        <w:tc>
          <w:tcPr>
            <w:tcW w:w="1633" w:type="dxa"/>
            <w:tcBorders/>
            <w:shd w:fill="CCEEFF" w:val="clear"/>
            <w:vAlign w:val="center"/>
          </w:tcPr>
          <w:p>
            <w:pPr>
              <w:pStyle w:val="TableContents"/>
              <w:spacing w:before="0" w:after="283"/>
              <w:rPr>
                <w:sz w:val="20"/>
              </w:rPr>
            </w:pPr>
            <w:r>
              <w:rPr>
                <w:sz w:val="20"/>
              </w:rPr>
              <w:t>CEO</w:t>
            </w:r>
          </w:p>
        </w:tc>
        <w:tc>
          <w:tcPr>
            <w:tcW w:w="60" w:type="dxa"/>
            <w:tcBorders>
              <w:top w:val="single" w:sz="8" w:space="0" w:color="000000"/>
            </w:tcBorders>
            <w:shd w:fill="CCEEFF" w:val="clear"/>
            <w:tcMar>
              <w:top w:w="28" w:type="dxa"/>
            </w:tcMar>
            <w:vAlign w:val="center"/>
          </w:tcPr>
          <w:p>
            <w:pPr>
              <w:pStyle w:val="TableContents"/>
              <w:spacing w:before="0" w:after="283"/>
              <w:rPr/>
            </w:pPr>
            <w:r>
              <w:rPr/>
              <w:t> </w:t>
            </w:r>
          </w:p>
        </w:tc>
        <w:tc>
          <w:tcPr>
            <w:tcW w:w="5608" w:type="dxa"/>
            <w:tcBorders/>
            <w:shd w:fill="CCEEFF" w:val="clear"/>
            <w:vAlign w:val="center"/>
          </w:tcPr>
          <w:p>
            <w:pPr>
              <w:pStyle w:val="TableContents"/>
              <w:spacing w:before="0" w:after="283"/>
              <w:jc w:val="center"/>
              <w:rPr>
                <w:sz w:val="20"/>
              </w:rPr>
            </w:pPr>
            <w:r>
              <w:rPr>
                <w:sz w:val="20"/>
              </w:rPr>
              <w:t>12 months</w:t>
            </w:r>
          </w:p>
        </w:tc>
        <w:tc>
          <w:tcPr>
            <w:tcW w:w="60" w:type="dxa"/>
            <w:tcBorders>
              <w:top w:val="single" w:sz="8" w:space="0" w:color="000000"/>
            </w:tcBorders>
            <w:shd w:fill="CCEEFF" w:val="clear"/>
            <w:tcMar>
              <w:top w:w="28" w:type="dxa"/>
            </w:tcMar>
            <w:vAlign w:val="center"/>
          </w:tcPr>
          <w:p>
            <w:pPr>
              <w:pStyle w:val="TableContents"/>
              <w:spacing w:before="0" w:after="283"/>
              <w:rPr/>
            </w:pPr>
            <w:r>
              <w:rPr/>
              <w:t> </w:t>
            </w:r>
          </w:p>
        </w:tc>
        <w:tc>
          <w:tcPr>
            <w:tcW w:w="2844" w:type="dxa"/>
            <w:tcBorders/>
            <w:shd w:fill="CCEEFF" w:val="clear"/>
            <w:vAlign w:val="center"/>
          </w:tcPr>
          <w:p>
            <w:pPr>
              <w:pStyle w:val="TableContents"/>
              <w:spacing w:before="0" w:after="283"/>
              <w:jc w:val="center"/>
              <w:rPr>
                <w:sz w:val="20"/>
              </w:rPr>
            </w:pPr>
            <w:r>
              <w:rPr>
                <w:sz w:val="20"/>
              </w:rPr>
              <w:t>18 months</w:t>
            </w:r>
          </w:p>
        </w:tc>
      </w:tr>
      <w:tr>
        <w:trPr/>
        <w:tc>
          <w:tcPr>
            <w:tcW w:w="1633" w:type="dxa"/>
            <w:tcBorders/>
            <w:shd w:fill="FFFFFF" w:val="clear"/>
            <w:vAlign w:val="center"/>
          </w:tcPr>
          <w:p>
            <w:pPr>
              <w:pStyle w:val="TableContents"/>
              <w:spacing w:before="0" w:after="283"/>
              <w:rPr>
                <w:sz w:val="20"/>
              </w:rPr>
            </w:pPr>
            <w:r>
              <w:rPr>
                <w:sz w:val="20"/>
              </w:rPr>
              <w:t>All Other Participants</w:t>
            </w:r>
          </w:p>
        </w:tc>
        <w:tc>
          <w:tcPr>
            <w:tcW w:w="60" w:type="dxa"/>
            <w:tcBorders/>
            <w:shd w:fill="FFFFFF" w:val="clear"/>
            <w:vAlign w:val="center"/>
          </w:tcPr>
          <w:p>
            <w:pPr>
              <w:pStyle w:val="TableContents"/>
              <w:spacing w:before="0" w:after="283"/>
              <w:rPr/>
            </w:pPr>
            <w:r>
              <w:rPr/>
              <w:t> </w:t>
            </w:r>
          </w:p>
        </w:tc>
        <w:tc>
          <w:tcPr>
            <w:tcW w:w="5608" w:type="dxa"/>
            <w:tcBorders/>
            <w:shd w:fill="FFFFFF" w:val="clear"/>
            <w:vAlign w:val="center"/>
          </w:tcPr>
          <w:p>
            <w:pPr>
              <w:pStyle w:val="TableContents"/>
              <w:spacing w:before="0" w:after="283"/>
              <w:jc w:val="center"/>
              <w:rPr>
                <w:sz w:val="20"/>
              </w:rPr>
            </w:pPr>
            <w:r>
              <w:rPr>
                <w:sz w:val="20"/>
              </w:rPr>
              <w:t>6 months</w:t>
            </w:r>
          </w:p>
        </w:tc>
        <w:tc>
          <w:tcPr>
            <w:tcW w:w="60" w:type="dxa"/>
            <w:tcBorders/>
            <w:shd w:fill="FFFFFF" w:val="clear"/>
            <w:vAlign w:val="center"/>
          </w:tcPr>
          <w:p>
            <w:pPr>
              <w:pStyle w:val="TableContents"/>
              <w:spacing w:before="0" w:after="283"/>
              <w:rPr/>
            </w:pPr>
            <w:r>
              <w:rPr/>
              <w:t> </w:t>
            </w:r>
          </w:p>
        </w:tc>
        <w:tc>
          <w:tcPr>
            <w:tcW w:w="2844" w:type="dxa"/>
            <w:tcBorders/>
            <w:shd w:fill="FFFFFF" w:val="clear"/>
            <w:vAlign w:val="center"/>
          </w:tcPr>
          <w:p>
            <w:pPr>
              <w:pStyle w:val="TableContents"/>
              <w:spacing w:before="0" w:after="283"/>
              <w:jc w:val="center"/>
              <w:rPr>
                <w:sz w:val="20"/>
              </w:rPr>
            </w:pPr>
            <w:r>
              <w:rPr>
                <w:sz w:val="20"/>
              </w:rPr>
              <w:t>12 months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Posner as Chief Financial Officer effective April 2019, the Company agreed to increase (i) the severance period for Mr. Posner under the Executive Severance Policy from six months to 12 months, and (ii) the Severance Multiple (as defined in the Executive Severance Policy) payable to Mr. Posner from 0.5 to 1.0.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certain information with respect to the compensation of all non-employee directors of the Company for the fiscal year ended December 31,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39"/>
        <w:gridCol w:w="60"/>
        <w:gridCol w:w="2223"/>
        <w:gridCol w:w="60"/>
        <w:gridCol w:w="1634"/>
        <w:gridCol w:w="60"/>
        <w:gridCol w:w="1574"/>
        <w:gridCol w:w="60"/>
        <w:gridCol w:w="2124"/>
        <w:gridCol w:w="60"/>
        <w:gridCol w:w="711"/>
      </w:tblGrid>
      <w:tr>
        <w:trPr/>
        <w:tc>
          <w:tcPr>
            <w:tcW w:w="1639" w:type="dxa"/>
            <w:tcBorders>
              <w:bottom w:val="single" w:sz="8" w:space="0" w:color="000000"/>
            </w:tcBorders>
            <w:shd w:fill="auto" w:val="clear"/>
            <w:vAlign w:val="center"/>
          </w:tcPr>
          <w:p>
            <w:pPr>
              <w:pStyle w:val="TableContents"/>
              <w:spacing w:before="0" w:after="283"/>
              <w:jc w:val="center"/>
              <w:rPr>
                <w:b/>
                <w:sz w:val="20"/>
              </w:rPr>
            </w:pPr>
            <w:r>
              <w:rPr>
                <w:b/>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2223" w:type="dxa"/>
            <w:tcBorders>
              <w:bottom w:val="single" w:sz="8" w:space="0" w:color="000000"/>
            </w:tcBorders>
            <w:shd w:fill="auto" w:val="clear"/>
            <w:vAlign w:val="center"/>
          </w:tcPr>
          <w:p>
            <w:pPr>
              <w:pStyle w:val="TableContents"/>
              <w:jc w:val="center"/>
              <w:rPr>
                <w:b/>
              </w:rPr>
            </w:pPr>
            <w:r>
              <w:rPr>
                <w:b/>
              </w:rPr>
              <w:t>Fees Earned or Paid in Cash</w:t>
            </w:r>
          </w:p>
          <w:p>
            <w:pPr>
              <w:pStyle w:val="TableContents"/>
              <w:spacing w:before="0" w:after="283"/>
              <w:jc w:val="center"/>
              <w:rPr>
                <w:b/>
                <w:sz w:val="20"/>
              </w:rPr>
            </w:pPr>
            <w:r>
              <w:rPr>
                <w:b/>
                <w:sz w:val="20"/>
              </w:rPr>
              <w:t>($)</w:t>
            </w:r>
          </w:p>
        </w:tc>
        <w:tc>
          <w:tcPr>
            <w:tcW w:w="60" w:type="dxa"/>
            <w:tcBorders/>
            <w:shd w:fill="auto" w:val="clear"/>
            <w:tcMar>
              <w:bottom w:w="0" w:type="dxa"/>
            </w:tcMar>
            <w:vAlign w:val="center"/>
          </w:tcPr>
          <w:p>
            <w:pPr>
              <w:pStyle w:val="TableContents"/>
              <w:spacing w:before="0" w:after="283"/>
              <w:jc w:val="center"/>
              <w:rPr/>
            </w:pPr>
            <w:r>
              <w:rPr/>
              <w:t> </w:t>
            </w:r>
          </w:p>
        </w:tc>
        <w:tc>
          <w:tcPr>
            <w:tcW w:w="1634" w:type="dxa"/>
            <w:tcBorders>
              <w:bottom w:val="single" w:sz="8" w:space="0" w:color="000000"/>
            </w:tcBorders>
            <w:shd w:fill="auto" w:val="clear"/>
            <w:vAlign w:val="center"/>
          </w:tcPr>
          <w:p>
            <w:pPr>
              <w:pStyle w:val="TableContents"/>
              <w:spacing w:before="0" w:after="283"/>
              <w:jc w:val="center"/>
              <w:rPr>
                <w:b/>
                <w:sz w:val="20"/>
              </w:rPr>
            </w:pPr>
            <w:r>
              <w:rPr>
                <w:b/>
                <w:sz w:val="20"/>
              </w:rPr>
              <w:t>Stock Awards ($)(1)(2)(3)</w:t>
            </w:r>
          </w:p>
        </w:tc>
        <w:tc>
          <w:tcPr>
            <w:tcW w:w="60" w:type="dxa"/>
            <w:tcBorders/>
            <w:shd w:fill="auto" w:val="clear"/>
            <w:tcMar>
              <w:bottom w:w="0" w:type="dxa"/>
            </w:tcMar>
            <w:vAlign w:val="center"/>
          </w:tcPr>
          <w:p>
            <w:pPr>
              <w:pStyle w:val="TableContents"/>
              <w:spacing w:before="0" w:after="283"/>
              <w:jc w:val="center"/>
              <w:rPr/>
            </w:pPr>
            <w:r>
              <w:rPr/>
              <w:t> </w:t>
            </w:r>
          </w:p>
        </w:tc>
        <w:tc>
          <w:tcPr>
            <w:tcW w:w="1574" w:type="dxa"/>
            <w:tcBorders>
              <w:bottom w:val="single" w:sz="8" w:space="0" w:color="000000"/>
            </w:tcBorders>
            <w:shd w:fill="auto" w:val="clear"/>
            <w:vAlign w:val="center"/>
          </w:tcPr>
          <w:p>
            <w:pPr>
              <w:pStyle w:val="TableContents"/>
              <w:spacing w:before="0" w:after="283"/>
              <w:jc w:val="center"/>
              <w:rPr>
                <w:b/>
                <w:sz w:val="20"/>
              </w:rPr>
            </w:pPr>
            <w:r>
              <w:rPr>
                <w:b/>
                <w:sz w:val="20"/>
              </w:rPr>
              <w:t>Option Awards ($)(2)(4)</w:t>
            </w:r>
          </w:p>
        </w:tc>
        <w:tc>
          <w:tcPr>
            <w:tcW w:w="60" w:type="dxa"/>
            <w:tcBorders/>
            <w:shd w:fill="auto" w:val="clear"/>
            <w:tcMar>
              <w:bottom w:w="0" w:type="dxa"/>
            </w:tcMar>
            <w:vAlign w:val="center"/>
          </w:tcPr>
          <w:p>
            <w:pPr>
              <w:pStyle w:val="TableContents"/>
              <w:spacing w:before="0" w:after="283"/>
              <w:jc w:val="center"/>
              <w:rPr/>
            </w:pPr>
            <w:r>
              <w:rPr/>
              <w:t> </w:t>
            </w:r>
          </w:p>
        </w:tc>
        <w:tc>
          <w:tcPr>
            <w:tcW w:w="2124" w:type="dxa"/>
            <w:tcBorders>
              <w:bottom w:val="single" w:sz="8" w:space="0" w:color="000000"/>
            </w:tcBorders>
            <w:shd w:fill="auto" w:val="clear"/>
            <w:vAlign w:val="center"/>
          </w:tcPr>
          <w:p>
            <w:pPr>
              <w:pStyle w:val="TableContents"/>
              <w:spacing w:before="0" w:after="283"/>
              <w:jc w:val="center"/>
              <w:rPr>
                <w:b/>
                <w:sz w:val="20"/>
              </w:rPr>
            </w:pPr>
            <w:r>
              <w:rPr>
                <w:b/>
                <w:sz w:val="20"/>
              </w:rPr>
              <w:t>All Other Compensation ($)(5)</w:t>
            </w:r>
          </w:p>
        </w:tc>
        <w:tc>
          <w:tcPr>
            <w:tcW w:w="60" w:type="dxa"/>
            <w:tcBorders/>
            <w:shd w:fill="auto" w:val="clear"/>
            <w:tcMar>
              <w:bottom w:w="0" w:type="dxa"/>
            </w:tcMar>
            <w:vAlign w:val="center"/>
          </w:tcPr>
          <w:p>
            <w:pPr>
              <w:pStyle w:val="TableContents"/>
              <w:spacing w:before="0" w:after="283"/>
              <w:jc w:val="center"/>
              <w:rPr/>
            </w:pPr>
            <w:r>
              <w:rPr/>
              <w:t> </w:t>
            </w:r>
          </w:p>
        </w:tc>
        <w:tc>
          <w:tcPr>
            <w:tcW w:w="711" w:type="dxa"/>
            <w:tcBorders>
              <w:bottom w:val="single" w:sz="8" w:space="0" w:color="000000"/>
            </w:tcBorders>
            <w:shd w:fill="auto" w:val="clear"/>
            <w:vAlign w:val="center"/>
          </w:tcPr>
          <w:p>
            <w:pPr>
              <w:pStyle w:val="TableContents"/>
              <w:jc w:val="center"/>
              <w:rPr>
                <w:b/>
              </w:rPr>
            </w:pPr>
            <w:r>
              <w:rPr>
                <w:b/>
              </w:rPr>
              <w:t>Total</w:t>
            </w:r>
          </w:p>
          <w:p>
            <w:pPr>
              <w:pStyle w:val="TableContents"/>
              <w:spacing w:before="0" w:after="283"/>
              <w:jc w:val="center"/>
              <w:rPr>
                <w:b/>
                <w:sz w:val="20"/>
              </w:rPr>
            </w:pPr>
            <w:r>
              <w:rPr>
                <w:b/>
                <w:sz w:val="20"/>
              </w:rPr>
              <w:t>($)</w:t>
            </w:r>
          </w:p>
        </w:tc>
      </w:tr>
      <w:tr>
        <w:trPr/>
        <w:tc>
          <w:tcPr>
            <w:tcW w:w="1639" w:type="dxa"/>
            <w:tcBorders/>
            <w:shd w:fill="CCEEFF" w:val="clear"/>
            <w:tcMar>
              <w:bottom w:w="0" w:type="dxa"/>
            </w:tcMar>
            <w:vAlign w:val="center"/>
          </w:tcPr>
          <w:p>
            <w:pPr>
              <w:pStyle w:val="TableContents"/>
              <w:spacing w:before="0" w:after="283"/>
              <w:rPr>
                <w:sz w:val="20"/>
              </w:rPr>
            </w:pPr>
            <w:r>
              <w:rPr>
                <w:sz w:val="20"/>
              </w:rPr>
              <w:t>Michael G. Atieh*</w:t>
            </w:r>
          </w:p>
        </w:tc>
        <w:tc>
          <w:tcPr>
            <w:tcW w:w="60" w:type="dxa"/>
            <w:tcBorders/>
            <w:shd w:fill="CCEEFF" w:val="clear"/>
            <w:tcMar>
              <w:bottom w:w="0" w:type="dxa"/>
            </w:tcMar>
            <w:vAlign w:val="center"/>
          </w:tcPr>
          <w:p>
            <w:pPr>
              <w:pStyle w:val="TableContents"/>
              <w:spacing w:before="0" w:after="283"/>
              <w:jc w:val="right"/>
              <w:rPr/>
            </w:pPr>
            <w:r>
              <w:rPr/>
              <w:t> </w:t>
            </w:r>
          </w:p>
        </w:tc>
        <w:tc>
          <w:tcPr>
            <w:tcW w:w="2223" w:type="dxa"/>
            <w:tcBorders/>
            <w:shd w:fill="CCEEFF" w:val="clear"/>
            <w:tcMar>
              <w:bottom w:w="0" w:type="dxa"/>
            </w:tcMar>
            <w:vAlign w:val="center"/>
          </w:tcPr>
          <w:p>
            <w:pPr>
              <w:pStyle w:val="TableContents"/>
              <w:spacing w:before="0" w:after="283"/>
              <w:jc w:val="right"/>
              <w:rPr>
                <w:sz w:val="20"/>
              </w:rPr>
            </w:pPr>
            <w:r>
              <w:rPr>
                <w:sz w:val="20"/>
              </w:rPr>
              <w:t>23,500</w:t>
            </w:r>
          </w:p>
        </w:tc>
        <w:tc>
          <w:tcPr>
            <w:tcW w:w="60" w:type="dxa"/>
            <w:tcBorders/>
            <w:shd w:fill="CCEEFF" w:val="clear"/>
            <w:tcMar>
              <w:bottom w:w="0" w:type="dxa"/>
            </w:tcMar>
            <w:vAlign w:val="center"/>
          </w:tcPr>
          <w:p>
            <w:pPr>
              <w:pStyle w:val="TableContents"/>
              <w:spacing w:before="0" w:after="283"/>
              <w:jc w:val="right"/>
              <w:rPr/>
            </w:pPr>
            <w:r>
              <w:rPr/>
              <w:t> </w:t>
            </w:r>
          </w:p>
        </w:tc>
        <w:tc>
          <w:tcPr>
            <w:tcW w:w="163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157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212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711" w:type="dxa"/>
            <w:tcBorders/>
            <w:shd w:fill="CCEEFF" w:val="clear"/>
            <w:tcMar>
              <w:bottom w:w="0" w:type="dxa"/>
            </w:tcMar>
            <w:vAlign w:val="center"/>
          </w:tcPr>
          <w:p>
            <w:pPr>
              <w:pStyle w:val="TableContents"/>
              <w:spacing w:before="0" w:after="283"/>
              <w:jc w:val="right"/>
              <w:rPr>
                <w:sz w:val="20"/>
              </w:rPr>
            </w:pPr>
            <w:r>
              <w:rPr>
                <w:sz w:val="20"/>
              </w:rPr>
              <w:t>23,500</w:t>
            </w:r>
          </w:p>
        </w:tc>
      </w:tr>
      <w:tr>
        <w:trPr/>
        <w:tc>
          <w:tcPr>
            <w:tcW w:w="1639" w:type="dxa"/>
            <w:tcBorders/>
            <w:shd w:fill="FFFFFF" w:val="clear"/>
            <w:tcMar>
              <w:bottom w:w="0" w:type="dxa"/>
            </w:tcMar>
            <w:vAlign w:val="center"/>
          </w:tcPr>
          <w:p>
            <w:pPr>
              <w:pStyle w:val="TableContents"/>
              <w:spacing w:before="0" w:after="283"/>
              <w:rPr>
                <w:sz w:val="20"/>
              </w:rPr>
            </w:pPr>
            <w:r>
              <w:rPr>
                <w:sz w:val="20"/>
              </w:rPr>
              <w:t>Peter Cuneo</w:t>
            </w:r>
          </w:p>
        </w:tc>
        <w:tc>
          <w:tcPr>
            <w:tcW w:w="60" w:type="dxa"/>
            <w:tcBorders/>
            <w:shd w:fill="FFFFFF" w:val="clear"/>
            <w:tcMar>
              <w:bottom w:w="0" w:type="dxa"/>
            </w:tcMar>
            <w:vAlign w:val="center"/>
          </w:tcPr>
          <w:p>
            <w:pPr>
              <w:pStyle w:val="TableContents"/>
              <w:spacing w:before="0" w:after="283"/>
              <w:jc w:val="right"/>
              <w:rPr/>
            </w:pPr>
            <w:r>
              <w:rPr/>
              <w:t> </w:t>
            </w:r>
          </w:p>
        </w:tc>
        <w:tc>
          <w:tcPr>
            <w:tcW w:w="2223" w:type="dxa"/>
            <w:tcBorders/>
            <w:shd w:fill="FFFFFF" w:val="clear"/>
            <w:tcMar>
              <w:bottom w:w="0" w:type="dxa"/>
            </w:tcMar>
            <w:vAlign w:val="center"/>
          </w:tcPr>
          <w:p>
            <w:pPr>
              <w:pStyle w:val="TableContents"/>
              <w:spacing w:before="0" w:after="283"/>
              <w:jc w:val="right"/>
              <w:rPr>
                <w:sz w:val="20"/>
              </w:rPr>
            </w:pPr>
            <w:r>
              <w:rPr>
                <w:sz w:val="20"/>
              </w:rPr>
              <w:t>67,000</w:t>
            </w:r>
          </w:p>
        </w:tc>
        <w:tc>
          <w:tcPr>
            <w:tcW w:w="60" w:type="dxa"/>
            <w:tcBorders/>
            <w:shd w:fill="FFFFFF" w:val="clear"/>
            <w:tcMar>
              <w:bottom w:w="0" w:type="dxa"/>
            </w:tcMar>
            <w:vAlign w:val="center"/>
          </w:tcPr>
          <w:p>
            <w:pPr>
              <w:pStyle w:val="TableContents"/>
              <w:spacing w:before="0" w:after="283"/>
              <w:jc w:val="right"/>
              <w:rPr/>
            </w:pPr>
            <w:r>
              <w:rPr/>
              <w:t> </w:t>
            </w:r>
          </w:p>
        </w:tc>
        <w:tc>
          <w:tcPr>
            <w:tcW w:w="163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1574" w:type="dxa"/>
            <w:tcBorders/>
            <w:shd w:fill="FFFFFF" w:val="clear"/>
            <w:tcMar>
              <w:bottom w:w="0" w:type="dxa"/>
            </w:tcMar>
            <w:vAlign w:val="center"/>
          </w:tcPr>
          <w:p>
            <w:pPr>
              <w:pStyle w:val="TableContents"/>
              <w:spacing w:before="0" w:after="283"/>
              <w:jc w:val="right"/>
              <w:rPr>
                <w:sz w:val="20"/>
              </w:rPr>
            </w:pPr>
            <w:r>
              <w:rPr>
                <w:sz w:val="20"/>
              </w:rPr>
              <w:t>117,435</w:t>
            </w:r>
          </w:p>
        </w:tc>
        <w:tc>
          <w:tcPr>
            <w:tcW w:w="60" w:type="dxa"/>
            <w:tcBorders/>
            <w:shd w:fill="FFFFFF" w:val="clear"/>
            <w:tcMar>
              <w:bottom w:w="0" w:type="dxa"/>
            </w:tcMar>
            <w:vAlign w:val="center"/>
          </w:tcPr>
          <w:p>
            <w:pPr>
              <w:pStyle w:val="TableContents"/>
              <w:spacing w:before="0" w:after="283"/>
              <w:jc w:val="right"/>
              <w:rPr/>
            </w:pPr>
            <w:r>
              <w:rPr/>
              <w:t> </w:t>
            </w:r>
          </w:p>
        </w:tc>
        <w:tc>
          <w:tcPr>
            <w:tcW w:w="212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711" w:type="dxa"/>
            <w:tcBorders/>
            <w:shd w:fill="FFFFFF" w:val="clear"/>
            <w:tcMar>
              <w:bottom w:w="0" w:type="dxa"/>
            </w:tcMar>
            <w:vAlign w:val="center"/>
          </w:tcPr>
          <w:p>
            <w:pPr>
              <w:pStyle w:val="TableContents"/>
              <w:spacing w:before="0" w:after="283"/>
              <w:jc w:val="right"/>
              <w:rPr>
                <w:sz w:val="20"/>
              </w:rPr>
            </w:pPr>
            <w:r>
              <w:rPr>
                <w:sz w:val="20"/>
              </w:rPr>
              <w:t>184,435</w:t>
            </w:r>
          </w:p>
        </w:tc>
      </w:tr>
      <w:tr>
        <w:trPr/>
        <w:tc>
          <w:tcPr>
            <w:tcW w:w="1639" w:type="dxa"/>
            <w:tcBorders/>
            <w:shd w:fill="CCEEFF" w:val="clear"/>
            <w:tcMar>
              <w:bottom w:w="0" w:type="dxa"/>
            </w:tcMar>
            <w:vAlign w:val="center"/>
          </w:tcPr>
          <w:p>
            <w:pPr>
              <w:pStyle w:val="TableContents"/>
              <w:spacing w:before="0" w:after="283"/>
              <w:rPr>
                <w:sz w:val="20"/>
              </w:rPr>
            </w:pPr>
            <w:r>
              <w:rPr>
                <w:sz w:val="20"/>
              </w:rPr>
              <w:t>Thomas J. Errico, M.D.</w:t>
            </w:r>
          </w:p>
        </w:tc>
        <w:tc>
          <w:tcPr>
            <w:tcW w:w="60" w:type="dxa"/>
            <w:tcBorders/>
            <w:shd w:fill="CCEEFF" w:val="clear"/>
            <w:tcMar>
              <w:bottom w:w="0" w:type="dxa"/>
            </w:tcMar>
            <w:vAlign w:val="center"/>
          </w:tcPr>
          <w:p>
            <w:pPr>
              <w:pStyle w:val="TableContents"/>
              <w:spacing w:before="0" w:after="283"/>
              <w:jc w:val="right"/>
              <w:rPr/>
            </w:pPr>
            <w:r>
              <w:rPr/>
              <w:t> </w:t>
            </w:r>
          </w:p>
        </w:tc>
        <w:tc>
          <w:tcPr>
            <w:tcW w:w="2223" w:type="dxa"/>
            <w:tcBorders/>
            <w:shd w:fill="CCEEFF" w:val="clear"/>
            <w:tcMar>
              <w:bottom w:w="0" w:type="dxa"/>
            </w:tcMar>
            <w:vAlign w:val="center"/>
          </w:tcPr>
          <w:p>
            <w:pPr>
              <w:pStyle w:val="TableContents"/>
              <w:spacing w:before="0" w:after="283"/>
              <w:jc w:val="right"/>
              <w:rPr>
                <w:sz w:val="20"/>
              </w:rPr>
            </w:pPr>
            <w:r>
              <w:rPr>
                <w:sz w:val="20"/>
              </w:rPr>
              <w:t>55,000</w:t>
            </w:r>
          </w:p>
        </w:tc>
        <w:tc>
          <w:tcPr>
            <w:tcW w:w="60" w:type="dxa"/>
            <w:tcBorders/>
            <w:shd w:fill="CCEEFF" w:val="clear"/>
            <w:tcMar>
              <w:bottom w:w="0" w:type="dxa"/>
            </w:tcMar>
            <w:vAlign w:val="center"/>
          </w:tcPr>
          <w:p>
            <w:pPr>
              <w:pStyle w:val="TableContents"/>
              <w:spacing w:before="0" w:after="283"/>
              <w:jc w:val="right"/>
              <w:rPr/>
            </w:pPr>
            <w:r>
              <w:rPr/>
              <w:t> </w:t>
            </w:r>
          </w:p>
        </w:tc>
        <w:tc>
          <w:tcPr>
            <w:tcW w:w="1634" w:type="dxa"/>
            <w:tcBorders/>
            <w:shd w:fill="CCEEFF" w:val="clear"/>
            <w:tcMar>
              <w:bottom w:w="0" w:type="dxa"/>
            </w:tcMar>
            <w:vAlign w:val="center"/>
          </w:tcPr>
          <w:p>
            <w:pPr>
              <w:pStyle w:val="TableContents"/>
              <w:spacing w:before="0" w:after="283"/>
              <w:jc w:val="right"/>
              <w:rPr>
                <w:sz w:val="20"/>
              </w:rPr>
            </w:pPr>
            <w:r>
              <w:rPr>
                <w:sz w:val="20"/>
              </w:rPr>
              <w:t>75,000</w:t>
            </w:r>
          </w:p>
        </w:tc>
        <w:tc>
          <w:tcPr>
            <w:tcW w:w="60" w:type="dxa"/>
            <w:tcBorders/>
            <w:shd w:fill="CCEEFF" w:val="clear"/>
            <w:tcMar>
              <w:bottom w:w="0" w:type="dxa"/>
            </w:tcMar>
            <w:vAlign w:val="center"/>
          </w:tcPr>
          <w:p>
            <w:pPr>
              <w:pStyle w:val="TableContents"/>
              <w:spacing w:before="0" w:after="283"/>
              <w:jc w:val="right"/>
              <w:rPr/>
            </w:pPr>
            <w:r>
              <w:rPr/>
              <w:t> </w:t>
            </w:r>
          </w:p>
        </w:tc>
        <w:tc>
          <w:tcPr>
            <w:tcW w:w="157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212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711" w:type="dxa"/>
            <w:tcBorders/>
            <w:shd w:fill="CCEEFF" w:val="clear"/>
            <w:tcMar>
              <w:bottom w:w="0" w:type="dxa"/>
            </w:tcMar>
            <w:vAlign w:val="center"/>
          </w:tcPr>
          <w:p>
            <w:pPr>
              <w:pStyle w:val="TableContents"/>
              <w:spacing w:before="0" w:after="283"/>
              <w:jc w:val="right"/>
              <w:rPr>
                <w:sz w:val="20"/>
              </w:rPr>
            </w:pPr>
            <w:r>
              <w:rPr>
                <w:sz w:val="20"/>
              </w:rPr>
              <w:t>130,000</w:t>
            </w:r>
          </w:p>
        </w:tc>
      </w:tr>
      <w:tr>
        <w:trPr/>
        <w:tc>
          <w:tcPr>
            <w:tcW w:w="1639" w:type="dxa"/>
            <w:tcBorders/>
            <w:shd w:fill="FFFFFF" w:val="clear"/>
            <w:tcMar>
              <w:bottom w:w="0" w:type="dxa"/>
            </w:tcMar>
            <w:vAlign w:val="center"/>
          </w:tcPr>
          <w:p>
            <w:pPr>
              <w:pStyle w:val="TableContents"/>
              <w:spacing w:before="0" w:after="283"/>
              <w:rPr>
                <w:sz w:val="20"/>
              </w:rPr>
            </w:pPr>
            <w:r>
              <w:rPr>
                <w:sz w:val="20"/>
              </w:rPr>
              <w:t>Joseph P. Errico</w:t>
            </w:r>
          </w:p>
        </w:tc>
        <w:tc>
          <w:tcPr>
            <w:tcW w:w="60" w:type="dxa"/>
            <w:tcBorders/>
            <w:shd w:fill="FFFFFF" w:val="clear"/>
            <w:tcMar>
              <w:bottom w:w="0" w:type="dxa"/>
            </w:tcMar>
            <w:vAlign w:val="center"/>
          </w:tcPr>
          <w:p>
            <w:pPr>
              <w:pStyle w:val="TableContents"/>
              <w:spacing w:before="0" w:after="283"/>
              <w:jc w:val="right"/>
              <w:rPr/>
            </w:pPr>
            <w:r>
              <w:rPr/>
              <w:t> </w:t>
            </w:r>
          </w:p>
        </w:tc>
        <w:tc>
          <w:tcPr>
            <w:tcW w:w="2223" w:type="dxa"/>
            <w:tcBorders/>
            <w:shd w:fill="FFFFFF" w:val="clear"/>
            <w:tcMar>
              <w:bottom w:w="0" w:type="dxa"/>
            </w:tcMar>
            <w:vAlign w:val="center"/>
          </w:tcPr>
          <w:p>
            <w:pPr>
              <w:pStyle w:val="TableContents"/>
              <w:spacing w:before="0" w:after="283"/>
              <w:jc w:val="right"/>
              <w:rPr>
                <w:sz w:val="20"/>
              </w:rPr>
            </w:pPr>
            <w:r>
              <w:rPr>
                <w:sz w:val="20"/>
              </w:rPr>
              <w:t>47,000</w:t>
            </w:r>
          </w:p>
        </w:tc>
        <w:tc>
          <w:tcPr>
            <w:tcW w:w="60" w:type="dxa"/>
            <w:tcBorders/>
            <w:shd w:fill="FFFFFF" w:val="clear"/>
            <w:tcMar>
              <w:bottom w:w="0" w:type="dxa"/>
            </w:tcMar>
            <w:vAlign w:val="center"/>
          </w:tcPr>
          <w:p>
            <w:pPr>
              <w:pStyle w:val="TableContents"/>
              <w:spacing w:before="0" w:after="283"/>
              <w:jc w:val="right"/>
              <w:rPr/>
            </w:pPr>
            <w:r>
              <w:rPr/>
              <w:t> </w:t>
            </w:r>
          </w:p>
        </w:tc>
        <w:tc>
          <w:tcPr>
            <w:tcW w:w="1634" w:type="dxa"/>
            <w:tcBorders/>
            <w:shd w:fill="FFFFFF" w:val="clear"/>
            <w:tcMar>
              <w:bottom w:w="0" w:type="dxa"/>
            </w:tcMar>
            <w:vAlign w:val="center"/>
          </w:tcPr>
          <w:p>
            <w:pPr>
              <w:pStyle w:val="TableContents"/>
              <w:spacing w:before="0" w:after="283"/>
              <w:jc w:val="right"/>
              <w:rPr>
                <w:sz w:val="20"/>
              </w:rPr>
            </w:pPr>
            <w:r>
              <w:rPr>
                <w:sz w:val="20"/>
              </w:rPr>
              <w:t>75,000</w:t>
            </w:r>
          </w:p>
        </w:tc>
        <w:tc>
          <w:tcPr>
            <w:tcW w:w="60" w:type="dxa"/>
            <w:tcBorders/>
            <w:shd w:fill="FFFFFF" w:val="clear"/>
            <w:tcMar>
              <w:bottom w:w="0" w:type="dxa"/>
            </w:tcMar>
            <w:vAlign w:val="center"/>
          </w:tcPr>
          <w:p>
            <w:pPr>
              <w:pStyle w:val="TableContents"/>
              <w:spacing w:before="0" w:after="283"/>
              <w:jc w:val="right"/>
              <w:rPr/>
            </w:pPr>
            <w:r>
              <w:rPr/>
              <w:t> </w:t>
            </w:r>
          </w:p>
        </w:tc>
        <w:tc>
          <w:tcPr>
            <w:tcW w:w="157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2124" w:type="dxa"/>
            <w:tcBorders/>
            <w:shd w:fill="FFFFFF" w:val="clear"/>
            <w:tcMar>
              <w:bottom w:w="0" w:type="dxa"/>
            </w:tcMar>
            <w:vAlign w:val="center"/>
          </w:tcPr>
          <w:p>
            <w:pPr>
              <w:pStyle w:val="TableContents"/>
              <w:spacing w:before="0" w:after="283"/>
              <w:jc w:val="right"/>
              <w:rPr>
                <w:sz w:val="20"/>
              </w:rPr>
            </w:pPr>
            <w:r>
              <w:rPr>
                <w:sz w:val="20"/>
              </w:rPr>
              <w:t>36,000</w:t>
            </w:r>
          </w:p>
        </w:tc>
        <w:tc>
          <w:tcPr>
            <w:tcW w:w="60" w:type="dxa"/>
            <w:tcBorders/>
            <w:shd w:fill="FFFFFF" w:val="clear"/>
            <w:tcMar>
              <w:bottom w:w="0" w:type="dxa"/>
            </w:tcMar>
            <w:vAlign w:val="center"/>
          </w:tcPr>
          <w:p>
            <w:pPr>
              <w:pStyle w:val="TableContents"/>
              <w:spacing w:before="0" w:after="283"/>
              <w:jc w:val="right"/>
              <w:rPr/>
            </w:pPr>
            <w:r>
              <w:rPr/>
              <w:t> </w:t>
            </w:r>
          </w:p>
        </w:tc>
        <w:tc>
          <w:tcPr>
            <w:tcW w:w="711" w:type="dxa"/>
            <w:tcBorders/>
            <w:shd w:fill="FFFFFF" w:val="clear"/>
            <w:tcMar>
              <w:bottom w:w="0" w:type="dxa"/>
            </w:tcMar>
            <w:vAlign w:val="center"/>
          </w:tcPr>
          <w:p>
            <w:pPr>
              <w:pStyle w:val="TableContents"/>
              <w:spacing w:before="0" w:after="283"/>
              <w:jc w:val="right"/>
              <w:rPr>
                <w:sz w:val="20"/>
              </w:rPr>
            </w:pPr>
            <w:r>
              <w:rPr>
                <w:sz w:val="20"/>
              </w:rPr>
              <w:t>158,000</w:t>
            </w:r>
          </w:p>
        </w:tc>
      </w:tr>
      <w:tr>
        <w:trPr/>
        <w:tc>
          <w:tcPr>
            <w:tcW w:w="1639" w:type="dxa"/>
            <w:tcBorders/>
            <w:shd w:fill="CCEEFF" w:val="clear"/>
            <w:tcMar>
              <w:bottom w:w="0" w:type="dxa"/>
            </w:tcMar>
            <w:vAlign w:val="center"/>
          </w:tcPr>
          <w:p>
            <w:pPr>
              <w:pStyle w:val="TableContents"/>
              <w:spacing w:before="0" w:after="283"/>
              <w:rPr>
                <w:sz w:val="20"/>
              </w:rPr>
            </w:pPr>
            <w:r>
              <w:rPr>
                <w:sz w:val="20"/>
              </w:rPr>
              <w:t>John P. Gandolfo</w:t>
            </w:r>
          </w:p>
        </w:tc>
        <w:tc>
          <w:tcPr>
            <w:tcW w:w="60" w:type="dxa"/>
            <w:tcBorders/>
            <w:shd w:fill="CCEEFF" w:val="clear"/>
            <w:tcMar>
              <w:bottom w:w="0" w:type="dxa"/>
            </w:tcMar>
            <w:vAlign w:val="center"/>
          </w:tcPr>
          <w:p>
            <w:pPr>
              <w:pStyle w:val="TableContents"/>
              <w:spacing w:before="0" w:after="283"/>
              <w:jc w:val="right"/>
              <w:rPr/>
            </w:pPr>
            <w:r>
              <w:rPr/>
              <w:t> </w:t>
            </w:r>
          </w:p>
        </w:tc>
        <w:tc>
          <w:tcPr>
            <w:tcW w:w="2223" w:type="dxa"/>
            <w:tcBorders/>
            <w:shd w:fill="CCEEFF" w:val="clear"/>
            <w:tcMar>
              <w:bottom w:w="0" w:type="dxa"/>
            </w:tcMar>
            <w:vAlign w:val="center"/>
          </w:tcPr>
          <w:p>
            <w:pPr>
              <w:pStyle w:val="TableContents"/>
              <w:spacing w:before="0" w:after="283"/>
              <w:jc w:val="right"/>
              <w:rPr>
                <w:sz w:val="20"/>
              </w:rPr>
            </w:pPr>
            <w:r>
              <w:rPr>
                <w:sz w:val="20"/>
              </w:rPr>
              <w:t>47,000</w:t>
            </w:r>
          </w:p>
        </w:tc>
        <w:tc>
          <w:tcPr>
            <w:tcW w:w="60" w:type="dxa"/>
            <w:tcBorders/>
            <w:shd w:fill="CCEEFF" w:val="clear"/>
            <w:tcMar>
              <w:bottom w:w="0" w:type="dxa"/>
            </w:tcMar>
            <w:vAlign w:val="center"/>
          </w:tcPr>
          <w:p>
            <w:pPr>
              <w:pStyle w:val="TableContents"/>
              <w:spacing w:before="0" w:after="283"/>
              <w:jc w:val="right"/>
              <w:rPr/>
            </w:pPr>
            <w:r>
              <w:rPr/>
              <w:t> </w:t>
            </w:r>
          </w:p>
        </w:tc>
        <w:tc>
          <w:tcPr>
            <w:tcW w:w="1634" w:type="dxa"/>
            <w:tcBorders/>
            <w:shd w:fill="CCEEFF" w:val="clear"/>
            <w:tcMar>
              <w:bottom w:w="0" w:type="dxa"/>
            </w:tcMar>
            <w:vAlign w:val="center"/>
          </w:tcPr>
          <w:p>
            <w:pPr>
              <w:pStyle w:val="TableContents"/>
              <w:spacing w:before="0" w:after="283"/>
              <w:jc w:val="right"/>
              <w:rPr>
                <w:sz w:val="20"/>
              </w:rPr>
            </w:pPr>
            <w:r>
              <w:rPr>
                <w:sz w:val="20"/>
              </w:rPr>
              <w:t>75,000</w:t>
            </w:r>
          </w:p>
        </w:tc>
        <w:tc>
          <w:tcPr>
            <w:tcW w:w="60" w:type="dxa"/>
            <w:tcBorders/>
            <w:shd w:fill="CCEEFF" w:val="clear"/>
            <w:tcMar>
              <w:bottom w:w="0" w:type="dxa"/>
            </w:tcMar>
            <w:vAlign w:val="center"/>
          </w:tcPr>
          <w:p>
            <w:pPr>
              <w:pStyle w:val="TableContents"/>
              <w:spacing w:before="0" w:after="283"/>
              <w:jc w:val="right"/>
              <w:rPr/>
            </w:pPr>
            <w:r>
              <w:rPr/>
              <w:t> </w:t>
            </w:r>
          </w:p>
        </w:tc>
        <w:tc>
          <w:tcPr>
            <w:tcW w:w="157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212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711" w:type="dxa"/>
            <w:tcBorders/>
            <w:shd w:fill="CCEEFF" w:val="clear"/>
            <w:tcMar>
              <w:bottom w:w="0" w:type="dxa"/>
            </w:tcMar>
            <w:vAlign w:val="center"/>
          </w:tcPr>
          <w:p>
            <w:pPr>
              <w:pStyle w:val="TableContents"/>
              <w:spacing w:before="0" w:after="283"/>
              <w:jc w:val="right"/>
              <w:rPr>
                <w:sz w:val="20"/>
              </w:rPr>
            </w:pPr>
            <w:r>
              <w:rPr>
                <w:sz w:val="20"/>
              </w:rPr>
              <w:t>122,000</w:t>
            </w:r>
          </w:p>
        </w:tc>
      </w:tr>
      <w:tr>
        <w:trPr/>
        <w:tc>
          <w:tcPr>
            <w:tcW w:w="1639" w:type="dxa"/>
            <w:tcBorders/>
            <w:shd w:fill="FFFFFF" w:val="clear"/>
            <w:tcMar>
              <w:bottom w:w="0" w:type="dxa"/>
            </w:tcMar>
            <w:vAlign w:val="center"/>
          </w:tcPr>
          <w:p>
            <w:pPr>
              <w:pStyle w:val="TableContents"/>
              <w:spacing w:before="0" w:after="283"/>
              <w:rPr>
                <w:sz w:val="20"/>
              </w:rPr>
            </w:pPr>
            <w:r>
              <w:rPr>
                <w:sz w:val="20"/>
              </w:rPr>
              <w:t>Julie Goldstein</w:t>
            </w:r>
          </w:p>
        </w:tc>
        <w:tc>
          <w:tcPr>
            <w:tcW w:w="60" w:type="dxa"/>
            <w:tcBorders/>
            <w:shd w:fill="FFFFFF" w:val="clear"/>
            <w:tcMar>
              <w:bottom w:w="0" w:type="dxa"/>
            </w:tcMar>
            <w:vAlign w:val="center"/>
          </w:tcPr>
          <w:p>
            <w:pPr>
              <w:pStyle w:val="TableContents"/>
              <w:spacing w:before="0" w:after="283"/>
              <w:jc w:val="right"/>
              <w:rPr/>
            </w:pPr>
            <w:r>
              <w:rPr/>
              <w:t> </w:t>
            </w:r>
          </w:p>
        </w:tc>
        <w:tc>
          <w:tcPr>
            <w:tcW w:w="2223" w:type="dxa"/>
            <w:tcBorders/>
            <w:shd w:fill="FFFFFF" w:val="clear"/>
            <w:tcMar>
              <w:bottom w:w="0" w:type="dxa"/>
            </w:tcMar>
            <w:vAlign w:val="center"/>
          </w:tcPr>
          <w:p>
            <w:pPr>
              <w:pStyle w:val="TableContents"/>
              <w:spacing w:before="0" w:after="283"/>
              <w:jc w:val="right"/>
              <w:rPr>
                <w:sz w:val="20"/>
              </w:rPr>
            </w:pPr>
            <w:r>
              <w:rPr>
                <w:sz w:val="20"/>
              </w:rPr>
              <w:t>37,208</w:t>
            </w:r>
          </w:p>
        </w:tc>
        <w:tc>
          <w:tcPr>
            <w:tcW w:w="60" w:type="dxa"/>
            <w:tcBorders/>
            <w:shd w:fill="FFFFFF" w:val="clear"/>
            <w:tcMar>
              <w:bottom w:w="0" w:type="dxa"/>
            </w:tcMar>
            <w:vAlign w:val="center"/>
          </w:tcPr>
          <w:p>
            <w:pPr>
              <w:pStyle w:val="TableContents"/>
              <w:spacing w:before="0" w:after="283"/>
              <w:jc w:val="right"/>
              <w:rPr/>
            </w:pPr>
            <w:r>
              <w:rPr/>
              <w:t> </w:t>
            </w:r>
          </w:p>
        </w:tc>
        <w:tc>
          <w:tcPr>
            <w:tcW w:w="1634" w:type="dxa"/>
            <w:tcBorders/>
            <w:shd w:fill="FFFFFF" w:val="clear"/>
            <w:tcMar>
              <w:bottom w:w="0" w:type="dxa"/>
            </w:tcMar>
            <w:vAlign w:val="center"/>
          </w:tcPr>
          <w:p>
            <w:pPr>
              <w:pStyle w:val="TableContents"/>
              <w:spacing w:before="0" w:after="283"/>
              <w:jc w:val="right"/>
              <w:rPr>
                <w:sz w:val="20"/>
              </w:rPr>
            </w:pPr>
            <w:r>
              <w:rPr>
                <w:sz w:val="20"/>
              </w:rPr>
              <w:t>75,000</w:t>
            </w:r>
          </w:p>
        </w:tc>
        <w:tc>
          <w:tcPr>
            <w:tcW w:w="60" w:type="dxa"/>
            <w:tcBorders/>
            <w:shd w:fill="FFFFFF" w:val="clear"/>
            <w:tcMar>
              <w:bottom w:w="0" w:type="dxa"/>
            </w:tcMar>
            <w:vAlign w:val="center"/>
          </w:tcPr>
          <w:p>
            <w:pPr>
              <w:pStyle w:val="TableContents"/>
              <w:spacing w:before="0" w:after="283"/>
              <w:jc w:val="right"/>
              <w:rPr/>
            </w:pPr>
            <w:r>
              <w:rPr/>
              <w:t> </w:t>
            </w:r>
          </w:p>
        </w:tc>
        <w:tc>
          <w:tcPr>
            <w:tcW w:w="157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212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711" w:type="dxa"/>
            <w:tcBorders/>
            <w:shd w:fill="FFFFFF" w:val="clear"/>
            <w:tcMar>
              <w:bottom w:w="0" w:type="dxa"/>
            </w:tcMar>
            <w:vAlign w:val="center"/>
          </w:tcPr>
          <w:p>
            <w:pPr>
              <w:pStyle w:val="TableContents"/>
              <w:spacing w:before="0" w:after="283"/>
              <w:jc w:val="right"/>
              <w:rPr>
                <w:sz w:val="20"/>
              </w:rPr>
            </w:pPr>
            <w:r>
              <w:rPr>
                <w:sz w:val="20"/>
              </w:rPr>
              <w:t>112,208</w:t>
            </w:r>
          </w:p>
        </w:tc>
      </w:tr>
      <w:tr>
        <w:trPr/>
        <w:tc>
          <w:tcPr>
            <w:tcW w:w="1639" w:type="dxa"/>
            <w:tcBorders/>
            <w:shd w:fill="CCEEFF" w:val="clear"/>
            <w:tcMar>
              <w:bottom w:w="0" w:type="dxa"/>
            </w:tcMar>
            <w:vAlign w:val="center"/>
          </w:tcPr>
          <w:p>
            <w:pPr>
              <w:pStyle w:val="TableContents"/>
              <w:spacing w:before="0" w:after="283"/>
              <w:rPr>
                <w:sz w:val="20"/>
              </w:rPr>
            </w:pPr>
            <w:r>
              <w:rPr>
                <w:sz w:val="20"/>
              </w:rPr>
              <w:t>Trevor J. Moody</w:t>
            </w:r>
          </w:p>
        </w:tc>
        <w:tc>
          <w:tcPr>
            <w:tcW w:w="60" w:type="dxa"/>
            <w:tcBorders/>
            <w:shd w:fill="CCEEFF" w:val="clear"/>
            <w:tcMar>
              <w:bottom w:w="0" w:type="dxa"/>
            </w:tcMar>
            <w:vAlign w:val="center"/>
          </w:tcPr>
          <w:p>
            <w:pPr>
              <w:pStyle w:val="TableContents"/>
              <w:spacing w:before="0" w:after="283"/>
              <w:jc w:val="right"/>
              <w:rPr/>
            </w:pPr>
            <w:r>
              <w:rPr/>
              <w:t> </w:t>
            </w:r>
          </w:p>
        </w:tc>
        <w:tc>
          <w:tcPr>
            <w:tcW w:w="2223" w:type="dxa"/>
            <w:tcBorders/>
            <w:shd w:fill="CCEEFF" w:val="clear"/>
            <w:tcMar>
              <w:bottom w:w="0" w:type="dxa"/>
            </w:tcMar>
            <w:vAlign w:val="center"/>
          </w:tcPr>
          <w:p>
            <w:pPr>
              <w:pStyle w:val="TableContents"/>
              <w:spacing w:before="0" w:after="283"/>
              <w:jc w:val="right"/>
              <w:rPr>
                <w:sz w:val="20"/>
              </w:rPr>
            </w:pPr>
            <w:r>
              <w:rPr>
                <w:sz w:val="20"/>
              </w:rPr>
              <w:t>58,000</w:t>
            </w:r>
          </w:p>
        </w:tc>
        <w:tc>
          <w:tcPr>
            <w:tcW w:w="60" w:type="dxa"/>
            <w:tcBorders/>
            <w:shd w:fill="CCEEFF" w:val="clear"/>
            <w:tcMar>
              <w:bottom w:w="0" w:type="dxa"/>
            </w:tcMar>
            <w:vAlign w:val="center"/>
          </w:tcPr>
          <w:p>
            <w:pPr>
              <w:pStyle w:val="TableContents"/>
              <w:spacing w:before="0" w:after="283"/>
              <w:jc w:val="right"/>
              <w:rPr/>
            </w:pPr>
            <w:r>
              <w:rPr/>
              <w:t> </w:t>
            </w:r>
          </w:p>
        </w:tc>
        <w:tc>
          <w:tcPr>
            <w:tcW w:w="1634" w:type="dxa"/>
            <w:tcBorders/>
            <w:shd w:fill="CCEEFF" w:val="clear"/>
            <w:tcMar>
              <w:bottom w:w="0" w:type="dxa"/>
            </w:tcMar>
            <w:vAlign w:val="center"/>
          </w:tcPr>
          <w:p>
            <w:pPr>
              <w:pStyle w:val="TableContents"/>
              <w:spacing w:before="0" w:after="283"/>
              <w:jc w:val="right"/>
              <w:rPr>
                <w:sz w:val="20"/>
              </w:rPr>
            </w:pPr>
            <w:r>
              <w:rPr>
                <w:sz w:val="20"/>
              </w:rPr>
              <w:t>75,000</w:t>
            </w:r>
          </w:p>
        </w:tc>
        <w:tc>
          <w:tcPr>
            <w:tcW w:w="60" w:type="dxa"/>
            <w:tcBorders/>
            <w:shd w:fill="CCEEFF" w:val="clear"/>
            <w:tcMar>
              <w:bottom w:w="0" w:type="dxa"/>
            </w:tcMar>
            <w:vAlign w:val="center"/>
          </w:tcPr>
          <w:p>
            <w:pPr>
              <w:pStyle w:val="TableContents"/>
              <w:spacing w:before="0" w:after="283"/>
              <w:jc w:val="right"/>
              <w:rPr/>
            </w:pPr>
            <w:r>
              <w:rPr/>
              <w:t> </w:t>
            </w:r>
          </w:p>
        </w:tc>
        <w:tc>
          <w:tcPr>
            <w:tcW w:w="157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212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711" w:type="dxa"/>
            <w:tcBorders/>
            <w:shd w:fill="CCEEFF" w:val="clear"/>
            <w:tcMar>
              <w:bottom w:w="0" w:type="dxa"/>
            </w:tcMar>
            <w:vAlign w:val="center"/>
          </w:tcPr>
          <w:p>
            <w:pPr>
              <w:pStyle w:val="TableContents"/>
              <w:spacing w:before="0" w:after="283"/>
              <w:jc w:val="right"/>
              <w:rPr>
                <w:sz w:val="20"/>
              </w:rPr>
            </w:pPr>
            <w:r>
              <w:rPr>
                <w:sz w:val="20"/>
              </w:rPr>
              <w:t>133,000</w:t>
            </w:r>
          </w:p>
        </w:tc>
      </w:tr>
      <w:tr>
        <w:trPr/>
        <w:tc>
          <w:tcPr>
            <w:tcW w:w="1639" w:type="dxa"/>
            <w:tcBorders/>
            <w:shd w:fill="FFFFFF" w:val="clear"/>
            <w:tcMar>
              <w:bottom w:w="0" w:type="dxa"/>
            </w:tcMar>
            <w:vAlign w:val="center"/>
          </w:tcPr>
          <w:p>
            <w:pPr>
              <w:pStyle w:val="TableContents"/>
              <w:spacing w:before="0" w:after="283"/>
              <w:rPr>
                <w:sz w:val="20"/>
              </w:rPr>
            </w:pPr>
            <w:r>
              <w:rPr>
                <w:sz w:val="20"/>
              </w:rPr>
              <w:t>Stephen L. Ondra, M.D.*</w:t>
            </w:r>
          </w:p>
        </w:tc>
        <w:tc>
          <w:tcPr>
            <w:tcW w:w="60" w:type="dxa"/>
            <w:tcBorders/>
            <w:shd w:fill="FFFFFF" w:val="clear"/>
            <w:tcMar>
              <w:bottom w:w="0" w:type="dxa"/>
            </w:tcMar>
            <w:vAlign w:val="center"/>
          </w:tcPr>
          <w:p>
            <w:pPr>
              <w:pStyle w:val="TableContents"/>
              <w:spacing w:before="0" w:after="283"/>
              <w:jc w:val="right"/>
              <w:rPr/>
            </w:pPr>
            <w:r>
              <w:rPr/>
              <w:t> </w:t>
            </w:r>
          </w:p>
        </w:tc>
        <w:tc>
          <w:tcPr>
            <w:tcW w:w="2223" w:type="dxa"/>
            <w:tcBorders/>
            <w:shd w:fill="FFFFFF" w:val="clear"/>
            <w:tcMar>
              <w:bottom w:w="0" w:type="dxa"/>
            </w:tcMar>
            <w:vAlign w:val="center"/>
          </w:tcPr>
          <w:p>
            <w:pPr>
              <w:pStyle w:val="TableContents"/>
              <w:spacing w:before="0" w:after="283"/>
              <w:jc w:val="right"/>
              <w:rPr>
                <w:sz w:val="20"/>
              </w:rPr>
            </w:pPr>
            <w:r>
              <w:rPr>
                <w:sz w:val="20"/>
              </w:rPr>
              <w:t>11,750</w:t>
            </w:r>
          </w:p>
        </w:tc>
        <w:tc>
          <w:tcPr>
            <w:tcW w:w="60" w:type="dxa"/>
            <w:tcBorders/>
            <w:shd w:fill="FFFFFF" w:val="clear"/>
            <w:tcMar>
              <w:bottom w:w="0" w:type="dxa"/>
            </w:tcMar>
            <w:vAlign w:val="center"/>
          </w:tcPr>
          <w:p>
            <w:pPr>
              <w:pStyle w:val="TableContents"/>
              <w:spacing w:before="0" w:after="283"/>
              <w:jc w:val="right"/>
              <w:rPr/>
            </w:pPr>
            <w:r>
              <w:rPr/>
              <w:t> </w:t>
            </w:r>
          </w:p>
        </w:tc>
        <w:tc>
          <w:tcPr>
            <w:tcW w:w="163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157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212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711" w:type="dxa"/>
            <w:tcBorders/>
            <w:shd w:fill="FFFFFF" w:val="clear"/>
            <w:tcMar>
              <w:bottom w:w="0" w:type="dxa"/>
            </w:tcMar>
            <w:vAlign w:val="center"/>
          </w:tcPr>
          <w:p>
            <w:pPr>
              <w:pStyle w:val="TableContents"/>
              <w:spacing w:before="0" w:after="283"/>
              <w:jc w:val="right"/>
              <w:rPr>
                <w:sz w:val="20"/>
              </w:rPr>
            </w:pPr>
            <w:r>
              <w:rPr>
                <w:sz w:val="20"/>
              </w:rPr>
              <w:t>11,750</w:t>
            </w:r>
          </w:p>
        </w:tc>
      </w:tr>
      <w:tr>
        <w:trPr/>
        <w:tc>
          <w:tcPr>
            <w:tcW w:w="1639" w:type="dxa"/>
            <w:tcBorders/>
            <w:shd w:fill="CCEEFF" w:val="clear"/>
            <w:tcMar>
              <w:bottom w:w="0" w:type="dxa"/>
            </w:tcMar>
            <w:vAlign w:val="center"/>
          </w:tcPr>
          <w:p>
            <w:pPr>
              <w:pStyle w:val="TableContents"/>
              <w:spacing w:before="0" w:after="283"/>
              <w:rPr>
                <w:sz w:val="20"/>
              </w:rPr>
            </w:pPr>
            <w:r>
              <w:rPr>
                <w:sz w:val="20"/>
              </w:rPr>
              <w:t>Thomas M. Patton</w:t>
            </w:r>
          </w:p>
        </w:tc>
        <w:tc>
          <w:tcPr>
            <w:tcW w:w="60" w:type="dxa"/>
            <w:tcBorders/>
            <w:shd w:fill="CCEEFF" w:val="clear"/>
            <w:tcMar>
              <w:bottom w:w="0" w:type="dxa"/>
            </w:tcMar>
            <w:vAlign w:val="center"/>
          </w:tcPr>
          <w:p>
            <w:pPr>
              <w:pStyle w:val="TableContents"/>
              <w:spacing w:before="0" w:after="283"/>
              <w:jc w:val="right"/>
              <w:rPr/>
            </w:pPr>
            <w:r>
              <w:rPr/>
              <w:t> </w:t>
            </w:r>
          </w:p>
        </w:tc>
        <w:tc>
          <w:tcPr>
            <w:tcW w:w="2223" w:type="dxa"/>
            <w:tcBorders/>
            <w:shd w:fill="CCEEFF" w:val="clear"/>
            <w:tcMar>
              <w:bottom w:w="0" w:type="dxa"/>
            </w:tcMar>
            <w:vAlign w:val="center"/>
          </w:tcPr>
          <w:p>
            <w:pPr>
              <w:pStyle w:val="TableContents"/>
              <w:spacing w:before="0" w:after="283"/>
              <w:jc w:val="right"/>
              <w:rPr>
                <w:sz w:val="20"/>
              </w:rPr>
            </w:pPr>
            <w:r>
              <w:rPr>
                <w:sz w:val="20"/>
              </w:rPr>
              <w:t>64,000</w:t>
            </w:r>
          </w:p>
        </w:tc>
        <w:tc>
          <w:tcPr>
            <w:tcW w:w="60" w:type="dxa"/>
            <w:tcBorders/>
            <w:shd w:fill="CCEEFF" w:val="clear"/>
            <w:tcMar>
              <w:bottom w:w="0" w:type="dxa"/>
            </w:tcMar>
            <w:vAlign w:val="center"/>
          </w:tcPr>
          <w:p>
            <w:pPr>
              <w:pStyle w:val="TableContents"/>
              <w:spacing w:before="0" w:after="283"/>
              <w:jc w:val="right"/>
              <w:rPr/>
            </w:pPr>
            <w:r>
              <w:rPr/>
              <w:t> </w:t>
            </w:r>
          </w:p>
        </w:tc>
        <w:tc>
          <w:tcPr>
            <w:tcW w:w="1634" w:type="dxa"/>
            <w:tcBorders/>
            <w:shd w:fill="CCEEFF" w:val="clear"/>
            <w:tcMar>
              <w:bottom w:w="0" w:type="dxa"/>
            </w:tcMar>
            <w:vAlign w:val="center"/>
          </w:tcPr>
          <w:p>
            <w:pPr>
              <w:pStyle w:val="TableContents"/>
              <w:spacing w:before="0" w:after="283"/>
              <w:jc w:val="right"/>
              <w:rPr>
                <w:sz w:val="20"/>
              </w:rPr>
            </w:pPr>
            <w:r>
              <w:rPr>
                <w:sz w:val="20"/>
              </w:rPr>
              <w:t>75,000</w:t>
            </w:r>
          </w:p>
        </w:tc>
        <w:tc>
          <w:tcPr>
            <w:tcW w:w="60" w:type="dxa"/>
            <w:tcBorders/>
            <w:shd w:fill="CCEEFF" w:val="clear"/>
            <w:tcMar>
              <w:bottom w:w="0" w:type="dxa"/>
            </w:tcMar>
            <w:vAlign w:val="center"/>
          </w:tcPr>
          <w:p>
            <w:pPr>
              <w:pStyle w:val="TableContents"/>
              <w:spacing w:before="0" w:after="283"/>
              <w:jc w:val="right"/>
              <w:rPr/>
            </w:pPr>
            <w:r>
              <w:rPr/>
              <w:t> </w:t>
            </w:r>
          </w:p>
        </w:tc>
        <w:tc>
          <w:tcPr>
            <w:tcW w:w="157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2124" w:type="dxa"/>
            <w:tcBorders/>
            <w:shd w:fill="CCEEFF" w:val="clear"/>
            <w:tcMar>
              <w:bottom w:w="0" w:type="dxa"/>
            </w:tcMar>
            <w:vAlign w:val="center"/>
          </w:tcPr>
          <w:p>
            <w:pPr>
              <w:pStyle w:val="TableContents"/>
              <w:spacing w:before="0" w:after="283"/>
              <w:jc w:val="right"/>
              <w:rPr>
                <w:sz w:val="20"/>
              </w:rPr>
            </w:pPr>
            <w:r>
              <w:rPr>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711" w:type="dxa"/>
            <w:tcBorders/>
            <w:shd w:fill="CCEEFF" w:val="clear"/>
            <w:tcMar>
              <w:bottom w:w="0" w:type="dxa"/>
            </w:tcMar>
            <w:vAlign w:val="center"/>
          </w:tcPr>
          <w:p>
            <w:pPr>
              <w:pStyle w:val="TableContents"/>
              <w:spacing w:before="0" w:after="283"/>
              <w:jc w:val="right"/>
              <w:rPr>
                <w:sz w:val="20"/>
              </w:rPr>
            </w:pPr>
            <w:r>
              <w:rPr>
                <w:sz w:val="20"/>
              </w:rPr>
              <w:t>139,000</w:t>
            </w:r>
          </w:p>
        </w:tc>
      </w:tr>
      <w:tr>
        <w:trPr/>
        <w:tc>
          <w:tcPr>
            <w:tcW w:w="1639" w:type="dxa"/>
            <w:tcBorders/>
            <w:shd w:fill="FFFFFF" w:val="clear"/>
            <w:tcMar>
              <w:bottom w:w="0" w:type="dxa"/>
            </w:tcMar>
            <w:vAlign w:val="center"/>
          </w:tcPr>
          <w:p>
            <w:pPr>
              <w:pStyle w:val="TableContents"/>
              <w:spacing w:before="0" w:after="283"/>
              <w:rPr>
                <w:sz w:val="20"/>
              </w:rPr>
            </w:pPr>
            <w:r>
              <w:rPr>
                <w:sz w:val="20"/>
              </w:rPr>
              <w:t>Patricia Wilber</w:t>
            </w:r>
          </w:p>
        </w:tc>
        <w:tc>
          <w:tcPr>
            <w:tcW w:w="60" w:type="dxa"/>
            <w:tcBorders/>
            <w:shd w:fill="FFFFFF" w:val="clear"/>
            <w:tcMar>
              <w:bottom w:w="0" w:type="dxa"/>
            </w:tcMar>
            <w:vAlign w:val="center"/>
          </w:tcPr>
          <w:p>
            <w:pPr>
              <w:pStyle w:val="TableContents"/>
              <w:spacing w:before="0" w:after="283"/>
              <w:jc w:val="right"/>
              <w:rPr/>
            </w:pPr>
            <w:r>
              <w:rPr/>
              <w:t> </w:t>
            </w:r>
          </w:p>
        </w:tc>
        <w:tc>
          <w:tcPr>
            <w:tcW w:w="2223" w:type="dxa"/>
            <w:tcBorders/>
            <w:shd w:fill="FFFFFF" w:val="clear"/>
            <w:tcMar>
              <w:bottom w:w="0" w:type="dxa"/>
            </w:tcMar>
            <w:vAlign w:val="center"/>
          </w:tcPr>
          <w:p>
            <w:pPr>
              <w:pStyle w:val="TableContents"/>
              <w:spacing w:before="0" w:after="283"/>
              <w:jc w:val="right"/>
              <w:rPr>
                <w:sz w:val="20"/>
              </w:rPr>
            </w:pPr>
            <w:r>
              <w:rPr>
                <w:sz w:val="20"/>
              </w:rPr>
              <w:t>37,208</w:t>
            </w:r>
          </w:p>
        </w:tc>
        <w:tc>
          <w:tcPr>
            <w:tcW w:w="60" w:type="dxa"/>
            <w:tcBorders/>
            <w:shd w:fill="FFFFFF" w:val="clear"/>
            <w:tcMar>
              <w:bottom w:w="0" w:type="dxa"/>
            </w:tcMar>
            <w:vAlign w:val="center"/>
          </w:tcPr>
          <w:p>
            <w:pPr>
              <w:pStyle w:val="TableContents"/>
              <w:spacing w:before="0" w:after="283"/>
              <w:jc w:val="right"/>
              <w:rPr/>
            </w:pPr>
            <w:r>
              <w:rPr/>
              <w:t> </w:t>
            </w:r>
          </w:p>
        </w:tc>
        <w:tc>
          <w:tcPr>
            <w:tcW w:w="1634" w:type="dxa"/>
            <w:tcBorders/>
            <w:shd w:fill="FFFFFF" w:val="clear"/>
            <w:tcMar>
              <w:bottom w:w="0" w:type="dxa"/>
            </w:tcMar>
            <w:vAlign w:val="center"/>
          </w:tcPr>
          <w:p>
            <w:pPr>
              <w:pStyle w:val="TableContents"/>
              <w:spacing w:before="0" w:after="283"/>
              <w:jc w:val="right"/>
              <w:rPr>
                <w:sz w:val="20"/>
              </w:rPr>
            </w:pPr>
            <w:r>
              <w:rPr>
                <w:sz w:val="20"/>
              </w:rPr>
              <w:t>75,000</w:t>
            </w:r>
          </w:p>
        </w:tc>
        <w:tc>
          <w:tcPr>
            <w:tcW w:w="60" w:type="dxa"/>
            <w:tcBorders/>
            <w:shd w:fill="FFFFFF" w:val="clear"/>
            <w:tcMar>
              <w:bottom w:w="0" w:type="dxa"/>
            </w:tcMar>
            <w:vAlign w:val="center"/>
          </w:tcPr>
          <w:p>
            <w:pPr>
              <w:pStyle w:val="TableContents"/>
              <w:spacing w:before="0" w:after="283"/>
              <w:jc w:val="right"/>
              <w:rPr/>
            </w:pPr>
            <w:r>
              <w:rPr/>
              <w:t> </w:t>
            </w:r>
          </w:p>
        </w:tc>
        <w:tc>
          <w:tcPr>
            <w:tcW w:w="157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2124" w:type="dxa"/>
            <w:tcBorders/>
            <w:shd w:fill="FFFFFF" w:val="clear"/>
            <w:tcMar>
              <w:bottom w:w="0" w:type="dxa"/>
            </w:tcMar>
            <w:vAlign w:val="center"/>
          </w:tcPr>
          <w:p>
            <w:pPr>
              <w:pStyle w:val="TableContents"/>
              <w:spacing w:before="0" w:after="283"/>
              <w:jc w:val="right"/>
              <w:rPr>
                <w:sz w:val="20"/>
              </w:rPr>
            </w:pPr>
            <w:r>
              <w:rPr>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711" w:type="dxa"/>
            <w:tcBorders/>
            <w:shd w:fill="FFFFFF" w:val="clear"/>
            <w:tcMar>
              <w:bottom w:w="0" w:type="dxa"/>
            </w:tcMar>
            <w:vAlign w:val="center"/>
          </w:tcPr>
          <w:p>
            <w:pPr>
              <w:pStyle w:val="TableContents"/>
              <w:spacing w:before="0" w:after="283"/>
              <w:jc w:val="right"/>
              <w:rPr>
                <w:sz w:val="20"/>
              </w:rPr>
            </w:pPr>
            <w:r>
              <w:rPr>
                <w:sz w:val="20"/>
              </w:rPr>
              <w:t>112,208</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Mr. Atieh resigned from the board effective June 8, 2022. Dr. Ondra resigned from the Board effective March 4,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(1)</w:t>
            </w:r>
          </w:p>
        </w:tc>
        <w:tc>
          <w:tcPr>
            <w:tcW w:w="9937" w:type="dxa"/>
            <w:tcBorders/>
            <w:shd w:fill="auto" w:val="clear"/>
            <w:vAlign w:val="center"/>
          </w:tcPr>
          <w:p>
            <w:pPr>
              <w:pStyle w:val="TableContents"/>
              <w:spacing w:before="0" w:after="283"/>
              <w:rPr/>
            </w:pPr>
            <w:r>
              <w:rPr/>
              <w:t>Represents the grant date fair value of annual equity awards, granted on December 2, 2022, of 13,732 shares to Joseph P. Errico, Thomas J. Errico, M.D., John P. Gandolfo, Trevor J. Moody and Thomas M. Patton. The awards were granted as either restricted stock units (“RSUs”) or deferred stock units (“DSUs”). Amounts in this column do not reflect the actual economic value that may be realized by the applicable non-employee director.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9"/>
        <w:gridCol w:w="9938"/>
      </w:tblGrid>
      <w:tr>
        <w:trPr/>
        <w:tc>
          <w:tcPr>
            <w:tcW w:w="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jc w:val="left"/>
              <w:rPr/>
            </w:pPr>
            <w:r>
              <w:rPr/>
              <w:t>(2)</w:t>
            </w:r>
          </w:p>
        </w:tc>
        <w:tc>
          <w:tcPr>
            <w:tcW w:w="9938" w:type="dxa"/>
            <w:tcBorders/>
            <w:shd w:fill="auto" w:val="clear"/>
            <w:vAlign w:val="center"/>
          </w:tcPr>
          <w:p>
            <w:pPr>
              <w:pStyle w:val="TableContents"/>
              <w:spacing w:before="0" w:after="283"/>
              <w:rPr/>
            </w:pPr>
            <w:r>
              <w:rPr/>
              <w:t>Annual equity awards vest in 12 equal monthly installments from the grant date, provided that such grants shall become fully vested on (i) the one-year anniversary of the grant date and (ii) the close of business one business day prior to the Company’s next annual stockholder meeting following the grant date, whichever is earlier, subject to the grantee’s continued service to the Company on the applicable vesting date and earlier vesting upon a change of control of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4"/>
        <w:gridCol w:w="9943"/>
      </w:tblGrid>
      <w:tr>
        <w:trPr/>
        <w:tc>
          <w:tcPr>
            <w:tcW w:w="3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jc w:val="left"/>
              <w:rPr/>
            </w:pPr>
            <w:r>
              <w:rPr/>
              <w:t>(3)</w:t>
            </w:r>
          </w:p>
        </w:tc>
        <w:tc>
          <w:tcPr>
            <w:tcW w:w="9943" w:type="dxa"/>
            <w:tcBorders/>
            <w:shd w:fill="auto" w:val="clear"/>
            <w:vAlign w:val="center"/>
          </w:tcPr>
          <w:p>
            <w:pPr>
              <w:pStyle w:val="TableContents"/>
              <w:spacing w:before="0" w:after="283"/>
              <w:rPr/>
            </w:pPr>
            <w:r>
              <w:rPr/>
              <w:t>Represents grant date fair value of annual equity awards granted to Peter Cuneo on December 2, 2022, of 10,752 options with an exercise price of $5.46 per share, 4,504 options with an exercise price of $25.35, and 10,000 options with an exercise price of $11.55. The grant date fair value was computed in accordance with FASB ASC 718. See Note 12 to the consolidated financial statements in the Annual Report on Form 10-K for the fiscal year ended December 31, 2022, filed by the Company on March 9, 2023, for a description of the assumptions used in valuing these options. Amounts in this column do not reflect the actual economic value that may be realized by the applicable nonemployee director.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17 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6"/>
        <w:gridCol w:w="9931"/>
      </w:tblGrid>
      <w:tr>
        <w:trPr/>
        <w:tc>
          <w:tcPr>
            <w:tcW w:w="3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pPr>
            <w:r>
              <w:rPr/>
              <w:t>(4)</w:t>
            </w:r>
          </w:p>
        </w:tc>
        <w:tc>
          <w:tcPr>
            <w:tcW w:w="9931" w:type="dxa"/>
            <w:tcBorders/>
            <w:shd w:fill="auto" w:val="clear"/>
            <w:vAlign w:val="center"/>
          </w:tcPr>
          <w:p>
            <w:pPr>
              <w:pStyle w:val="TableContents"/>
              <w:spacing w:before="0" w:after="283"/>
              <w:rPr/>
            </w:pPr>
            <w:r>
              <w:rPr/>
              <w:t>Represents the grant date fair value of inaugural director equity awards, granted on March 16, 2022, of 10,000 shares to Julie Goldstein and Patricia Wilber. The awards were granted as either RSUs or DSUs. Amounts in this column do not reflect the actual economic value that may be realized by the applicable non-employee director.</w:t>
            </w:r>
          </w:p>
        </w:tc>
      </w:tr>
    </w:tbl>
    <w:p>
      <w:pPr>
        <w:pStyle w:val="TextBody"/>
        <w:spacing w:before="0" w:after="0"/>
        <w:ind w:left="0" w:right="0" w:hanging="0"/>
        <w:rPr>
          <w:caps w:val="false"/>
          <w:smallCaps w:val="false"/>
        </w:rPr>
      </w:pPr>
      <w:r>
        <w:rPr>
          <w:caps w:val="false"/>
          <w:smallCaps w:val="false"/>
        </w:rPr>
        <w:t> </w:t>
      </w:r>
    </w:p>
    <w:tbl>
      <w:tblPr>
        <w:tblW w:w="7098" w:type="dxa"/>
        <w:jc w:val="left"/>
        <w:tblInd w:w="0" w:type="dxa"/>
        <w:tblCellMar>
          <w:top w:w="0" w:type="dxa"/>
          <w:left w:w="0" w:type="dxa"/>
          <w:bottom w:w="0" w:type="dxa"/>
          <w:right w:w="0" w:type="dxa"/>
        </w:tblCellMar>
      </w:tblPr>
      <w:tblGrid>
        <w:gridCol w:w="38"/>
        <w:gridCol w:w="290"/>
        <w:gridCol w:w="677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(5)</w:t>
            </w:r>
          </w:p>
        </w:tc>
        <w:tc>
          <w:tcPr>
            <w:tcW w:w="6770" w:type="dxa"/>
            <w:tcBorders/>
            <w:shd w:fill="auto" w:val="clear"/>
            <w:vAlign w:val="center"/>
          </w:tcPr>
          <w:p>
            <w:pPr>
              <w:pStyle w:val="TableContents"/>
              <w:spacing w:before="0" w:after="283"/>
              <w:rPr/>
            </w:pPr>
            <w:r>
              <w:rPr/>
              <w:t>Represents consulting fees paid for the year ended December 31,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Director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Director Compensation Policy is intended to provide a total compensation package of cash and equity incentives that enables the Company to attract and retain qualified and experienced individuals to serve as directors and to align its directors’ interests with those of its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pays each of its non-employee directors a cash retainer for service on the Board. The chairman of the Board and of each committee receives an additional retainer for such service. These retainers are payable in quarterly installments on the 15th day of the second month of each calendar quarter, provided that no payment will be made to any director who is no longer serving as a non-employee member of the Board on the relevant payment date. Effective January 1, 2023, the retainers paid to non-employee directors for service on the Board and for service on each committee of the Board on which the director is a member are as follows:</w:t>
      </w:r>
    </w:p>
    <w:p>
      <w:pPr>
        <w:pStyle w:val="TextBody"/>
        <w:spacing w:before="0" w:after="0"/>
        <w:ind w:left="0" w:right="0" w:hanging="0"/>
        <w:jc w:val="both"/>
        <w:rPr>
          <w:caps w:val="false"/>
          <w:smallCaps w:val="false"/>
        </w:rPr>
      </w:pPr>
      <w:r>
        <w:rPr>
          <w:caps w:val="false"/>
          <w:smallCaps w:val="false"/>
        </w:rPr>
        <w:t> </w:t>
      </w:r>
    </w:p>
    <w:tbl>
      <w:tblPr>
        <w:tblW w:w="4965" w:type="dxa"/>
        <w:jc w:val="left"/>
        <w:tblInd w:w="0" w:type="dxa"/>
        <w:tblCellMar>
          <w:top w:w="0" w:type="dxa"/>
          <w:left w:w="0" w:type="dxa"/>
          <w:bottom w:w="0" w:type="dxa"/>
          <w:right w:w="0" w:type="dxa"/>
        </w:tblCellMar>
      </w:tblPr>
      <w:tblGrid>
        <w:gridCol w:w="4175"/>
        <w:gridCol w:w="60"/>
        <w:gridCol w:w="125"/>
        <w:gridCol w:w="605"/>
      </w:tblGrid>
      <w:tr>
        <w:trPr/>
        <w:tc>
          <w:tcPr>
            <w:tcW w:w="4175" w:type="dxa"/>
            <w:tcBorders/>
            <w:shd w:fill="auto" w:val="clear"/>
            <w:vAlign w:val="center"/>
          </w:tcPr>
          <w:p>
            <w:pPr>
              <w:pStyle w:val="TableContents"/>
              <w:spacing w:before="0" w:after="283"/>
              <w:rPr>
                <w:i/>
                <w:sz w:val="20"/>
              </w:rPr>
            </w:pPr>
            <w:r>
              <w:rPr>
                <w:i/>
                <w:sz w:val="20"/>
              </w:rPr>
              <w:t>Annual Board Service Retainer</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 </w:t>
            </w:r>
          </w:p>
        </w:tc>
      </w:tr>
      <w:tr>
        <w:trPr/>
        <w:tc>
          <w:tcPr>
            <w:tcW w:w="4175" w:type="dxa"/>
            <w:tcBorders/>
            <w:shd w:fill="CCEEFF" w:val="clear"/>
            <w:vAlign w:val="center"/>
          </w:tcPr>
          <w:p>
            <w:pPr>
              <w:pStyle w:val="TableContents"/>
              <w:spacing w:before="0" w:after="283"/>
              <w:rPr>
                <w:sz w:val="20"/>
              </w:rPr>
            </w:pPr>
            <w:r>
              <w:rPr>
                <w:sz w:val="20"/>
              </w:rPr>
              <w:t>All non-employee directors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sz w:val="20"/>
              </w:rPr>
            </w:pPr>
            <w:r>
              <w:rPr>
                <w:sz w:val="20"/>
              </w:rPr>
              <w:t>$</w:t>
            </w:r>
          </w:p>
        </w:tc>
        <w:tc>
          <w:tcPr>
            <w:tcW w:w="605" w:type="dxa"/>
            <w:tcBorders/>
            <w:shd w:fill="CCEEFF" w:val="clear"/>
            <w:vAlign w:val="center"/>
          </w:tcPr>
          <w:p>
            <w:pPr>
              <w:pStyle w:val="TableContents"/>
              <w:spacing w:before="0" w:after="283"/>
              <w:jc w:val="right"/>
              <w:rPr>
                <w:sz w:val="20"/>
              </w:rPr>
            </w:pPr>
            <w:r>
              <w:rPr>
                <w:sz w:val="20"/>
              </w:rPr>
              <w:t>47,000</w:t>
            </w:r>
          </w:p>
        </w:tc>
      </w:tr>
      <w:tr>
        <w:trPr/>
        <w:tc>
          <w:tcPr>
            <w:tcW w:w="4175" w:type="dxa"/>
            <w:tcBorders/>
            <w:shd w:fill="FFFFFF" w:val="clear"/>
            <w:vAlign w:val="center"/>
          </w:tcPr>
          <w:p>
            <w:pPr>
              <w:pStyle w:val="TableContents"/>
              <w:spacing w:before="0" w:after="283"/>
              <w:rPr>
                <w:sz w:val="20"/>
              </w:rPr>
            </w:pPr>
            <w:r>
              <w:rPr>
                <w:sz w:val="20"/>
              </w:rPr>
              <w:t>Non-executive Chairman of the Board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sz w:val="20"/>
              </w:rPr>
            </w:pPr>
            <w:r>
              <w:rPr>
                <w:sz w:val="20"/>
              </w:rPr>
              <w:t>$</w:t>
            </w:r>
          </w:p>
        </w:tc>
        <w:tc>
          <w:tcPr>
            <w:tcW w:w="605" w:type="dxa"/>
            <w:tcBorders/>
            <w:shd w:fill="FFFFFF" w:val="clear"/>
            <w:vAlign w:val="center"/>
          </w:tcPr>
          <w:p>
            <w:pPr>
              <w:pStyle w:val="TableContents"/>
              <w:spacing w:before="0" w:after="283"/>
              <w:jc w:val="right"/>
              <w:rPr>
                <w:sz w:val="20"/>
              </w:rPr>
            </w:pPr>
            <w:r>
              <w:rPr>
                <w:sz w:val="20"/>
              </w:rPr>
              <w:t>67,000</w:t>
            </w:r>
          </w:p>
        </w:tc>
      </w:tr>
      <w:tr>
        <w:trPr/>
        <w:tc>
          <w:tcPr>
            <w:tcW w:w="4175" w:type="dxa"/>
            <w:tcBorders/>
            <w:shd w:fill="CCEEFF" w:val="clear"/>
            <w:vAlign w:val="center"/>
          </w:tcPr>
          <w:p>
            <w:pPr>
              <w:pStyle w:val="TableContents"/>
              <w:spacing w:before="0" w:after="283"/>
              <w:rPr>
                <w:i/>
                <w:sz w:val="20"/>
              </w:rPr>
            </w:pPr>
            <w:r>
              <w:rPr>
                <w:i/>
                <w:sz w:val="20"/>
              </w:rPr>
              <w:t>Annual Committee Chair Service Retainer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jc w:val="right"/>
              <w:rPr/>
            </w:pPr>
            <w:r>
              <w:rPr/>
              <w:t> </w:t>
            </w:r>
          </w:p>
        </w:tc>
      </w:tr>
      <w:tr>
        <w:trPr/>
        <w:tc>
          <w:tcPr>
            <w:tcW w:w="4175" w:type="dxa"/>
            <w:tcBorders/>
            <w:shd w:fill="FFFFFF" w:val="clear"/>
            <w:vAlign w:val="center"/>
          </w:tcPr>
          <w:p>
            <w:pPr>
              <w:pStyle w:val="TableContents"/>
              <w:spacing w:before="0" w:after="283"/>
              <w:rPr>
                <w:sz w:val="20"/>
              </w:rPr>
            </w:pPr>
            <w:r>
              <w:rPr>
                <w:sz w:val="20"/>
              </w:rPr>
              <w:t>Chair of the Audit Committee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sz w:val="20"/>
              </w:rPr>
            </w:pPr>
            <w:r>
              <w:rPr>
                <w:sz w:val="20"/>
              </w:rPr>
              <w:t>$</w:t>
            </w:r>
          </w:p>
        </w:tc>
        <w:tc>
          <w:tcPr>
            <w:tcW w:w="605" w:type="dxa"/>
            <w:tcBorders/>
            <w:shd w:fill="FFFFFF" w:val="clear"/>
            <w:vAlign w:val="center"/>
          </w:tcPr>
          <w:p>
            <w:pPr>
              <w:pStyle w:val="TableContents"/>
              <w:spacing w:before="0" w:after="283"/>
              <w:jc w:val="right"/>
              <w:rPr>
                <w:sz w:val="20"/>
              </w:rPr>
            </w:pPr>
            <w:r>
              <w:rPr>
                <w:sz w:val="20"/>
              </w:rPr>
              <w:t>17,000</w:t>
            </w:r>
          </w:p>
        </w:tc>
      </w:tr>
      <w:tr>
        <w:trPr/>
        <w:tc>
          <w:tcPr>
            <w:tcW w:w="4175" w:type="dxa"/>
            <w:tcBorders/>
            <w:shd w:fill="CCEEFF" w:val="clear"/>
            <w:vAlign w:val="center"/>
          </w:tcPr>
          <w:p>
            <w:pPr>
              <w:pStyle w:val="TableContents"/>
              <w:spacing w:before="0" w:after="283"/>
              <w:rPr>
                <w:sz w:val="20"/>
              </w:rPr>
            </w:pPr>
            <w:r>
              <w:rPr>
                <w:sz w:val="20"/>
              </w:rPr>
              <w:t>Chair of the Compensation Committee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sz w:val="20"/>
              </w:rPr>
            </w:pPr>
            <w:r>
              <w:rPr>
                <w:sz w:val="20"/>
              </w:rPr>
              <w:t>$</w:t>
            </w:r>
          </w:p>
        </w:tc>
        <w:tc>
          <w:tcPr>
            <w:tcW w:w="605" w:type="dxa"/>
            <w:tcBorders/>
            <w:shd w:fill="CCEEFF" w:val="clear"/>
            <w:vAlign w:val="center"/>
          </w:tcPr>
          <w:p>
            <w:pPr>
              <w:pStyle w:val="TableContents"/>
              <w:spacing w:before="0" w:after="283"/>
              <w:jc w:val="right"/>
              <w:rPr>
                <w:sz w:val="20"/>
              </w:rPr>
            </w:pPr>
            <w:r>
              <w:rPr>
                <w:sz w:val="20"/>
              </w:rPr>
              <w:t>11,000</w:t>
            </w:r>
          </w:p>
        </w:tc>
      </w:tr>
      <w:tr>
        <w:trPr/>
        <w:tc>
          <w:tcPr>
            <w:tcW w:w="4175" w:type="dxa"/>
            <w:tcBorders/>
            <w:shd w:fill="FFFFFF" w:val="clear"/>
            <w:vAlign w:val="center"/>
          </w:tcPr>
          <w:p>
            <w:pPr>
              <w:pStyle w:val="TableContents"/>
              <w:spacing w:before="0" w:after="283"/>
              <w:rPr>
                <w:sz w:val="20"/>
              </w:rPr>
            </w:pPr>
            <w:r>
              <w:rPr>
                <w:sz w:val="20"/>
              </w:rPr>
              <w:t>Chair of the Nominating &amp; Governance Committee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sz w:val="20"/>
              </w:rPr>
            </w:pPr>
            <w:r>
              <w:rPr>
                <w:sz w:val="20"/>
              </w:rPr>
              <w:t>$</w:t>
            </w:r>
          </w:p>
        </w:tc>
        <w:tc>
          <w:tcPr>
            <w:tcW w:w="605" w:type="dxa"/>
            <w:tcBorders/>
            <w:shd w:fill="FFFFFF" w:val="clear"/>
            <w:vAlign w:val="center"/>
          </w:tcPr>
          <w:p>
            <w:pPr>
              <w:pStyle w:val="TableContents"/>
              <w:spacing w:before="0" w:after="283"/>
              <w:jc w:val="right"/>
              <w:rPr>
                <w:sz w:val="20"/>
              </w:rPr>
            </w:pPr>
            <w:r>
              <w:rPr>
                <w:sz w:val="20"/>
              </w:rPr>
              <w:t>8,000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are paid quarterly. In addition, we reimburse our directors for their reasonable expenses incurred in attending meetings of the Board and its committees. Each member of the Board is entitled to be reimbursed for reasonable travel and other expenses incurred in connection with attending meetings of the Board and any committee of the Board on which he or she serves.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Equity Incentive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compensation set forth below is granted under the 2018 Plan. All stock options granted under this plan and the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Equity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Director Compensation Policy each new non-employee director receives an inaugural equity grant valued at $150,000, subject to a cap of 10,000 shares underlying the applicable award of stock options, restricted stock units or deferred stock units. Each of Ms. Goldstein and Ms. Wilber received an initial equity award under the amended Director Compensation Policy in March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18 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38" w:name="a19"/>
      <w:bookmarkEnd w:id="38"/>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Equity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on the date of the annual meeting, the Board approved a one-time cap on the number of shares issuable pursuant to such awards valued at $75,000 to each of the six continuing non-employee directors, as follows: (i) 13,732 RSUs or DSUs per director, and (ii) 21,502 stock options for the Chairman of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annual awards vest in a single installment on the next annual meeting of stockholders, subject to earlier vesting in the case of a change of control (as defined in the 2018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Goldstein and Ms. Wilber received inaugural grants in March 2022. The inaugural grants vest in equal monthly increments over a three-year period from the grant date (subject to earlier vesting in the case of a change of control).</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824"/>
        <w:gridCol w:w="9343"/>
      </w:tblGrid>
      <w:tr>
        <w:trPr/>
        <w:tc>
          <w:tcPr>
            <w:tcW w:w="3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pPr>
            <w:r>
              <w:rPr/>
              <w:t>ITEM 12.</w:t>
            </w:r>
          </w:p>
        </w:tc>
        <w:tc>
          <w:tcPr>
            <w:tcW w:w="9343" w:type="dxa"/>
            <w:tcBorders/>
            <w:shd w:fill="auto" w:val="clear"/>
            <w:vAlign w:val="center"/>
          </w:tcPr>
          <w:p>
            <w:pPr>
              <w:pStyle w:val="TableContents"/>
              <w:spacing w:before="0" w:after="283"/>
              <w:jc w:val="both"/>
              <w:rPr/>
            </w:pPr>
            <w:r>
              <w:rPr>
                <w:u w:val="single"/>
              </w:rPr>
              <w:t>SECURITY OWNERSHIP OF CERTAIN BENEFICIAL OWNERS AND MANAGEMENT AND RELATED STOCKHOLDER MATTERS</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Company’s equity compensation plans as of December 31, 2022.</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02"/>
        <w:gridCol w:w="60"/>
        <w:gridCol w:w="2330"/>
        <w:gridCol w:w="60"/>
        <w:gridCol w:w="280"/>
        <w:gridCol w:w="2285"/>
        <w:gridCol w:w="60"/>
        <w:gridCol w:w="3228"/>
      </w:tblGrid>
      <w:tr>
        <w:trPr/>
        <w:tc>
          <w:tcPr>
            <w:tcW w:w="1902" w:type="dxa"/>
            <w:tcBorders>
              <w:bottom w:val="single" w:sz="8" w:space="0" w:color="000000"/>
            </w:tcBorders>
            <w:shd w:fill="auto" w:val="clear"/>
            <w:vAlign w:val="center"/>
          </w:tcPr>
          <w:p>
            <w:pPr>
              <w:pStyle w:val="TableContents"/>
              <w:spacing w:before="0" w:after="283"/>
              <w:jc w:val="center"/>
              <w:rPr>
                <w:b/>
                <w:sz w:val="20"/>
              </w:rPr>
            </w:pPr>
            <w:r>
              <w:rPr>
                <w:b/>
                <w:sz w:val="20"/>
              </w:rPr>
              <w:t>Plan Category</w:t>
            </w:r>
          </w:p>
        </w:tc>
        <w:tc>
          <w:tcPr>
            <w:tcW w:w="60" w:type="dxa"/>
            <w:tcBorders/>
            <w:shd w:fill="auto" w:val="clear"/>
            <w:tcMar>
              <w:bottom w:w="0" w:type="dxa"/>
            </w:tcMar>
            <w:vAlign w:val="center"/>
          </w:tcPr>
          <w:p>
            <w:pPr>
              <w:pStyle w:val="TableContents"/>
              <w:spacing w:before="0" w:after="283"/>
              <w:jc w:val="center"/>
              <w:rPr/>
            </w:pPr>
            <w:r>
              <w:rPr/>
              <w:t> </w:t>
            </w:r>
          </w:p>
        </w:tc>
        <w:tc>
          <w:tcPr>
            <w:tcW w:w="2330" w:type="dxa"/>
            <w:tcBorders>
              <w:bottom w:val="single" w:sz="8" w:space="0" w:color="000000"/>
            </w:tcBorders>
            <w:shd w:fill="auto" w:val="clear"/>
            <w:vAlign w:val="center"/>
          </w:tcPr>
          <w:p>
            <w:pPr>
              <w:pStyle w:val="TableContents"/>
              <w:spacing w:before="0" w:after="283"/>
              <w:jc w:val="center"/>
              <w:rPr>
                <w:b/>
                <w:sz w:val="20"/>
              </w:rPr>
            </w:pPr>
            <w:r>
              <w:rPr>
                <w:b/>
                <w:sz w:val="20"/>
              </w:rPr>
              <w:t>Number of securities to be issued upon exercise of outstanding options, warrants and rights (a)</w:t>
            </w:r>
          </w:p>
        </w:tc>
        <w:tc>
          <w:tcPr>
            <w:tcW w:w="60" w:type="dxa"/>
            <w:tcBorders/>
            <w:shd w:fill="auto" w:val="clear"/>
            <w:tcMar>
              <w:bottom w:w="0" w:type="dxa"/>
            </w:tcMar>
            <w:vAlign w:val="center"/>
          </w:tcPr>
          <w:p>
            <w:pPr>
              <w:pStyle w:val="TableContents"/>
              <w:spacing w:before="0" w:after="283"/>
              <w:jc w:val="center"/>
              <w:rPr/>
            </w:pPr>
            <w:r>
              <w:rPr/>
              <w:t> </w:t>
            </w:r>
          </w:p>
        </w:tc>
        <w:tc>
          <w:tcPr>
            <w:tcW w:w="2565" w:type="dxa"/>
            <w:gridSpan w:val="2"/>
            <w:tcBorders>
              <w:bottom w:val="single" w:sz="8" w:space="0" w:color="000000"/>
            </w:tcBorders>
            <w:shd w:fill="auto" w:val="clear"/>
            <w:vAlign w:val="center"/>
          </w:tcPr>
          <w:p>
            <w:pPr>
              <w:pStyle w:val="TableContents"/>
              <w:spacing w:before="0" w:after="283"/>
              <w:jc w:val="center"/>
              <w:rPr>
                <w:b/>
                <w:sz w:val="20"/>
              </w:rPr>
            </w:pPr>
            <w:r>
              <w:rPr>
                <w:b/>
                <w:sz w:val="20"/>
              </w:rPr>
              <w:t>Weighted-average exercise price of outstanding options, warrants and rights (b)</w:t>
            </w:r>
          </w:p>
        </w:tc>
        <w:tc>
          <w:tcPr>
            <w:tcW w:w="60" w:type="dxa"/>
            <w:tcBorders/>
            <w:shd w:fill="auto" w:val="clear"/>
            <w:tcMar>
              <w:bottom w:w="0" w:type="dxa"/>
            </w:tcMar>
            <w:vAlign w:val="center"/>
          </w:tcPr>
          <w:p>
            <w:pPr>
              <w:pStyle w:val="TableContents"/>
              <w:spacing w:before="0" w:after="283"/>
              <w:jc w:val="center"/>
              <w:rPr/>
            </w:pPr>
            <w:r>
              <w:rPr/>
              <w:t> </w:t>
            </w:r>
          </w:p>
        </w:tc>
        <w:tc>
          <w:tcPr>
            <w:tcW w:w="3228" w:type="dxa"/>
            <w:tcBorders>
              <w:bottom w:val="single" w:sz="8" w:space="0" w:color="000000"/>
            </w:tcBorders>
            <w:shd w:fill="auto" w:val="clear"/>
            <w:vAlign w:val="center"/>
          </w:tcPr>
          <w:p>
            <w:pPr>
              <w:pStyle w:val="TableContents"/>
              <w:spacing w:before="0" w:after="283"/>
              <w:jc w:val="center"/>
              <w:rPr>
                <w:b/>
                <w:sz w:val="20"/>
              </w:rPr>
            </w:pPr>
            <w:r>
              <w:rPr>
                <w:b/>
                <w:sz w:val="20"/>
              </w:rPr>
              <w:t>Number of securities remaining available for future issuance under equity compensation plans (excluding securities reflected in column (a))</w:t>
            </w:r>
          </w:p>
        </w:tc>
      </w:tr>
      <w:tr>
        <w:trPr/>
        <w:tc>
          <w:tcPr>
            <w:tcW w:w="1902" w:type="dxa"/>
            <w:tcBorders/>
            <w:shd w:fill="CCEEFF" w:val="clear"/>
            <w:tcMar>
              <w:bottom w:w="0" w:type="dxa"/>
            </w:tcMar>
            <w:vAlign w:val="center"/>
          </w:tcPr>
          <w:p>
            <w:pPr>
              <w:pStyle w:val="TableContents"/>
              <w:spacing w:before="0" w:after="283"/>
              <w:rPr>
                <w:sz w:val="20"/>
              </w:rPr>
            </w:pPr>
            <w:r>
              <w:rPr>
                <w:sz w:val="20"/>
              </w:rPr>
              <w:t>Equity compensation plans approved by security holders</w:t>
            </w:r>
          </w:p>
        </w:tc>
        <w:tc>
          <w:tcPr>
            <w:tcW w:w="60" w:type="dxa"/>
            <w:tcBorders/>
            <w:shd w:fill="CCEEFF" w:val="clear"/>
            <w:tcMar>
              <w:bottom w:w="0" w:type="dxa"/>
            </w:tcMar>
            <w:vAlign w:val="center"/>
          </w:tcPr>
          <w:p>
            <w:pPr>
              <w:pStyle w:val="TableContents"/>
              <w:spacing w:before="0" w:after="283"/>
              <w:jc w:val="right"/>
              <w:rPr/>
            </w:pPr>
            <w:r>
              <w:rPr/>
              <w:t> </w:t>
            </w:r>
          </w:p>
        </w:tc>
        <w:tc>
          <w:tcPr>
            <w:tcW w:w="2330" w:type="dxa"/>
            <w:tcBorders/>
            <w:shd w:fill="CCEEFF" w:val="clear"/>
            <w:tcMar>
              <w:bottom w:w="0" w:type="dxa"/>
            </w:tcMar>
            <w:vAlign w:val="center"/>
          </w:tcPr>
          <w:p>
            <w:pPr>
              <w:pStyle w:val="TableContents"/>
              <w:spacing w:before="0" w:after="283"/>
              <w:jc w:val="right"/>
              <w:rPr>
                <w:sz w:val="20"/>
              </w:rPr>
            </w:pPr>
            <w:r>
              <w:rPr>
                <w:sz w:val="20"/>
              </w:rPr>
              <w:t>567,000</w:t>
            </w:r>
          </w:p>
        </w:tc>
        <w:tc>
          <w:tcPr>
            <w:tcW w:w="60" w:type="dxa"/>
            <w:tcBorders/>
            <w:shd w:fill="CCEEFF" w:val="clear"/>
            <w:tcMar>
              <w:bottom w:w="0" w:type="dxa"/>
            </w:tcMar>
            <w:vAlign w:val="center"/>
          </w:tcPr>
          <w:p>
            <w:pPr>
              <w:pStyle w:val="TableContents"/>
              <w:spacing w:before="0" w:after="283"/>
              <w:jc w:val="right"/>
              <w:rPr/>
            </w:pPr>
            <w:r>
              <w:rPr/>
              <w:t> </w:t>
            </w:r>
          </w:p>
        </w:tc>
        <w:tc>
          <w:tcPr>
            <w:tcW w:w="280" w:type="dxa"/>
            <w:tcBorders/>
            <w:shd w:fill="CCEEFF" w:val="clear"/>
            <w:tcMar>
              <w:bottom w:w="0" w:type="dxa"/>
            </w:tcMar>
            <w:vAlign w:val="center"/>
          </w:tcPr>
          <w:p>
            <w:pPr>
              <w:pStyle w:val="TableContents"/>
              <w:spacing w:before="0" w:after="283"/>
              <w:rPr>
                <w:sz w:val="4"/>
                <w:szCs w:val="4"/>
              </w:rPr>
            </w:pPr>
            <w:r>
              <w:rPr>
                <w:sz w:val="4"/>
                <w:szCs w:val="4"/>
              </w:rPr>
            </w:r>
          </w:p>
        </w:tc>
        <w:tc>
          <w:tcPr>
            <w:tcW w:w="2285" w:type="dxa"/>
            <w:tcBorders/>
            <w:shd w:fill="CCEEFF" w:val="clear"/>
            <w:tcMar>
              <w:bottom w:w="0" w:type="dxa"/>
            </w:tcMar>
            <w:vAlign w:val="center"/>
          </w:tcPr>
          <w:p>
            <w:pPr>
              <w:pStyle w:val="TableContents"/>
              <w:spacing w:before="0" w:after="283"/>
              <w:jc w:val="right"/>
              <w:rPr/>
            </w:pPr>
            <w:r>
              <w:rPr/>
              <w:t>$</w:t>
            </w:r>
            <w:r>
              <w:rPr>
                <w:sz w:val="20"/>
              </w:rPr>
              <w:t>55,65</w:t>
            </w:r>
          </w:p>
        </w:tc>
        <w:tc>
          <w:tcPr>
            <w:tcW w:w="60" w:type="dxa"/>
            <w:tcBorders/>
            <w:shd w:fill="CCEEFF" w:val="clear"/>
            <w:tcMar>
              <w:bottom w:w="0" w:type="dxa"/>
            </w:tcMar>
            <w:vAlign w:val="center"/>
          </w:tcPr>
          <w:p>
            <w:pPr>
              <w:pStyle w:val="TableContents"/>
              <w:spacing w:before="0" w:after="283"/>
              <w:jc w:val="right"/>
              <w:rPr/>
            </w:pPr>
            <w:r>
              <w:rPr/>
              <w:t> </w:t>
            </w:r>
          </w:p>
        </w:tc>
        <w:tc>
          <w:tcPr>
            <w:tcW w:w="3228" w:type="dxa"/>
            <w:tcBorders/>
            <w:shd w:fill="CCEEFF" w:val="clear"/>
            <w:tcMar>
              <w:bottom w:w="0" w:type="dxa"/>
            </w:tcMar>
            <w:vAlign w:val="center"/>
          </w:tcPr>
          <w:p>
            <w:pPr>
              <w:pStyle w:val="TableContents"/>
              <w:spacing w:before="0" w:after="283"/>
              <w:jc w:val="right"/>
              <w:rPr>
                <w:sz w:val="20"/>
              </w:rPr>
            </w:pPr>
            <w:r>
              <w:rPr>
                <w:sz w:val="20"/>
              </w:rPr>
              <w:t>20,638</w:t>
            </w:r>
          </w:p>
        </w:tc>
      </w:tr>
      <w:tr>
        <w:trPr/>
        <w:tc>
          <w:tcPr>
            <w:tcW w:w="1902" w:type="dxa"/>
            <w:tcBorders/>
            <w:shd w:fill="FFFFFF" w:val="clear"/>
            <w:tcMar>
              <w:bottom w:w="0" w:type="dxa"/>
            </w:tcMar>
            <w:vAlign w:val="center"/>
          </w:tcPr>
          <w:p>
            <w:pPr>
              <w:pStyle w:val="TableContents"/>
              <w:spacing w:before="0" w:after="283"/>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spacing w:before="0" w:after="283"/>
              <w:jc w:val="right"/>
              <w:rPr/>
            </w:pPr>
            <w:r>
              <w:rPr/>
              <w:t> </w:t>
            </w:r>
          </w:p>
        </w:tc>
        <w:tc>
          <w:tcPr>
            <w:tcW w:w="23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right"/>
              <w:rPr/>
            </w:pPr>
            <w:r>
              <w:rPr/>
              <w:t> </w:t>
            </w:r>
          </w:p>
        </w:tc>
        <w:tc>
          <w:tcPr>
            <w:tcW w:w="280" w:type="dxa"/>
            <w:tcBorders/>
            <w:shd w:fill="FFFFFF" w:val="clear"/>
            <w:tcMar>
              <w:bottom w:w="0" w:type="dxa"/>
            </w:tcMar>
            <w:vAlign w:val="center"/>
          </w:tcPr>
          <w:p>
            <w:pPr>
              <w:pStyle w:val="TableContents"/>
              <w:spacing w:before="0" w:after="283"/>
              <w:jc w:val="right"/>
              <w:rPr/>
            </w:pPr>
            <w:r>
              <w:rPr/>
              <w:t> </w:t>
            </w:r>
          </w:p>
        </w:tc>
        <w:tc>
          <w:tcPr>
            <w:tcW w:w="228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right"/>
              <w:rPr/>
            </w:pPr>
            <w:r>
              <w:rPr/>
              <w:t> </w:t>
            </w:r>
          </w:p>
        </w:tc>
        <w:tc>
          <w:tcPr>
            <w:tcW w:w="3228" w:type="dxa"/>
            <w:tcBorders/>
            <w:shd w:fill="FFFFFF" w:val="clear"/>
            <w:tcMar>
              <w:bottom w:w="0" w:type="dxa"/>
            </w:tcMar>
            <w:vAlign w:val="center"/>
          </w:tcPr>
          <w:p>
            <w:pPr>
              <w:pStyle w:val="TableContents"/>
              <w:spacing w:before="0" w:after="283"/>
              <w:jc w:val="right"/>
              <w:rPr/>
            </w:pPr>
            <w:r>
              <w:rPr/>
              <w:t> </w:t>
            </w:r>
          </w:p>
        </w:tc>
      </w:tr>
      <w:tr>
        <w:trPr/>
        <w:tc>
          <w:tcPr>
            <w:tcW w:w="1902" w:type="dxa"/>
            <w:tcBorders/>
            <w:shd w:fill="CCEEFF" w:val="clear"/>
            <w:tcMar>
              <w:bottom w:w="0" w:type="dxa"/>
            </w:tcMar>
            <w:vAlign w:val="center"/>
          </w:tcPr>
          <w:p>
            <w:pPr>
              <w:pStyle w:val="TableContents"/>
              <w:spacing w:before="0" w:after="283"/>
              <w:rPr>
                <w:sz w:val="20"/>
              </w:rPr>
            </w:pPr>
            <w:r>
              <w:rPr>
                <w:sz w:val="20"/>
              </w:rPr>
              <w:t>Total</w:t>
            </w:r>
          </w:p>
        </w:tc>
        <w:tc>
          <w:tcPr>
            <w:tcW w:w="60" w:type="dxa"/>
            <w:tcBorders/>
            <w:shd w:fill="CCEEFF" w:val="clear"/>
            <w:tcMar>
              <w:bottom w:w="0" w:type="dxa"/>
            </w:tcMar>
            <w:vAlign w:val="center"/>
          </w:tcPr>
          <w:p>
            <w:pPr>
              <w:pStyle w:val="TableContents"/>
              <w:spacing w:before="0" w:after="283"/>
              <w:jc w:val="right"/>
              <w:rPr/>
            </w:pPr>
            <w:r>
              <w:rPr/>
              <w:t> </w:t>
            </w:r>
          </w:p>
        </w:tc>
        <w:tc>
          <w:tcPr>
            <w:tcW w:w="2330" w:type="dxa"/>
            <w:tcBorders/>
            <w:shd w:fill="CCEEFF" w:val="clear"/>
            <w:tcMar>
              <w:bottom w:w="0" w:type="dxa"/>
            </w:tcMar>
            <w:vAlign w:val="center"/>
          </w:tcPr>
          <w:p>
            <w:pPr>
              <w:pStyle w:val="TableContents"/>
              <w:spacing w:before="0" w:after="283"/>
              <w:jc w:val="right"/>
              <w:rPr>
                <w:sz w:val="20"/>
              </w:rPr>
            </w:pPr>
            <w:r>
              <w:rPr>
                <w:sz w:val="20"/>
              </w:rPr>
              <w:t>567,000</w:t>
            </w:r>
          </w:p>
        </w:tc>
        <w:tc>
          <w:tcPr>
            <w:tcW w:w="60" w:type="dxa"/>
            <w:tcBorders/>
            <w:shd w:fill="CCEEFF" w:val="clear"/>
            <w:tcMar>
              <w:bottom w:w="0" w:type="dxa"/>
            </w:tcMar>
            <w:vAlign w:val="center"/>
          </w:tcPr>
          <w:p>
            <w:pPr>
              <w:pStyle w:val="TableContents"/>
              <w:spacing w:before="0" w:after="283"/>
              <w:jc w:val="right"/>
              <w:rPr/>
            </w:pPr>
            <w:r>
              <w:rPr/>
              <w:t> </w:t>
            </w:r>
          </w:p>
        </w:tc>
        <w:tc>
          <w:tcPr>
            <w:tcW w:w="280" w:type="dxa"/>
            <w:tcBorders/>
            <w:shd w:fill="CCEEFF" w:val="clear"/>
            <w:tcMar>
              <w:bottom w:w="0" w:type="dxa"/>
            </w:tcMar>
            <w:vAlign w:val="center"/>
          </w:tcPr>
          <w:p>
            <w:pPr>
              <w:pStyle w:val="TableContents"/>
              <w:spacing w:before="0" w:after="283"/>
              <w:rPr>
                <w:sz w:val="4"/>
                <w:szCs w:val="4"/>
              </w:rPr>
            </w:pPr>
            <w:r>
              <w:rPr>
                <w:sz w:val="4"/>
                <w:szCs w:val="4"/>
              </w:rPr>
            </w:r>
          </w:p>
        </w:tc>
        <w:tc>
          <w:tcPr>
            <w:tcW w:w="2285" w:type="dxa"/>
            <w:tcBorders/>
            <w:shd w:fill="CCEEFF" w:val="clear"/>
            <w:tcMar>
              <w:bottom w:w="0" w:type="dxa"/>
            </w:tcMar>
            <w:vAlign w:val="center"/>
          </w:tcPr>
          <w:p>
            <w:pPr>
              <w:pStyle w:val="TableContents"/>
              <w:spacing w:before="0" w:after="283"/>
              <w:jc w:val="right"/>
              <w:rPr/>
            </w:pPr>
            <w:r>
              <w:rPr/>
              <w:t>$</w:t>
            </w:r>
            <w:r>
              <w:rPr>
                <w:sz w:val="20"/>
              </w:rPr>
              <w:t>55.65</w:t>
            </w:r>
          </w:p>
        </w:tc>
        <w:tc>
          <w:tcPr>
            <w:tcW w:w="60" w:type="dxa"/>
            <w:tcBorders/>
            <w:shd w:fill="CCEEFF" w:val="clear"/>
            <w:tcMar>
              <w:bottom w:w="0" w:type="dxa"/>
            </w:tcMar>
            <w:vAlign w:val="center"/>
          </w:tcPr>
          <w:p>
            <w:pPr>
              <w:pStyle w:val="TableContents"/>
              <w:spacing w:before="0" w:after="283"/>
              <w:jc w:val="right"/>
              <w:rPr/>
            </w:pPr>
            <w:r>
              <w:rPr/>
              <w:t> </w:t>
            </w:r>
          </w:p>
        </w:tc>
        <w:tc>
          <w:tcPr>
            <w:tcW w:w="3228" w:type="dxa"/>
            <w:tcBorders/>
            <w:shd w:fill="CCEEFF" w:val="clear"/>
            <w:tcMar>
              <w:bottom w:w="0" w:type="dxa"/>
            </w:tcMar>
            <w:vAlign w:val="center"/>
          </w:tcPr>
          <w:p>
            <w:pPr>
              <w:pStyle w:val="TableContents"/>
              <w:spacing w:before="0" w:after="283"/>
              <w:jc w:val="right"/>
              <w:rPr>
                <w:sz w:val="20"/>
              </w:rPr>
            </w:pPr>
            <w:r>
              <w:rPr>
                <w:sz w:val="20"/>
              </w:rPr>
              <w:t>20,638</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2018 Plan, effective January 1, 2023, the Board increased the number of shares available for issuance under the 2018 Plan by 212,473 shares of common stock, which was an amount equal to approximately 4% of the shares of common stock outstanding on a fully diluted basis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19 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39" w:name="a20"/>
      <w:bookmarkEnd w:id="39"/>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 OF ELECTROCORE,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Company’s shares of common stock as of April 20, 2023 for:</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each person, or group of affiliated persons, who is known by the Company to beneficially own more than 5% of its shares of common stock;</w:t>
            </w:r>
          </w:p>
        </w:tc>
      </w:tr>
    </w:tbl>
    <w:p>
      <w:pPr>
        <w:pStyle w:val="TextBody"/>
        <w:spacing w:before="0" w:after="0"/>
        <w:rPr>
          <w:caps w:val="false"/>
          <w:smallCaps w:val="false"/>
        </w:rPr>
      </w:pPr>
      <w:r>
        <w:rPr>
          <w:caps w:val="false"/>
          <w:smallCaps w:val="false"/>
        </w:rPr>
        <w:t> </w:t>
      </w:r>
    </w:p>
    <w:tbl>
      <w:tblPr>
        <w:tblW w:w="4863" w:type="dxa"/>
        <w:jc w:val="left"/>
        <w:tblInd w:w="0" w:type="dxa"/>
        <w:tblCellMar>
          <w:top w:w="0" w:type="dxa"/>
          <w:left w:w="0" w:type="dxa"/>
          <w:bottom w:w="0" w:type="dxa"/>
          <w:right w:w="0" w:type="dxa"/>
        </w:tblCellMar>
      </w:tblPr>
      <w:tblGrid>
        <w:gridCol w:w="38"/>
        <w:gridCol w:w="125"/>
        <w:gridCol w:w="470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4700" w:type="dxa"/>
            <w:tcBorders/>
            <w:shd w:fill="auto" w:val="clear"/>
            <w:vAlign w:val="center"/>
          </w:tcPr>
          <w:p>
            <w:pPr>
              <w:pStyle w:val="TableContents"/>
              <w:spacing w:before="0" w:after="283"/>
              <w:jc w:val="both"/>
              <w:rPr/>
            </w:pPr>
            <w:r>
              <w:rPr/>
              <w:t>each of the Company’s named executive officers;</w:t>
            </w:r>
          </w:p>
        </w:tc>
      </w:tr>
    </w:tbl>
    <w:p>
      <w:pPr>
        <w:pStyle w:val="TextBody"/>
        <w:spacing w:before="0" w:after="0"/>
        <w:rPr>
          <w:caps w:val="false"/>
          <w:smallCaps w:val="false"/>
        </w:rPr>
      </w:pPr>
      <w:r>
        <w:rPr>
          <w:caps w:val="false"/>
          <w:smallCaps w:val="false"/>
        </w:rPr>
        <w:t> </w:t>
      </w:r>
    </w:p>
    <w:tbl>
      <w:tblPr>
        <w:tblW w:w="3723" w:type="dxa"/>
        <w:jc w:val="left"/>
        <w:tblInd w:w="0" w:type="dxa"/>
        <w:tblCellMar>
          <w:top w:w="0" w:type="dxa"/>
          <w:left w:w="0" w:type="dxa"/>
          <w:bottom w:w="0" w:type="dxa"/>
          <w:right w:w="0" w:type="dxa"/>
        </w:tblCellMar>
      </w:tblPr>
      <w:tblGrid>
        <w:gridCol w:w="38"/>
        <w:gridCol w:w="12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3560" w:type="dxa"/>
            <w:tcBorders/>
            <w:shd w:fill="auto" w:val="clear"/>
            <w:vAlign w:val="center"/>
          </w:tcPr>
          <w:p>
            <w:pPr>
              <w:pStyle w:val="TableContents"/>
              <w:spacing w:before="0" w:after="283"/>
              <w:jc w:val="both"/>
              <w:rPr/>
            </w:pPr>
            <w:r>
              <w:rPr/>
              <w:t>each of the Company’s directors; and</w:t>
            </w:r>
          </w:p>
        </w:tc>
      </w:tr>
    </w:tbl>
    <w:p>
      <w:pPr>
        <w:pStyle w:val="TextBody"/>
        <w:spacing w:before="0" w:after="0"/>
        <w:rPr>
          <w:caps w:val="false"/>
          <w:smallCaps w:val="false"/>
        </w:rPr>
      </w:pPr>
      <w:r>
        <w:rPr>
          <w:caps w:val="false"/>
          <w:smallCaps w:val="false"/>
        </w:rPr>
        <w:t> </w:t>
      </w:r>
    </w:p>
    <w:tbl>
      <w:tblPr>
        <w:tblW w:w="6993" w:type="dxa"/>
        <w:jc w:val="left"/>
        <w:tblInd w:w="0" w:type="dxa"/>
        <w:tblCellMar>
          <w:top w:w="0" w:type="dxa"/>
          <w:left w:w="0" w:type="dxa"/>
          <w:bottom w:w="0" w:type="dxa"/>
          <w:right w:w="0" w:type="dxa"/>
        </w:tblCellMar>
      </w:tblPr>
      <w:tblGrid>
        <w:gridCol w:w="38"/>
        <w:gridCol w:w="125"/>
        <w:gridCol w:w="683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6830" w:type="dxa"/>
            <w:tcBorders/>
            <w:shd w:fill="auto" w:val="clear"/>
            <w:vAlign w:val="center"/>
          </w:tcPr>
          <w:p>
            <w:pPr>
              <w:pStyle w:val="TableContents"/>
              <w:spacing w:before="0" w:after="283"/>
              <w:jc w:val="both"/>
              <w:rPr/>
            </w:pPr>
            <w:r>
              <w:rPr/>
              <w:t>all of the Company’s current executive officers and directors as a group.</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is based upon 4,749,221 shares of common stock outstanding as of April 20, 2023. The Company has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restricted and deferred stock units, restricted stock awards or warrants that were outstanding on April 20, 2023 and which are exercisable on or before June 20, 2023, which is 60 days after April 20, 2023. These shares are deemed to be outstanding and beneficially owned by the person holding those options, restricted and deferred stock units, restricted stock awards or warrants for the purpose of computing the percentage ownership of that person, but they are not treated as outstanding for the purpose of computing the percentage ownership of any other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200 Forge Way, Suite 205, Rockaway, NJ 07866.</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732"/>
        <w:gridCol w:w="60"/>
        <w:gridCol w:w="2579"/>
        <w:gridCol w:w="60"/>
        <w:gridCol w:w="1816"/>
        <w:gridCol w:w="958"/>
      </w:tblGrid>
      <w:tr>
        <w:trPr/>
        <w:tc>
          <w:tcPr>
            <w:tcW w:w="4732" w:type="dxa"/>
            <w:tcBorders>
              <w:bottom w:val="single" w:sz="8" w:space="0" w:color="000000"/>
            </w:tcBorders>
            <w:shd w:fill="auto" w:val="clear"/>
            <w:vAlign w:val="center"/>
          </w:tcPr>
          <w:p>
            <w:pPr>
              <w:pStyle w:val="TableContents"/>
              <w:spacing w:before="0" w:after="283"/>
              <w:jc w:val="center"/>
              <w:rPr>
                <w:b/>
                <w:sz w:val="20"/>
              </w:rPr>
            </w:pPr>
            <w:r>
              <w:rPr>
                <w:b/>
                <w:sz w:val="20"/>
              </w:rPr>
              <w:t>Name of Beneficial Owner</w:t>
            </w:r>
          </w:p>
        </w:tc>
        <w:tc>
          <w:tcPr>
            <w:tcW w:w="60" w:type="dxa"/>
            <w:tcBorders/>
            <w:shd w:fill="auto" w:val="clear"/>
            <w:tcMar>
              <w:bottom w:w="0" w:type="dxa"/>
            </w:tcMar>
            <w:vAlign w:val="center"/>
          </w:tcPr>
          <w:p>
            <w:pPr>
              <w:pStyle w:val="TableContents"/>
              <w:spacing w:before="0" w:after="283"/>
              <w:jc w:val="center"/>
              <w:rPr/>
            </w:pPr>
            <w:r>
              <w:rPr/>
              <w:t> </w:t>
            </w:r>
          </w:p>
        </w:tc>
        <w:tc>
          <w:tcPr>
            <w:tcW w:w="2579" w:type="dxa"/>
            <w:tcBorders>
              <w:bottom w:val="single" w:sz="8" w:space="0" w:color="000000"/>
            </w:tcBorders>
            <w:shd w:fill="auto" w:val="clear"/>
            <w:vAlign w:val="center"/>
          </w:tcPr>
          <w:p>
            <w:pPr>
              <w:pStyle w:val="TableContents"/>
              <w:spacing w:before="0" w:after="283"/>
              <w:jc w:val="center"/>
              <w:rPr>
                <w:b/>
                <w:sz w:val="20"/>
              </w:rPr>
            </w:pPr>
            <w:r>
              <w:rPr>
                <w:b/>
                <w:sz w:val="20"/>
              </w:rPr>
              <w:t>Number of Shares Beneficially Owned</w:t>
            </w:r>
          </w:p>
        </w:tc>
        <w:tc>
          <w:tcPr>
            <w:tcW w:w="60" w:type="dxa"/>
            <w:tcBorders/>
            <w:shd w:fill="auto" w:val="clear"/>
            <w:tcMar>
              <w:bottom w:w="0" w:type="dxa"/>
            </w:tcMar>
            <w:vAlign w:val="center"/>
          </w:tcPr>
          <w:p>
            <w:pPr>
              <w:pStyle w:val="TableContents"/>
              <w:spacing w:before="0" w:after="283"/>
              <w:jc w:val="center"/>
              <w:rPr/>
            </w:pPr>
            <w:r>
              <w:rPr/>
              <w:t> </w:t>
            </w:r>
          </w:p>
        </w:tc>
        <w:tc>
          <w:tcPr>
            <w:tcW w:w="2774" w:type="dxa"/>
            <w:gridSpan w:val="2"/>
            <w:tcBorders>
              <w:bottom w:val="single" w:sz="8" w:space="0" w:color="000000"/>
            </w:tcBorders>
            <w:shd w:fill="auto" w:val="clear"/>
            <w:vAlign w:val="center"/>
          </w:tcPr>
          <w:p>
            <w:pPr>
              <w:pStyle w:val="TableContents"/>
              <w:spacing w:before="0" w:after="283"/>
              <w:jc w:val="center"/>
              <w:rPr>
                <w:b/>
                <w:sz w:val="20"/>
              </w:rPr>
            </w:pPr>
            <w:r>
              <w:rPr>
                <w:b/>
                <w:sz w:val="20"/>
              </w:rPr>
              <w:t>Percentage of Shares Beneficially Owned</w:t>
            </w:r>
          </w:p>
        </w:tc>
      </w:tr>
      <w:tr>
        <w:trPr/>
        <w:tc>
          <w:tcPr>
            <w:tcW w:w="4732" w:type="dxa"/>
            <w:tcBorders/>
            <w:shd w:fill="CCEEFF" w:val="clear"/>
            <w:tcMar>
              <w:bottom w:w="0" w:type="dxa"/>
            </w:tcMar>
            <w:vAlign w:val="center"/>
          </w:tcPr>
          <w:p>
            <w:pPr>
              <w:pStyle w:val="TableContents"/>
              <w:spacing w:before="0" w:after="283"/>
              <w:rPr>
                <w:b/>
                <w:i/>
                <w:sz w:val="20"/>
              </w:rPr>
            </w:pPr>
            <w:r>
              <w:rPr>
                <w:b/>
                <w:i/>
                <w:sz w:val="20"/>
              </w:rPr>
              <w:t>Principal Stockholders:</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pPr>
            <w:r>
              <w:rPr/>
              <w:t> </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AWM Investment Company, Inc.</w:t>
            </w:r>
            <w:r>
              <w:rPr>
                <w:b/>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392,254</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8.3</w:t>
            </w:r>
          </w:p>
        </w:tc>
        <w:tc>
          <w:tcPr>
            <w:tcW w:w="958" w:type="dxa"/>
            <w:tcBorders/>
            <w:shd w:fill="FFFFFF" w:val="clear"/>
            <w:tcMar>
              <w:bottom w:w="0" w:type="dxa"/>
            </w:tcMar>
            <w:vAlign w:val="center"/>
          </w:tcPr>
          <w:p>
            <w:pPr>
              <w:pStyle w:val="TableContents"/>
              <w:spacing w:before="0" w:after="283"/>
              <w:rPr>
                <w:sz w:val="20"/>
              </w:rPr>
            </w:pPr>
            <w:r>
              <w:rPr>
                <w:sz w:val="20"/>
              </w:rPr>
              <w:t>%</w:t>
            </w:r>
          </w:p>
        </w:tc>
      </w:tr>
      <w:tr>
        <w:trPr/>
        <w:tc>
          <w:tcPr>
            <w:tcW w:w="4732" w:type="dxa"/>
            <w:tcBorders/>
            <w:shd w:fill="CCEEFF" w:val="clear"/>
            <w:tcMar>
              <w:bottom w:w="0" w:type="dxa"/>
            </w:tcMar>
            <w:vAlign w:val="center"/>
          </w:tcPr>
          <w:p>
            <w:pPr>
              <w:pStyle w:val="TableContents"/>
              <w:spacing w:before="0" w:after="283"/>
              <w:rPr>
                <w:b/>
                <w:i/>
                <w:sz w:val="20"/>
              </w:rPr>
            </w:pPr>
            <w:r>
              <w:rPr>
                <w:b/>
                <w:i/>
                <w:sz w:val="20"/>
              </w:rPr>
              <w:t>Named Executive Officers and Directors:</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pPr>
            <w:r>
              <w:rPr/>
              <w:t> </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Peter Cuneo</w:t>
            </w:r>
            <w:r>
              <w:rPr>
                <w:b/>
                <w:position w:val="7"/>
                <w:sz w:val="16"/>
                <w:sz w:val="20"/>
              </w:rPr>
              <w:t>(2)</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25,256</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w:t>
            </w:r>
          </w:p>
        </w:tc>
        <w:tc>
          <w:tcPr>
            <w:tcW w:w="958" w:type="dxa"/>
            <w:tcBorders/>
            <w:shd w:fill="FFFFFF" w:val="clear"/>
            <w:tcMar>
              <w:bottom w:w="0" w:type="dxa"/>
            </w:tcMar>
            <w:vAlign w:val="center"/>
          </w:tcPr>
          <w:p>
            <w:pPr>
              <w:pStyle w:val="TableContents"/>
              <w:spacing w:before="0" w:after="283"/>
              <w:rPr/>
            </w:pPr>
            <w:r>
              <w:rPr/>
              <w:t> </w:t>
            </w:r>
          </w:p>
        </w:tc>
      </w:tr>
      <w:tr>
        <w:trPr/>
        <w:tc>
          <w:tcPr>
            <w:tcW w:w="4732" w:type="dxa"/>
            <w:tcBorders/>
            <w:shd w:fill="CCEEFF" w:val="clear"/>
            <w:tcMar>
              <w:bottom w:w="0" w:type="dxa"/>
            </w:tcMar>
            <w:vAlign w:val="center"/>
          </w:tcPr>
          <w:p>
            <w:pPr>
              <w:pStyle w:val="TableContents"/>
              <w:spacing w:before="0" w:after="283"/>
              <w:rPr>
                <w:b/>
                <w:sz w:val="20"/>
              </w:rPr>
            </w:pPr>
            <w:r>
              <w:rPr>
                <w:b/>
                <w:sz w:val="20"/>
              </w:rPr>
              <w:t>Joseph P. Errico</w:t>
            </w:r>
            <w:r>
              <w:rPr>
                <w:b/>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sz w:val="20"/>
              </w:rPr>
            </w:pPr>
            <w:r>
              <w:rPr>
                <w:sz w:val="20"/>
              </w:rPr>
              <w:t>315,272</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sz w:val="20"/>
              </w:rPr>
            </w:pPr>
            <w:r>
              <w:rPr>
                <w:sz w:val="20"/>
              </w:rPr>
              <w:t>6.6</w:t>
            </w:r>
          </w:p>
        </w:tc>
        <w:tc>
          <w:tcPr>
            <w:tcW w:w="958" w:type="dxa"/>
            <w:tcBorders/>
            <w:shd w:fill="CCEEFF" w:val="clear"/>
            <w:tcMar>
              <w:bottom w:w="0" w:type="dxa"/>
            </w:tcMar>
            <w:vAlign w:val="center"/>
          </w:tcPr>
          <w:p>
            <w:pPr>
              <w:pStyle w:val="TableContents"/>
              <w:spacing w:before="0" w:after="283"/>
              <w:rPr>
                <w:sz w:val="20"/>
              </w:rPr>
            </w:pPr>
            <w:r>
              <w:rPr>
                <w:sz w:val="20"/>
              </w:rPr>
              <w:t>%</w:t>
            </w:r>
          </w:p>
        </w:tc>
      </w:tr>
      <w:tr>
        <w:trPr/>
        <w:tc>
          <w:tcPr>
            <w:tcW w:w="4732" w:type="dxa"/>
            <w:tcBorders/>
            <w:shd w:fill="FFFFFF" w:val="clear"/>
            <w:tcMar>
              <w:bottom w:w="0" w:type="dxa"/>
            </w:tcMar>
            <w:vAlign w:val="center"/>
          </w:tcPr>
          <w:p>
            <w:pPr>
              <w:pStyle w:val="TableContents"/>
              <w:spacing w:before="0" w:after="283"/>
              <w:rPr>
                <w:b/>
                <w:sz w:val="20"/>
              </w:rPr>
            </w:pPr>
            <w:r>
              <w:rPr>
                <w:b/>
                <w:sz w:val="20"/>
              </w:rPr>
              <w:t>Thomas J. Errico, M.D.</w:t>
            </w:r>
            <w:r>
              <w:rPr>
                <w:b/>
                <w:position w:val="7"/>
                <w:sz w:val="16"/>
                <w:sz w:val="20"/>
              </w:rPr>
              <w:t>(4)</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233,192</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4.9</w:t>
            </w:r>
          </w:p>
        </w:tc>
        <w:tc>
          <w:tcPr>
            <w:tcW w:w="958" w:type="dxa"/>
            <w:tcBorders/>
            <w:shd w:fill="FFFFFF" w:val="clear"/>
            <w:tcMar>
              <w:bottom w:w="0" w:type="dxa"/>
            </w:tcMar>
            <w:vAlign w:val="center"/>
          </w:tcPr>
          <w:p>
            <w:pPr>
              <w:pStyle w:val="TableContents"/>
              <w:spacing w:before="0" w:after="283"/>
              <w:rPr>
                <w:sz w:val="20"/>
              </w:rPr>
            </w:pPr>
            <w:r>
              <w:rPr>
                <w:sz w:val="20"/>
              </w:rPr>
              <w:t>%</w:t>
            </w:r>
          </w:p>
        </w:tc>
      </w:tr>
      <w:tr>
        <w:trPr/>
        <w:tc>
          <w:tcPr>
            <w:tcW w:w="4732" w:type="dxa"/>
            <w:tcBorders/>
            <w:shd w:fill="CCEEFF" w:val="clear"/>
            <w:tcMar>
              <w:bottom w:w="0" w:type="dxa"/>
            </w:tcMar>
            <w:vAlign w:val="center"/>
          </w:tcPr>
          <w:p>
            <w:pPr>
              <w:pStyle w:val="TableContents"/>
              <w:spacing w:before="0" w:after="283"/>
              <w:rPr>
                <w:b/>
                <w:sz w:val="20"/>
              </w:rPr>
            </w:pPr>
            <w:r>
              <w:rPr>
                <w:b/>
                <w:sz w:val="20"/>
              </w:rPr>
              <w:t>John P. Gandolfo</w:t>
            </w:r>
            <w:r>
              <w:rPr>
                <w:b/>
                <w:position w:val="7"/>
                <w:sz w:val="16"/>
                <w:sz w:val="20"/>
              </w:rPr>
              <w:t>(5)</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sz w:val="20"/>
              </w:rPr>
            </w:pPr>
            <w:r>
              <w:rPr>
                <w:sz w:val="20"/>
              </w:rPr>
              <w:t>21,102</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sz w:val="20"/>
              </w:rPr>
            </w:pPr>
            <w:r>
              <w:rPr>
                <w:sz w:val="20"/>
              </w:rPr>
              <w:t>*</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Daniel S. Goldberger</w:t>
            </w:r>
            <w:r>
              <w:rPr>
                <w:b/>
                <w:position w:val="7"/>
                <w:sz w:val="16"/>
                <w:sz w:val="20"/>
              </w:rPr>
              <w:t>(6)</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29,985</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w:t>
            </w:r>
          </w:p>
        </w:tc>
        <w:tc>
          <w:tcPr>
            <w:tcW w:w="958" w:type="dxa"/>
            <w:tcBorders/>
            <w:shd w:fill="FFFFFF" w:val="clear"/>
            <w:tcMar>
              <w:bottom w:w="0" w:type="dxa"/>
            </w:tcMar>
            <w:vAlign w:val="center"/>
          </w:tcPr>
          <w:p>
            <w:pPr>
              <w:pStyle w:val="TableContents"/>
              <w:spacing w:before="0" w:after="283"/>
              <w:rPr>
                <w:sz w:val="4"/>
                <w:szCs w:val="4"/>
              </w:rPr>
            </w:pPr>
            <w:r>
              <w:rPr>
                <w:sz w:val="4"/>
                <w:szCs w:val="4"/>
              </w:rPr>
            </w:r>
          </w:p>
        </w:tc>
      </w:tr>
      <w:tr>
        <w:trPr/>
        <w:tc>
          <w:tcPr>
            <w:tcW w:w="4732" w:type="dxa"/>
            <w:tcBorders/>
            <w:shd w:fill="CCEEFF" w:val="clear"/>
            <w:tcMar>
              <w:bottom w:w="0" w:type="dxa"/>
            </w:tcMar>
            <w:vAlign w:val="center"/>
          </w:tcPr>
          <w:p>
            <w:pPr>
              <w:pStyle w:val="TableContents"/>
              <w:spacing w:before="0" w:after="283"/>
              <w:rPr>
                <w:b/>
                <w:sz w:val="20"/>
              </w:rPr>
            </w:pPr>
            <w:r>
              <w:rPr>
                <w:b/>
                <w:sz w:val="20"/>
              </w:rPr>
              <w:t>Julie A. Goldstein</w:t>
            </w:r>
            <w:r>
              <w:rPr>
                <w:b/>
                <w:position w:val="7"/>
                <w:sz w:val="16"/>
                <w:sz w:val="20"/>
              </w:rPr>
              <w:t>(7)</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sz w:val="20"/>
              </w:rPr>
            </w:pPr>
            <w:r>
              <w:rPr>
                <w:sz w:val="20"/>
              </w:rPr>
              <w:t>34,851</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sz w:val="20"/>
              </w:rPr>
            </w:pPr>
            <w:r>
              <w:rPr>
                <w:sz w:val="20"/>
              </w:rPr>
              <w:t>*</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Trevor J. Moody</w:t>
            </w:r>
            <w:r>
              <w:rPr>
                <w:b/>
                <w:position w:val="7"/>
                <w:sz w:val="16"/>
                <w:sz w:val="20"/>
              </w:rPr>
              <w:t>(8)</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38,254</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w:t>
            </w:r>
          </w:p>
        </w:tc>
        <w:tc>
          <w:tcPr>
            <w:tcW w:w="958" w:type="dxa"/>
            <w:tcBorders/>
            <w:shd w:fill="FFFFFF" w:val="clear"/>
            <w:tcMar>
              <w:bottom w:w="0" w:type="dxa"/>
            </w:tcMar>
            <w:vAlign w:val="center"/>
          </w:tcPr>
          <w:p>
            <w:pPr>
              <w:pStyle w:val="TableContents"/>
              <w:spacing w:before="0" w:after="283"/>
              <w:rPr/>
            </w:pPr>
            <w:r>
              <w:rPr/>
              <w:t> </w:t>
            </w:r>
          </w:p>
        </w:tc>
      </w:tr>
      <w:tr>
        <w:trPr/>
        <w:tc>
          <w:tcPr>
            <w:tcW w:w="4732" w:type="dxa"/>
            <w:tcBorders/>
            <w:shd w:fill="CCEEFF" w:val="clear"/>
            <w:tcMar>
              <w:bottom w:w="0" w:type="dxa"/>
            </w:tcMar>
            <w:vAlign w:val="center"/>
          </w:tcPr>
          <w:p>
            <w:pPr>
              <w:pStyle w:val="TableContents"/>
              <w:spacing w:before="0" w:after="283"/>
              <w:rPr>
                <w:b/>
                <w:sz w:val="20"/>
              </w:rPr>
            </w:pPr>
            <w:r>
              <w:rPr>
                <w:b/>
                <w:sz w:val="20"/>
              </w:rPr>
              <w:t>Thomas M. Patton</w:t>
            </w:r>
            <w:r>
              <w:rPr>
                <w:b/>
                <w:position w:val="7"/>
                <w:sz w:val="16"/>
                <w:sz w:val="20"/>
              </w:rPr>
              <w:t>(9)</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sz w:val="20"/>
              </w:rPr>
            </w:pPr>
            <w:r>
              <w:rPr>
                <w:sz w:val="20"/>
              </w:rPr>
              <w:t>19,835</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sz w:val="20"/>
              </w:rPr>
            </w:pPr>
            <w:r>
              <w:rPr>
                <w:sz w:val="20"/>
              </w:rPr>
              <w:t>*</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Brian M. Posner</w:t>
            </w:r>
            <w:r>
              <w:rPr>
                <w:b/>
                <w:position w:val="7"/>
                <w:sz w:val="16"/>
                <w:sz w:val="20"/>
              </w:rPr>
              <w:t>(10)</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29,242</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w:t>
            </w:r>
          </w:p>
        </w:tc>
        <w:tc>
          <w:tcPr>
            <w:tcW w:w="958" w:type="dxa"/>
            <w:tcBorders/>
            <w:shd w:fill="FFFFFF" w:val="clear"/>
            <w:tcMar>
              <w:bottom w:w="0" w:type="dxa"/>
            </w:tcMar>
            <w:vAlign w:val="center"/>
          </w:tcPr>
          <w:p>
            <w:pPr>
              <w:pStyle w:val="TableContents"/>
              <w:spacing w:before="0" w:after="283"/>
              <w:rPr/>
            </w:pPr>
            <w:r>
              <w:rPr/>
              <w:t> </w:t>
            </w:r>
          </w:p>
        </w:tc>
      </w:tr>
      <w:tr>
        <w:trPr/>
        <w:tc>
          <w:tcPr>
            <w:tcW w:w="4732" w:type="dxa"/>
            <w:tcBorders/>
            <w:shd w:fill="CCEEFF" w:val="clear"/>
            <w:tcMar>
              <w:bottom w:w="0" w:type="dxa"/>
            </w:tcMar>
            <w:vAlign w:val="center"/>
          </w:tcPr>
          <w:p>
            <w:pPr>
              <w:pStyle w:val="TableContents"/>
              <w:spacing w:before="0" w:after="283"/>
              <w:rPr>
                <w:b/>
                <w:sz w:val="20"/>
              </w:rPr>
            </w:pPr>
            <w:r>
              <w:rPr>
                <w:b/>
                <w:sz w:val="20"/>
              </w:rPr>
              <w:t>Patricia Wilber</w:t>
            </w:r>
            <w:r>
              <w:rPr>
                <w:b/>
                <w:position w:val="7"/>
                <w:sz w:val="16"/>
                <w:sz w:val="20"/>
              </w:rPr>
              <w:t>(11)</w:t>
            </w:r>
          </w:p>
        </w:tc>
        <w:tc>
          <w:tcPr>
            <w:tcW w:w="60" w:type="dxa"/>
            <w:tcBorders/>
            <w:shd w:fill="CCEEFF" w:val="clear"/>
            <w:tcMar>
              <w:bottom w:w="0" w:type="dxa"/>
            </w:tcMar>
            <w:vAlign w:val="center"/>
          </w:tcPr>
          <w:p>
            <w:pPr>
              <w:pStyle w:val="TableContents"/>
              <w:spacing w:before="0" w:after="283"/>
              <w:rPr/>
            </w:pPr>
            <w:r>
              <w:rPr/>
              <w:t> </w:t>
            </w:r>
          </w:p>
        </w:tc>
        <w:tc>
          <w:tcPr>
            <w:tcW w:w="2579" w:type="dxa"/>
            <w:tcBorders/>
            <w:shd w:fill="CCEEFF" w:val="clear"/>
            <w:tcMar>
              <w:bottom w:w="0" w:type="dxa"/>
            </w:tcMar>
            <w:vAlign w:val="center"/>
          </w:tcPr>
          <w:p>
            <w:pPr>
              <w:pStyle w:val="TableContents"/>
              <w:spacing w:before="0" w:after="283"/>
              <w:jc w:val="right"/>
              <w:rPr>
                <w:sz w:val="20"/>
              </w:rPr>
            </w:pPr>
            <w:r>
              <w:rPr>
                <w:sz w:val="20"/>
              </w:rPr>
              <w:t>4,170</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jc w:val="right"/>
              <w:rPr>
                <w:sz w:val="20"/>
              </w:rPr>
            </w:pPr>
            <w:r>
              <w:rPr>
                <w:sz w:val="20"/>
              </w:rPr>
              <w:t>*</w:t>
            </w:r>
          </w:p>
        </w:tc>
        <w:tc>
          <w:tcPr>
            <w:tcW w:w="958" w:type="dxa"/>
            <w:tcBorders/>
            <w:shd w:fill="CCEEFF" w:val="clear"/>
            <w:tcMar>
              <w:bottom w:w="0" w:type="dxa"/>
            </w:tcMar>
            <w:vAlign w:val="center"/>
          </w:tcPr>
          <w:p>
            <w:pPr>
              <w:pStyle w:val="TableContents"/>
              <w:spacing w:before="0" w:after="283"/>
              <w:rPr/>
            </w:pPr>
            <w:r>
              <w:rPr/>
              <w:t> </w:t>
            </w:r>
          </w:p>
        </w:tc>
      </w:tr>
      <w:tr>
        <w:trPr/>
        <w:tc>
          <w:tcPr>
            <w:tcW w:w="4732" w:type="dxa"/>
            <w:tcBorders/>
            <w:shd w:fill="FFFFFF" w:val="clear"/>
            <w:tcMar>
              <w:bottom w:w="0" w:type="dxa"/>
            </w:tcMar>
            <w:vAlign w:val="center"/>
          </w:tcPr>
          <w:p>
            <w:pPr>
              <w:pStyle w:val="TableContents"/>
              <w:spacing w:before="0" w:after="283"/>
              <w:rPr>
                <w:b/>
                <w:sz w:val="20"/>
              </w:rPr>
            </w:pPr>
            <w:r>
              <w:rPr>
                <w:b/>
                <w:sz w:val="20"/>
              </w:rPr>
              <w:t>All current directors and named executive officers as a group (10 persons)</w:t>
            </w:r>
          </w:p>
        </w:tc>
        <w:tc>
          <w:tcPr>
            <w:tcW w:w="60" w:type="dxa"/>
            <w:tcBorders/>
            <w:shd w:fill="FFFFFF" w:val="clear"/>
            <w:tcMar>
              <w:bottom w:w="0" w:type="dxa"/>
            </w:tcMar>
            <w:vAlign w:val="center"/>
          </w:tcPr>
          <w:p>
            <w:pPr>
              <w:pStyle w:val="TableContents"/>
              <w:spacing w:before="0" w:after="283"/>
              <w:rPr/>
            </w:pPr>
            <w:r>
              <w:rPr/>
              <w:t> </w:t>
            </w:r>
          </w:p>
        </w:tc>
        <w:tc>
          <w:tcPr>
            <w:tcW w:w="2579" w:type="dxa"/>
            <w:tcBorders/>
            <w:shd w:fill="FFFFFF" w:val="clear"/>
            <w:tcMar>
              <w:bottom w:w="0" w:type="dxa"/>
            </w:tcMar>
            <w:vAlign w:val="center"/>
          </w:tcPr>
          <w:p>
            <w:pPr>
              <w:pStyle w:val="TableContents"/>
              <w:spacing w:before="0" w:after="283"/>
              <w:jc w:val="right"/>
              <w:rPr>
                <w:sz w:val="20"/>
              </w:rPr>
            </w:pPr>
            <w:r>
              <w:rPr>
                <w:sz w:val="20"/>
              </w:rPr>
              <w:t>636,445</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jc w:val="right"/>
              <w:rPr>
                <w:sz w:val="20"/>
              </w:rPr>
            </w:pPr>
            <w:r>
              <w:rPr>
                <w:sz w:val="20"/>
              </w:rPr>
              <w:t>13.4</w:t>
            </w:r>
          </w:p>
        </w:tc>
        <w:tc>
          <w:tcPr>
            <w:tcW w:w="958" w:type="dxa"/>
            <w:tcBorders/>
            <w:shd w:fill="FFFFFF" w:val="clear"/>
            <w:tcMar>
              <w:bottom w:w="0" w:type="dxa"/>
            </w:tcMar>
            <w:vAlign w:val="center"/>
          </w:tcPr>
          <w:p>
            <w:pPr>
              <w:pStyle w:val="TableContents"/>
              <w:spacing w:before="0" w:after="283"/>
              <w:rPr>
                <w:sz w:val="20"/>
              </w:rPr>
            </w:pPr>
            <w:r>
              <w:rPr>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*Denotes less than one percent.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0"/>
        <w:gridCol w:w="9907"/>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(1)</w:t>
            </w:r>
          </w:p>
        </w:tc>
        <w:tc>
          <w:tcPr>
            <w:tcW w:w="9907" w:type="dxa"/>
            <w:tcBorders/>
            <w:shd w:fill="auto" w:val="clear"/>
            <w:vAlign w:val="center"/>
          </w:tcPr>
          <w:p>
            <w:pPr>
              <w:pStyle w:val="TableContents"/>
              <w:spacing w:before="0" w:after="283"/>
              <w:jc w:val="both"/>
              <w:rPr/>
            </w:pPr>
            <w:r>
              <w:rPr/>
              <w:t>Based on a Schedule 13G filed on February 14, 2023. The address of AWM Investment Company, Inc. is 527 Madison Avenue, Suite 2600, New York, NY 10022.</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20 </w:t>
      </w:r>
    </w:p>
    <w:p>
      <w:pPr>
        <w:pStyle w:val="TextBody"/>
        <w:spacing w:before="0" w:after="0"/>
        <w:ind w:left="0" w:right="0" w:hanging="0"/>
        <w:rPr/>
      </w:pPr>
      <w:r>
        <w:rPr/>
        <w:t> </w:t>
      </w:r>
    </w:p>
    <w:p>
      <w:pPr>
        <w:pStyle w:val="TextBody"/>
        <w:spacing w:before="0" w:after="0"/>
        <w:rPr>
          <w:caps w:val="false"/>
          <w:smallCaps w:val="false"/>
        </w:rPr>
      </w:pPr>
      <w:bookmarkStart w:id="40" w:name="a21"/>
      <w:bookmarkEnd w:id="40"/>
      <w:r>
        <w:rPr>
          <w:caps w:val="false"/>
          <w:smallCaps w:val="false"/>
        </w:rPr>
        <w:t> </w:t>
      </w:r>
    </w:p>
    <w:tbl>
      <w:tblPr>
        <w:tblW w:w="6408" w:type="dxa"/>
        <w:jc w:val="left"/>
        <w:tblInd w:w="0" w:type="dxa"/>
        <w:tblCellMar>
          <w:top w:w="0" w:type="dxa"/>
          <w:left w:w="0" w:type="dxa"/>
          <w:bottom w:w="0" w:type="dxa"/>
          <w:right w:w="0" w:type="dxa"/>
        </w:tblCellMar>
      </w:tblPr>
      <w:tblGrid>
        <w:gridCol w:w="38"/>
        <w:gridCol w:w="290"/>
        <w:gridCol w:w="608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(2)</w:t>
            </w:r>
          </w:p>
        </w:tc>
        <w:tc>
          <w:tcPr>
            <w:tcW w:w="6080" w:type="dxa"/>
            <w:tcBorders/>
            <w:shd w:fill="auto" w:val="clear"/>
            <w:vAlign w:val="center"/>
          </w:tcPr>
          <w:p>
            <w:pPr>
              <w:pStyle w:val="TableContents"/>
              <w:spacing w:before="0" w:after="283"/>
              <w:jc w:val="both"/>
              <w:rPr/>
            </w:pPr>
            <w:r>
              <w:rPr/>
              <w:t>Represents 25,256 options to purchase shares of common stock.</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2"/>
        <w:gridCol w:w="9945"/>
      </w:tblGrid>
      <w:tr>
        <w:trPr/>
        <w:tc>
          <w:tcPr>
            <w:tcW w:w="3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(3)</w:t>
            </w:r>
          </w:p>
        </w:tc>
        <w:tc>
          <w:tcPr>
            <w:tcW w:w="9945" w:type="dxa"/>
            <w:tcBorders/>
            <w:shd w:fill="auto" w:val="clear"/>
            <w:vAlign w:val="center"/>
          </w:tcPr>
          <w:p>
            <w:pPr>
              <w:pStyle w:val="TableContents"/>
              <w:spacing w:before="0" w:after="283"/>
              <w:jc w:val="both"/>
              <w:rPr/>
            </w:pPr>
            <w:r>
              <w:rPr/>
              <w:t>Represents 115,380 shares of common stock held directly by Mr. Errico and his individual retirement account; 17,756 shares of common stock held directly by Mr. Errico’s spouse, minor children and a trust for the benefit of Mr. Errico’s spouse and minor children; 16,453 shares of common stock and warrants held for the benefit of Mr. Errico and his spouse, minor children and a trust for their benefit indirectly by CV II, CV IV and certain other entities controlled by Joseph P. Errico and Dr. Thomas J. Errico (the “Other Entities”); and 42,463 options to purchase shares of common stock and 14,835 deferred stock units held directly by Mr. Errico. Also includes an additional 108,385 shares and warrants held by CV II, CV IV, and the Other Entities for the benefit of persons other than Mr. Errico. Mr. Errico serves as a manager of CV II, CV IV, and certain of the Other Entities and has or shares voting control over such shares and warrants with Thomas J. Errico, M.D.</w:t>
              <w:tab/>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4"/>
        <w:gridCol w:w="9943"/>
      </w:tblGrid>
      <w:tr>
        <w:trPr/>
        <w:tc>
          <w:tcPr>
            <w:tcW w:w="3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pPr>
            <w:r>
              <w:rPr/>
              <w:t>(4)</w:t>
            </w:r>
          </w:p>
        </w:tc>
        <w:tc>
          <w:tcPr>
            <w:tcW w:w="9943" w:type="dxa"/>
            <w:tcBorders/>
            <w:shd w:fill="auto" w:val="clear"/>
            <w:vAlign w:val="center"/>
          </w:tcPr>
          <w:p>
            <w:pPr>
              <w:pStyle w:val="TableContents"/>
              <w:spacing w:before="0" w:after="283"/>
              <w:jc w:val="both"/>
              <w:rPr/>
            </w:pPr>
            <w:r>
              <w:rPr/>
              <w:t>Represents 85,583 shares of common stock held directly by Dr. Errico; 1,296 shares of common stock held directly by a trust for the benefit of Dr. Errico’s family members; 3,510 shares of common stock and warrants held for the benefit of Dr. Errico indirectly by CV II, CV IV, and the Other Entities; and 14,016 options to purchase shares of common stock, and 7,460 deferred stock units held directly by Dr. Errico. Also includes an additional 121,327 shares and warrants held by CV II, CV IV, and the Other Entities for the benefit of persons other than Dr. Errico. Dr. Errico serves as a manager of CV II, CV IV, and certain of the Other Entities and has or shares voting control over such shares and warrants with Joseph P. Errico.</w:t>
            </w:r>
          </w:p>
        </w:tc>
      </w:tr>
    </w:tbl>
    <w:p>
      <w:pPr>
        <w:pStyle w:val="TextBody"/>
        <w:spacing w:before="0" w:after="0"/>
        <w:rPr>
          <w:caps w:val="false"/>
          <w:smallCaps w:val="false"/>
        </w:rPr>
      </w:pPr>
      <w:r>
        <w:rPr>
          <w:caps w:val="false"/>
          <w:smallCaps w:val="false"/>
        </w:rPr>
        <w:t> </w:t>
      </w:r>
    </w:p>
    <w:tbl>
      <w:tblPr>
        <w:tblW w:w="7428" w:type="dxa"/>
        <w:jc w:val="left"/>
        <w:tblInd w:w="0" w:type="dxa"/>
        <w:tblCellMar>
          <w:top w:w="0" w:type="dxa"/>
          <w:left w:w="0" w:type="dxa"/>
          <w:bottom w:w="0" w:type="dxa"/>
          <w:right w:w="0" w:type="dxa"/>
        </w:tblCellMar>
      </w:tblPr>
      <w:tblGrid>
        <w:gridCol w:w="38"/>
        <w:gridCol w:w="290"/>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(5)</w:t>
            </w:r>
          </w:p>
        </w:tc>
        <w:tc>
          <w:tcPr>
            <w:tcW w:w="7100" w:type="dxa"/>
            <w:tcBorders/>
            <w:shd w:fill="auto" w:val="clear"/>
            <w:vAlign w:val="center"/>
          </w:tcPr>
          <w:p>
            <w:pPr>
              <w:pStyle w:val="TableContents"/>
              <w:spacing w:before="0" w:after="283"/>
              <w:jc w:val="both"/>
              <w:rPr/>
            </w:pPr>
            <w:r>
              <w:rPr/>
              <w:t>Represents 1,267 shares of common stock and 19,835 deferred stock units.</w:t>
            </w:r>
          </w:p>
        </w:tc>
      </w:tr>
    </w:tbl>
    <w:p>
      <w:pPr>
        <w:pStyle w:val="TextBody"/>
        <w:spacing w:before="0" w:after="0"/>
        <w:rPr>
          <w:caps w:val="false"/>
          <w:smallCaps w:val="false"/>
        </w:rPr>
      </w:pPr>
      <w:r>
        <w:rPr>
          <w:caps w:val="false"/>
          <w:smallCaps w:val="false"/>
        </w:rPr>
        <w:t> </w:t>
      </w:r>
    </w:p>
    <w:tbl>
      <w:tblPr>
        <w:tblW w:w="4518" w:type="dxa"/>
        <w:jc w:val="left"/>
        <w:tblInd w:w="0" w:type="dxa"/>
        <w:tblCellMar>
          <w:top w:w="0" w:type="dxa"/>
          <w:left w:w="0" w:type="dxa"/>
          <w:bottom w:w="0" w:type="dxa"/>
          <w:right w:w="0" w:type="dxa"/>
        </w:tblCellMar>
      </w:tblPr>
      <w:tblGrid>
        <w:gridCol w:w="38"/>
        <w:gridCol w:w="290"/>
        <w:gridCol w:w="419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(6)</w:t>
            </w:r>
          </w:p>
        </w:tc>
        <w:tc>
          <w:tcPr>
            <w:tcW w:w="4190" w:type="dxa"/>
            <w:tcBorders/>
            <w:shd w:fill="auto" w:val="clear"/>
            <w:vAlign w:val="center"/>
          </w:tcPr>
          <w:p>
            <w:pPr>
              <w:pStyle w:val="TableContents"/>
              <w:spacing w:before="0" w:after="283"/>
              <w:jc w:val="both"/>
              <w:rPr/>
            </w:pPr>
            <w:r>
              <w:rPr/>
              <w:t>Represents 29,985 shares of common stock.</w:t>
            </w:r>
          </w:p>
        </w:tc>
      </w:tr>
    </w:tbl>
    <w:p>
      <w:pPr>
        <w:pStyle w:val="TextBody"/>
        <w:spacing w:before="0" w:after="0"/>
        <w:rPr>
          <w:caps w:val="false"/>
          <w:smallCaps w:val="false"/>
        </w:rPr>
      </w:pPr>
      <w:r>
        <w:rPr>
          <w:caps w:val="false"/>
          <w:smallCaps w:val="false"/>
        </w:rPr>
        <w:t> </w:t>
      </w:r>
    </w:p>
    <w:tbl>
      <w:tblPr>
        <w:tblW w:w="7428" w:type="dxa"/>
        <w:jc w:val="left"/>
        <w:tblInd w:w="0" w:type="dxa"/>
        <w:tblCellMar>
          <w:top w:w="0" w:type="dxa"/>
          <w:left w:w="0" w:type="dxa"/>
          <w:bottom w:w="0" w:type="dxa"/>
          <w:right w:w="0" w:type="dxa"/>
        </w:tblCellMar>
      </w:tblPr>
      <w:tblGrid>
        <w:gridCol w:w="38"/>
        <w:gridCol w:w="290"/>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(7)</w:t>
            </w:r>
          </w:p>
        </w:tc>
        <w:tc>
          <w:tcPr>
            <w:tcW w:w="7100" w:type="dxa"/>
            <w:tcBorders/>
            <w:shd w:fill="auto" w:val="clear"/>
            <w:vAlign w:val="center"/>
          </w:tcPr>
          <w:p>
            <w:pPr>
              <w:pStyle w:val="TableContents"/>
              <w:spacing w:before="0" w:after="283"/>
              <w:jc w:val="both"/>
              <w:rPr/>
            </w:pPr>
            <w:r>
              <w:rPr/>
              <w:t>Represents 30,681 shares of common stock and 4,170 deferred stock units.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5"/>
        <w:gridCol w:w="9892"/>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(8)</w:t>
            </w:r>
          </w:p>
        </w:tc>
        <w:tc>
          <w:tcPr>
            <w:tcW w:w="9892" w:type="dxa"/>
            <w:tcBorders/>
            <w:shd w:fill="auto" w:val="clear"/>
            <w:vAlign w:val="center"/>
          </w:tcPr>
          <w:p>
            <w:pPr>
              <w:pStyle w:val="TableContents"/>
              <w:spacing w:before="0" w:after="283"/>
              <w:jc w:val="both"/>
              <w:rPr/>
            </w:pPr>
            <w:r>
              <w:rPr/>
              <w:t>Represents 31,198 shares of common stock, 6,868 restricted stock units, and 188 options to purchase shares of common stock.</w:t>
            </w:r>
          </w:p>
        </w:tc>
      </w:tr>
    </w:tbl>
    <w:p>
      <w:pPr>
        <w:pStyle w:val="TextBody"/>
        <w:spacing w:before="0" w:after="0"/>
        <w:rPr>
          <w:caps w:val="false"/>
          <w:smallCaps w:val="false"/>
        </w:rPr>
      </w:pPr>
      <w:r>
        <w:rPr>
          <w:caps w:val="false"/>
          <w:smallCaps w:val="false"/>
        </w:rPr>
        <w:t> </w:t>
      </w:r>
    </w:p>
    <w:tbl>
      <w:tblPr>
        <w:tblW w:w="7428" w:type="dxa"/>
        <w:jc w:val="left"/>
        <w:tblInd w:w="0" w:type="dxa"/>
        <w:tblCellMar>
          <w:top w:w="0" w:type="dxa"/>
          <w:left w:w="0" w:type="dxa"/>
          <w:bottom w:w="0" w:type="dxa"/>
          <w:right w:w="0" w:type="dxa"/>
        </w:tblCellMar>
      </w:tblPr>
      <w:tblGrid>
        <w:gridCol w:w="38"/>
        <w:gridCol w:w="290"/>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(9)</w:t>
            </w:r>
          </w:p>
        </w:tc>
        <w:tc>
          <w:tcPr>
            <w:tcW w:w="7100" w:type="dxa"/>
            <w:tcBorders/>
            <w:shd w:fill="auto" w:val="clear"/>
            <w:vAlign w:val="center"/>
          </w:tcPr>
          <w:p>
            <w:pPr>
              <w:pStyle w:val="TableContents"/>
              <w:spacing w:before="0" w:after="283"/>
              <w:jc w:val="both"/>
              <w:rPr/>
            </w:pPr>
            <w:r>
              <w:rPr/>
              <w:t>Represents 12,967 shares of common stock and 6,868 deferred stock units.</w:t>
            </w:r>
          </w:p>
        </w:tc>
      </w:tr>
    </w:tbl>
    <w:p>
      <w:pPr>
        <w:pStyle w:val="TextBody"/>
        <w:spacing w:before="0" w:after="0"/>
        <w:rPr>
          <w:caps w:val="false"/>
          <w:smallCaps w:val="false"/>
        </w:rPr>
      </w:pPr>
      <w:r>
        <w:rPr>
          <w:caps w:val="false"/>
          <w:smallCaps w:val="false"/>
        </w:rPr>
        <w:t> </w:t>
      </w:r>
    </w:p>
    <w:tbl>
      <w:tblPr>
        <w:tblW w:w="9873" w:type="dxa"/>
        <w:jc w:val="left"/>
        <w:tblInd w:w="0" w:type="dxa"/>
        <w:tblCellMar>
          <w:top w:w="0" w:type="dxa"/>
          <w:left w:w="0" w:type="dxa"/>
          <w:bottom w:w="0" w:type="dxa"/>
          <w:right w:w="0" w:type="dxa"/>
        </w:tblCellMar>
      </w:tblPr>
      <w:tblGrid>
        <w:gridCol w:w="38"/>
        <w:gridCol w:w="410"/>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pPr>
            <w:r>
              <w:rPr/>
              <w:t>(10)</w:t>
            </w:r>
          </w:p>
        </w:tc>
        <w:tc>
          <w:tcPr>
            <w:tcW w:w="9425" w:type="dxa"/>
            <w:tcBorders/>
            <w:shd w:fill="auto" w:val="clear"/>
            <w:vAlign w:val="center"/>
          </w:tcPr>
          <w:p>
            <w:pPr>
              <w:pStyle w:val="TableContents"/>
              <w:spacing w:before="0" w:after="283"/>
              <w:jc w:val="both"/>
              <w:rPr/>
            </w:pPr>
            <w:r>
              <w:rPr/>
              <w:t>Represents 6,437 shares of common stock and 22,805 options to purchase shares of common stock.</w:t>
            </w:r>
          </w:p>
        </w:tc>
      </w:tr>
    </w:tbl>
    <w:p>
      <w:pPr>
        <w:pStyle w:val="TextBody"/>
        <w:spacing w:before="0" w:after="0"/>
        <w:rPr>
          <w:caps w:val="false"/>
          <w:smallCaps w:val="false"/>
        </w:rPr>
      </w:pPr>
      <w:r>
        <w:rPr>
          <w:caps w:val="false"/>
          <w:smallCaps w:val="false"/>
        </w:rPr>
        <w:t> </w:t>
      </w:r>
    </w:p>
    <w:tbl>
      <w:tblPr>
        <w:tblW w:w="7323" w:type="dxa"/>
        <w:jc w:val="left"/>
        <w:tblInd w:w="0" w:type="dxa"/>
        <w:tblCellMar>
          <w:top w:w="0" w:type="dxa"/>
          <w:left w:w="0" w:type="dxa"/>
          <w:bottom w:w="0" w:type="dxa"/>
          <w:right w:w="0" w:type="dxa"/>
        </w:tblCellMar>
      </w:tblPr>
      <w:tblGrid>
        <w:gridCol w:w="38"/>
        <w:gridCol w:w="410"/>
        <w:gridCol w:w="6875"/>
      </w:tblGrid>
      <w:tr>
        <w:trPr/>
        <w:tc>
          <w:tcPr>
            <w:tcW w:w="3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pPr>
            <w:r>
              <w:rPr/>
              <w:t>(11)</w:t>
            </w:r>
          </w:p>
        </w:tc>
        <w:tc>
          <w:tcPr>
            <w:tcW w:w="6875" w:type="dxa"/>
            <w:tcBorders/>
            <w:shd w:fill="auto" w:val="clear"/>
            <w:vAlign w:val="center"/>
          </w:tcPr>
          <w:p>
            <w:pPr>
              <w:pStyle w:val="TableContents"/>
              <w:spacing w:before="0" w:after="283"/>
              <w:jc w:val="both"/>
              <w:rPr/>
            </w:pPr>
            <w:r>
              <w:rPr/>
              <w:t>Represents 3,336 shares of common stock and 834 restricted stock units.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905"/>
        <w:gridCol w:w="9262"/>
      </w:tblGrid>
      <w:tr>
        <w:trPr/>
        <w:tc>
          <w:tcPr>
            <w:tcW w:w="38"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pPr>
            <w:r>
              <w:rPr/>
              <w:t>ITEM 13.</w:t>
            </w:r>
          </w:p>
        </w:tc>
        <w:tc>
          <w:tcPr>
            <w:tcW w:w="9262" w:type="dxa"/>
            <w:tcBorders/>
            <w:shd w:fill="auto" w:val="clear"/>
            <w:vAlign w:val="center"/>
          </w:tcPr>
          <w:p>
            <w:pPr>
              <w:pStyle w:val="TableContents"/>
              <w:spacing w:before="0" w:after="283"/>
              <w:jc w:val="both"/>
              <w:rPr/>
            </w:pPr>
            <w:r>
              <w:rPr>
                <w:u w:val="single"/>
              </w:rPr>
              <w:t>CERTAIN RELATIONSHIPS AND RELATED TRANSACTIONS, AND DIRECTOR INDEPENDENCE</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listed on the Nasdaq Capital Stock Market. Under Nasdaq rules, independent directors must comprise a majority of the Company’s board of directors.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undertaken a review of the independence of each director and considered whether each director has a material relationship with the Company that could compromise his or her ability to exercise independent judgment in carrying out his responsibilities. As a result of this review, the Board has determined that each of the Company’s directors other than Joseph P. Errico and Daniel S. Goldberger, the Company’s CEO, and Joseph P. Errico, one of our founders and the former Chief Science and Strategy Officer and Chairman of the Board, are “independent directors” as defined under the applicable rules and regulations of the SEC and the listing requirements and rules of Nasdaq. In making these determinations, the Board has reviewed and discussed information provided by the directors and the Company with regard to each director’s business and personal activities and relationships as they may relate to the Company and its management, including the beneficial ownership of Company capital stock by each non-employee director, any relevant family relationships, and the transactions involving directors described in the section entitled “Certain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21 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41" w:name="a22"/>
      <w:bookmarkEnd w:id="41"/>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transactions since January 1, 2022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spacing w:before="0" w:after="0"/>
        <w:ind w:left="0" w:right="0" w:hanging="0"/>
        <w:jc w:val="both"/>
        <w:rPr>
          <w:caps w:val="false"/>
          <w:smallCaps w:val="false"/>
        </w:rPr>
      </w:pPr>
      <w:r>
        <w:rPr>
          <w:caps w:val="false"/>
          <w:smallCaps w:val="false"/>
        </w:rPr>
        <w:t> </w:t>
      </w:r>
    </w:p>
    <w:tbl>
      <w:tblPr>
        <w:tblW w:w="6498" w:type="dxa"/>
        <w:jc w:val="left"/>
        <w:tblInd w:w="0" w:type="dxa"/>
        <w:tblCellMar>
          <w:top w:w="0" w:type="dxa"/>
          <w:left w:w="0" w:type="dxa"/>
          <w:bottom w:w="0" w:type="dxa"/>
          <w:right w:w="0" w:type="dxa"/>
        </w:tblCellMar>
      </w:tblPr>
      <w:tblGrid>
        <w:gridCol w:w="38"/>
        <w:gridCol w:w="965"/>
        <w:gridCol w:w="549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pPr>
            <w:r>
              <w:rPr/>
              <w:t>ITEM 14.</w:t>
            </w:r>
          </w:p>
        </w:tc>
        <w:tc>
          <w:tcPr>
            <w:tcW w:w="5495" w:type="dxa"/>
            <w:tcBorders/>
            <w:shd w:fill="auto" w:val="clear"/>
            <w:vAlign w:val="center"/>
          </w:tcPr>
          <w:p>
            <w:pPr>
              <w:pStyle w:val="TableContents"/>
              <w:spacing w:before="0" w:after="283"/>
              <w:jc w:val="both"/>
              <w:rPr/>
            </w:pPr>
            <w:r>
              <w:rPr>
                <w:u w:val="single"/>
              </w:rPr>
              <w:t>PRINCIPAL ACCOUNTING FEES AND SERVICES</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the Company for the fiscal years ended December 31, 2022 and December 31, 2021 by Marcum LLP, the Company’s principal accountants for these each of these two fiscal years.</w:t>
      </w:r>
    </w:p>
    <w:p>
      <w:pPr>
        <w:pStyle w:val="TextBody"/>
        <w:spacing w:before="0" w:after="0"/>
        <w:ind w:left="0" w:right="0" w:hanging="0"/>
        <w:jc w:val="both"/>
        <w:rPr>
          <w:caps w:val="false"/>
          <w:smallCaps w:val="false"/>
        </w:rPr>
      </w:pPr>
      <w:r>
        <w:rPr>
          <w:caps w:val="false"/>
          <w:smallCaps w:val="false"/>
        </w:rPr>
        <w:t> </w:t>
      </w:r>
    </w:p>
    <w:tbl>
      <w:tblPr>
        <w:tblW w:w="3848" w:type="dxa"/>
        <w:jc w:val="left"/>
        <w:tblInd w:w="0" w:type="dxa"/>
        <w:tblCellMar>
          <w:top w:w="0" w:type="dxa"/>
          <w:left w:w="0" w:type="dxa"/>
          <w:bottom w:w="0" w:type="dxa"/>
          <w:right w:w="0" w:type="dxa"/>
        </w:tblCellMar>
      </w:tblPr>
      <w:tblGrid>
        <w:gridCol w:w="1595"/>
        <w:gridCol w:w="60"/>
        <w:gridCol w:w="172"/>
        <w:gridCol w:w="959"/>
        <w:gridCol w:w="82"/>
        <w:gridCol w:w="980"/>
      </w:tblGrid>
      <w:tr>
        <w:trPr/>
        <w:tc>
          <w:tcPr>
            <w:tcW w:w="15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193" w:type="dxa"/>
            <w:gridSpan w:val="4"/>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Year Ended December 31</w:t>
            </w:r>
          </w:p>
        </w:tc>
      </w:tr>
      <w:tr>
        <w:trPr/>
        <w:tc>
          <w:tcPr>
            <w:tcW w:w="159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172"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959"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2022</w:t>
            </w:r>
          </w:p>
        </w:tc>
        <w:tc>
          <w:tcPr>
            <w:tcW w:w="82" w:type="dxa"/>
            <w:tcBorders/>
            <w:shd w:fill="auto" w:val="clear"/>
            <w:vAlign w:val="center"/>
          </w:tcPr>
          <w:p>
            <w:pPr>
              <w:pStyle w:val="TableContents"/>
              <w:spacing w:before="0" w:after="283"/>
              <w:jc w:val="center"/>
              <w:rPr/>
            </w:pPr>
            <w:r>
              <w:rPr/>
              <w:t> </w:t>
            </w:r>
          </w:p>
        </w:tc>
        <w:tc>
          <w:tcPr>
            <w:tcW w:w="980"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2021</w:t>
            </w:r>
          </w:p>
        </w:tc>
      </w:tr>
      <w:tr>
        <w:trPr/>
        <w:tc>
          <w:tcPr>
            <w:tcW w:w="1595" w:type="dxa"/>
            <w:tcBorders/>
            <w:shd w:fill="CCEEFF" w:val="clear"/>
            <w:vAlign w:val="center"/>
          </w:tcPr>
          <w:p>
            <w:pPr>
              <w:pStyle w:val="TableContents"/>
              <w:spacing w:before="0" w:after="283"/>
              <w:rPr>
                <w:sz w:val="20"/>
              </w:rPr>
            </w:pPr>
            <w:r>
              <w:rPr>
                <w:sz w:val="20"/>
              </w:rPr>
              <w:t>Audit Fees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sz w:val="20"/>
              </w:rPr>
            </w:pPr>
            <w:r>
              <w:rPr>
                <w:sz w:val="20"/>
              </w:rPr>
              <w:t>$</w:t>
            </w:r>
          </w:p>
        </w:tc>
        <w:tc>
          <w:tcPr>
            <w:tcW w:w="959" w:type="dxa"/>
            <w:tcBorders/>
            <w:shd w:fill="CCEEFF" w:val="clear"/>
            <w:vAlign w:val="center"/>
          </w:tcPr>
          <w:p>
            <w:pPr>
              <w:pStyle w:val="TableContents"/>
              <w:spacing w:before="0" w:after="283"/>
              <w:jc w:val="right"/>
              <w:rPr>
                <w:sz w:val="20"/>
              </w:rPr>
            </w:pPr>
            <w:r>
              <w:rPr>
                <w:sz w:val="20"/>
              </w:rPr>
              <w:t>278,000</w:t>
            </w:r>
          </w:p>
        </w:tc>
        <w:tc>
          <w:tcPr>
            <w:tcW w:w="82"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sz w:val="20"/>
              </w:rPr>
            </w:pPr>
            <w:r>
              <w:rPr>
                <w:sz w:val="20"/>
              </w:rPr>
              <w:t>297,000</w:t>
            </w:r>
          </w:p>
        </w:tc>
      </w:tr>
      <w:tr>
        <w:trPr/>
        <w:tc>
          <w:tcPr>
            <w:tcW w:w="1595" w:type="dxa"/>
            <w:tcBorders/>
            <w:shd w:fill="FFFFFF" w:val="clear"/>
            <w:vAlign w:val="center"/>
          </w:tcPr>
          <w:p>
            <w:pPr>
              <w:pStyle w:val="TableContents"/>
              <w:spacing w:before="0" w:after="283"/>
              <w:rPr>
                <w:sz w:val="20"/>
              </w:rPr>
            </w:pPr>
            <w:r>
              <w:rPr>
                <w:sz w:val="20"/>
              </w:rPr>
              <w:t>Audit-Related Fees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59" w:type="dxa"/>
            <w:tcBorders/>
            <w:shd w:fill="FFFFFF" w:val="clear"/>
            <w:vAlign w:val="center"/>
          </w:tcPr>
          <w:p>
            <w:pPr>
              <w:pStyle w:val="TableContents"/>
              <w:spacing w:before="0" w:after="283"/>
              <w:jc w:val="right"/>
              <w:rPr>
                <w:sz w:val="20"/>
              </w:rPr>
            </w:pPr>
            <w:r>
              <w:rPr>
                <w:sz w:val="20"/>
              </w:rPr>
              <w:t>-</w:t>
            </w:r>
          </w:p>
        </w:tc>
        <w:tc>
          <w:tcPr>
            <w:tcW w:w="82"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sz w:val="20"/>
              </w:rPr>
            </w:pPr>
            <w:r>
              <w:rPr>
                <w:sz w:val="20"/>
              </w:rPr>
              <w:t>-</w:t>
            </w:r>
          </w:p>
        </w:tc>
      </w:tr>
      <w:tr>
        <w:trPr/>
        <w:tc>
          <w:tcPr>
            <w:tcW w:w="1595" w:type="dxa"/>
            <w:tcBorders/>
            <w:shd w:fill="CCEEFF" w:val="clear"/>
            <w:vAlign w:val="center"/>
          </w:tcPr>
          <w:p>
            <w:pPr>
              <w:pStyle w:val="TableContents"/>
              <w:spacing w:before="0" w:after="283"/>
              <w:rPr>
                <w:sz w:val="20"/>
              </w:rPr>
            </w:pPr>
            <w:r>
              <w:rPr>
                <w:sz w:val="20"/>
              </w:rPr>
              <w:t>Tax Fees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jc w:val="right"/>
              <w:rPr>
                <w:sz w:val="20"/>
              </w:rPr>
            </w:pPr>
            <w:r>
              <w:rPr>
                <w:sz w:val="20"/>
              </w:rPr>
              <w:t>-</w:t>
            </w:r>
          </w:p>
        </w:tc>
        <w:tc>
          <w:tcPr>
            <w:tcW w:w="82"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sz w:val="20"/>
              </w:rPr>
            </w:pPr>
            <w:r>
              <w:rPr>
                <w:sz w:val="20"/>
              </w:rPr>
              <w:t>-</w:t>
            </w:r>
          </w:p>
        </w:tc>
      </w:tr>
      <w:tr>
        <w:trPr/>
        <w:tc>
          <w:tcPr>
            <w:tcW w:w="1595" w:type="dxa"/>
            <w:tcBorders/>
            <w:shd w:fill="FFFFFF" w:val="clear"/>
            <w:vAlign w:val="center"/>
          </w:tcPr>
          <w:p>
            <w:pPr>
              <w:pStyle w:val="TableContents"/>
              <w:spacing w:before="0" w:after="283"/>
              <w:rPr>
                <w:sz w:val="20"/>
              </w:rPr>
            </w:pPr>
            <w:r>
              <w:rPr>
                <w:sz w:val="20"/>
              </w:rPr>
              <w:t>Other Fees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59"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2" w:type="dxa"/>
            <w:tcBorders/>
            <w:shd w:fill="FFFFFF" w:val="clear"/>
            <w:vAlign w:val="center"/>
          </w:tcPr>
          <w:p>
            <w:pPr>
              <w:pStyle w:val="TableContents"/>
              <w:spacing w:before="0" w:after="283"/>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r>
      <w:tr>
        <w:trPr/>
        <w:tc>
          <w:tcPr>
            <w:tcW w:w="1595" w:type="dxa"/>
            <w:tcBorders/>
            <w:shd w:fill="CCEEFF" w:val="clear"/>
            <w:vAlign w:val="center"/>
          </w:tcPr>
          <w:p>
            <w:pPr>
              <w:pStyle w:val="TableContents"/>
              <w:spacing w:before="0" w:after="283"/>
              <w:rPr>
                <w:sz w:val="20"/>
              </w:rPr>
            </w:pPr>
            <w:r>
              <w:rPr>
                <w:sz w:val="20"/>
              </w:rPr>
              <w:t>Total Fees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sz w:val="20"/>
              </w:rPr>
            </w:pPr>
            <w:r>
              <w:rPr>
                <w:sz w:val="20"/>
              </w:rPr>
              <w:t>$</w:t>
            </w:r>
          </w:p>
        </w:tc>
        <w:tc>
          <w:tcPr>
            <w:tcW w:w="959" w:type="dxa"/>
            <w:tcBorders/>
            <w:shd w:fill="CCEEFF" w:val="clear"/>
            <w:vAlign w:val="center"/>
          </w:tcPr>
          <w:p>
            <w:pPr>
              <w:pStyle w:val="TableContents"/>
              <w:spacing w:before="0" w:after="283"/>
              <w:jc w:val="right"/>
              <w:rPr>
                <w:sz w:val="20"/>
              </w:rPr>
            </w:pPr>
            <w:r>
              <w:rPr>
                <w:sz w:val="20"/>
              </w:rPr>
              <w:t>278,000</w:t>
            </w:r>
          </w:p>
        </w:tc>
        <w:tc>
          <w:tcPr>
            <w:tcW w:w="82"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sz w:val="20"/>
              </w:rPr>
            </w:pPr>
            <w:r>
              <w:rPr>
                <w:sz w:val="20"/>
              </w:rPr>
              <w:t>297,000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 fees billed for the fiscal year shown for professional services for the audit of the Company’s annual financial statements, quarterly reviews, and review of the Company’s registration statements and other SEC filings.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22 </w:t>
      </w:r>
    </w:p>
    <w:p>
      <w:pPr>
        <w:pStyle w:val="TextBody"/>
        <w:spacing w:before="0" w:after="0"/>
        <w:ind w:left="0" w:right="0" w:hanging="0"/>
        <w:rPr/>
      </w:pPr>
      <w:r>
        <w:rPr/>
        <w:t> </w:t>
      </w:r>
    </w:p>
    <w:p>
      <w:pPr>
        <w:pStyle w:val="TextBody"/>
        <w:spacing w:before="0" w:after="0"/>
        <w:ind w:left="0" w:right="0" w:hanging="0"/>
        <w:jc w:val="both"/>
        <w:rPr>
          <w:caps w:val="false"/>
          <w:smallCaps w:val="false"/>
        </w:rPr>
      </w:pPr>
      <w:bookmarkStart w:id="42" w:name="a23"/>
      <w:bookmarkEnd w:id="42"/>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spacing w:before="0" w:after="0"/>
        <w:ind w:left="0" w:right="0" w:hanging="0"/>
        <w:jc w:val="center"/>
        <w:rPr>
          <w:caps w:val="false"/>
          <w:smallCaps w:val="false"/>
        </w:rPr>
      </w:pPr>
      <w:r>
        <w:rPr>
          <w:caps w:val="false"/>
          <w:smallCaps w:val="false"/>
        </w:rPr>
        <w:t> </w:t>
      </w:r>
    </w:p>
    <w:tbl>
      <w:tblPr>
        <w:tblW w:w="7188" w:type="dxa"/>
        <w:jc w:val="left"/>
        <w:tblInd w:w="0" w:type="dxa"/>
        <w:tblCellMar>
          <w:top w:w="0" w:type="dxa"/>
          <w:left w:w="0" w:type="dxa"/>
          <w:bottom w:w="0" w:type="dxa"/>
          <w:right w:w="0" w:type="dxa"/>
        </w:tblCellMar>
      </w:tblPr>
      <w:tblGrid>
        <w:gridCol w:w="38"/>
        <w:gridCol w:w="965"/>
        <w:gridCol w:w="618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pPr>
            <w:r>
              <w:rPr/>
              <w:t>ITEM 15.</w:t>
            </w:r>
          </w:p>
        </w:tc>
        <w:tc>
          <w:tcPr>
            <w:tcW w:w="6185" w:type="dxa"/>
            <w:tcBorders/>
            <w:shd w:fill="auto" w:val="clear"/>
            <w:vAlign w:val="center"/>
          </w:tcPr>
          <w:p>
            <w:pPr>
              <w:pStyle w:val="TableContents"/>
              <w:spacing w:before="0" w:after="283"/>
              <w:jc w:val="both"/>
              <w:rPr/>
            </w:pPr>
            <w:r>
              <w:rPr>
                <w:u w:val="single"/>
              </w:rPr>
              <w:t>EXHIBITS AND FINANCIAL STATEMENT SCHEDULES</w:t>
            </w:r>
            <w:r>
              <w:rPr/>
              <w:t>.</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Exhibits</w:t>
      </w:r>
    </w:p>
    <w:p>
      <w:pPr>
        <w:pStyle w:val="TextBody"/>
        <w:spacing w:before="0" w:after="0"/>
        <w:ind w:left="0" w:right="0" w:hanging="0"/>
        <w:jc w:val="both"/>
        <w:rPr>
          <w:caps w:val="false"/>
          <w:smallCaps w:val="false"/>
        </w:rPr>
      </w:pPr>
      <w:r>
        <w:rPr>
          <w:caps w:val="false"/>
          <w:smallCaps w:val="false"/>
        </w:rPr>
        <w:t> </w:t>
      </w:r>
    </w:p>
    <w:tbl>
      <w:tblPr>
        <w:tblW w:w="2118" w:type="dxa"/>
        <w:jc w:val="left"/>
        <w:tblInd w:w="0" w:type="dxa"/>
        <w:tblCellMar>
          <w:top w:w="0" w:type="dxa"/>
          <w:left w:w="0" w:type="dxa"/>
          <w:bottom w:w="0" w:type="dxa"/>
          <w:right w:w="0" w:type="dxa"/>
        </w:tblCellMar>
      </w:tblPr>
      <w:tblGrid>
        <w:gridCol w:w="38"/>
        <w:gridCol w:w="875"/>
        <w:gridCol w:w="1205"/>
      </w:tblGrid>
      <w:tr>
        <w:trPr/>
        <w:tc>
          <w:tcPr>
            <w:tcW w:w="38"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jc w:val="left"/>
              <w:rPr>
                <w:b/>
              </w:rPr>
            </w:pPr>
            <w:r>
              <w:rPr>
                <w:b/>
              </w:rPr>
              <w:t>Exhibit</w:t>
            </w:r>
          </w:p>
          <w:p>
            <w:pPr>
              <w:pStyle w:val="TableContents"/>
              <w:spacing w:before="0" w:after="283"/>
              <w:jc w:val="left"/>
              <w:rPr>
                <w:b/>
              </w:rPr>
            </w:pPr>
            <w:r>
              <w:rPr>
                <w:b/>
              </w:rPr>
              <w:t>Number</w:t>
            </w:r>
          </w:p>
        </w:tc>
        <w:tc>
          <w:tcPr>
            <w:tcW w:w="1205" w:type="dxa"/>
            <w:tcBorders>
              <w:bottom w:val="single" w:sz="8" w:space="0" w:color="000000"/>
            </w:tcBorders>
            <w:shd w:fill="auto" w:val="clear"/>
            <w:tcMar>
              <w:bottom w:w="28" w:type="dxa"/>
            </w:tcMar>
            <w:vAlign w:val="center"/>
          </w:tcPr>
          <w:p>
            <w:pPr>
              <w:pStyle w:val="TableContents"/>
              <w:spacing w:before="0" w:after="283"/>
              <w:jc w:val="left"/>
              <w:rPr>
                <w:b/>
              </w:rPr>
            </w:pPr>
            <w:r>
              <w:rPr>
                <w:b/>
              </w:rPr>
              <w:t>Description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3.1</w:t>
            </w:r>
          </w:p>
        </w:tc>
        <w:tc>
          <w:tcPr>
            <w:tcW w:w="9847" w:type="dxa"/>
            <w:tcBorders/>
            <w:shd w:fill="auto" w:val="clear"/>
            <w:vAlign w:val="center"/>
          </w:tcPr>
          <w:p>
            <w:pPr>
              <w:pStyle w:val="TableContents"/>
              <w:spacing w:before="0" w:after="283"/>
              <w:rPr/>
            </w:pPr>
            <w:hyperlink r:id="rId5">
              <w:r>
                <w:rPr>
                  <w:rStyle w:val="InternetLink"/>
                </w:rPr>
                <w:t>Certificate of Incorporation of electroCore, Inc, incorporated by reference to the Company’s Quarterly Report on Form 10-Q for the period ended June 30, 2019 as filed with the Commission on August 14, 2019.</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3.2</w:t>
            </w:r>
          </w:p>
        </w:tc>
        <w:tc>
          <w:tcPr>
            <w:tcW w:w="9847" w:type="dxa"/>
            <w:tcBorders/>
            <w:shd w:fill="auto" w:val="clear"/>
            <w:vAlign w:val="center"/>
          </w:tcPr>
          <w:p>
            <w:pPr>
              <w:pStyle w:val="TableContents"/>
              <w:spacing w:before="0" w:after="283"/>
              <w:rPr/>
            </w:pPr>
            <w:hyperlink r:id="rId6">
              <w:r>
                <w:rPr>
                  <w:rStyle w:val="InternetLink"/>
                </w:rPr>
                <w:t>Amended and Restated Bylaws of electroCore, Inc., incorporated by reference to the Company's Current Report on Form 8-K as filed with Commission on December 3, 2021.</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3.3</w:t>
            </w:r>
          </w:p>
        </w:tc>
        <w:tc>
          <w:tcPr>
            <w:tcW w:w="9847" w:type="dxa"/>
            <w:tcBorders/>
            <w:shd w:fill="auto" w:val="clear"/>
            <w:vAlign w:val="center"/>
          </w:tcPr>
          <w:p>
            <w:pPr>
              <w:pStyle w:val="TableContents"/>
              <w:spacing w:before="0" w:after="283"/>
              <w:rPr/>
            </w:pPr>
            <w:hyperlink r:id="rId7">
              <w:r>
                <w:rPr>
                  <w:rStyle w:val="InternetLink"/>
                </w:rPr>
                <w:t>Certificate of Designation of the Series A Preferred Stock of the Company, incorporated by reference to the Company's Current Report on Form 8-K as filed with Commission on December 7, 2022</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3.4</w:t>
            </w:r>
          </w:p>
        </w:tc>
        <w:tc>
          <w:tcPr>
            <w:tcW w:w="9847" w:type="dxa"/>
            <w:tcBorders/>
            <w:shd w:fill="auto" w:val="clear"/>
            <w:vAlign w:val="center"/>
          </w:tcPr>
          <w:p>
            <w:pPr>
              <w:pStyle w:val="TableContents"/>
              <w:spacing w:before="0" w:after="283"/>
              <w:rPr/>
            </w:pPr>
            <w:hyperlink r:id="rId8">
              <w:r>
                <w:rPr>
                  <w:rStyle w:val="InternetLink"/>
                </w:rPr>
                <w:t>Certificate of Elimination of the Series A Preferred Stock of the Company, incorporated by reference to the Company's Current Report on Form 8-K as filed with Commission on February 14,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3.5</w:t>
            </w:r>
          </w:p>
        </w:tc>
        <w:tc>
          <w:tcPr>
            <w:tcW w:w="9847" w:type="dxa"/>
            <w:tcBorders/>
            <w:shd w:fill="auto" w:val="clear"/>
            <w:vAlign w:val="center"/>
          </w:tcPr>
          <w:p>
            <w:pPr>
              <w:pStyle w:val="TableContents"/>
              <w:spacing w:before="0" w:after="283"/>
              <w:rPr/>
            </w:pPr>
            <w:hyperlink r:id="rId9">
              <w:r>
                <w:rPr>
                  <w:rStyle w:val="InternetLink"/>
                </w:rPr>
                <w:t>Certificate of Amendment to the Certificate of Incorporation, incorporated by reference to the Company's Current Report on Form 8-K as filed with Commission on February 14,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4.1</w:t>
            </w:r>
          </w:p>
        </w:tc>
        <w:tc>
          <w:tcPr>
            <w:tcW w:w="9847" w:type="dxa"/>
            <w:tcBorders/>
            <w:shd w:fill="auto" w:val="clear"/>
            <w:vAlign w:val="center"/>
          </w:tcPr>
          <w:p>
            <w:pPr>
              <w:pStyle w:val="TableContents"/>
              <w:spacing w:before="0" w:after="283"/>
              <w:rPr/>
            </w:pPr>
            <w:hyperlink r:id="rId10">
              <w:r>
                <w:rPr>
                  <w:rStyle w:val="InternetLink"/>
                </w:rPr>
                <w:t>Registration Rights Agreement, dated March 27, 2020, between electroCore, Inc. and Lincoln Park Capital Fund, LLC, incorporated by reference to the Company’s Current Report on Form 8-K as filed with Commission on March 27, 2020.</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jc w:val="left"/>
              <w:rPr/>
            </w:pPr>
            <w:r>
              <w:rPr/>
              <w:t>4.2</w:t>
            </w:r>
          </w:p>
        </w:tc>
        <w:tc>
          <w:tcPr>
            <w:tcW w:w="9847" w:type="dxa"/>
            <w:tcBorders/>
            <w:shd w:fill="auto" w:val="clear"/>
            <w:vAlign w:val="center"/>
          </w:tcPr>
          <w:p>
            <w:pPr>
              <w:pStyle w:val="TableContents"/>
              <w:spacing w:before="0" w:after="283"/>
              <w:rPr/>
            </w:pPr>
            <w:hyperlink r:id="rId11">
              <w:r>
                <w:rPr>
                  <w:rStyle w:val="InternetLink"/>
                </w:rPr>
                <w:t>Description of Capital Stock,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509"/>
        <w:gridCol w:w="9658"/>
      </w:tblGrid>
      <w:tr>
        <w:trPr/>
        <w:tc>
          <w:tcPr>
            <w:tcW w:w="3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jc w:val="left"/>
              <w:rPr/>
            </w:pPr>
            <w:r>
              <w:rPr/>
              <w:t>10.2†</w:t>
            </w:r>
          </w:p>
        </w:tc>
        <w:tc>
          <w:tcPr>
            <w:tcW w:w="9658" w:type="dxa"/>
            <w:tcBorders/>
            <w:shd w:fill="auto" w:val="clear"/>
            <w:vAlign w:val="center"/>
          </w:tcPr>
          <w:p>
            <w:pPr>
              <w:pStyle w:val="TableContents"/>
              <w:spacing w:before="0" w:after="283"/>
              <w:rPr/>
            </w:pPr>
            <w:hyperlink r:id="rId12">
              <w:r>
                <w:rPr>
                  <w:rStyle w:val="InternetLink"/>
                </w:rPr>
                <w:t>electroCore, Inc. 2018 Omnibus Equity Incentive Plan, incorporated by reference to the Company’s Registration Statement on Form S-8, Registration No. 333-225864.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8"/>
        <w:gridCol w:w="9679"/>
      </w:tblGrid>
      <w:tr>
        <w:trPr/>
        <w:tc>
          <w:tcPr>
            <w:tcW w:w="3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jc w:val="left"/>
              <w:rPr/>
            </w:pPr>
            <w:r>
              <w:rPr/>
              <w:t>10.3†</w:t>
            </w:r>
          </w:p>
        </w:tc>
        <w:tc>
          <w:tcPr>
            <w:tcW w:w="9679" w:type="dxa"/>
            <w:tcBorders/>
            <w:shd w:fill="auto" w:val="clear"/>
            <w:vAlign w:val="center"/>
          </w:tcPr>
          <w:p>
            <w:pPr>
              <w:pStyle w:val="TableContents"/>
              <w:spacing w:before="0" w:after="283"/>
              <w:rPr/>
            </w:pPr>
            <w:hyperlink r:id="rId13">
              <w:r>
                <w:rPr>
                  <w:rStyle w:val="InternetLink"/>
                </w:rPr>
                <w:t>Form of Employee Restricted Stock Unit Agreement for electroCore, Inc. 2018 Omnibus Equity Incentive Plan,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9"/>
        <w:gridCol w:w="9678"/>
      </w:tblGrid>
      <w:tr>
        <w:trPr/>
        <w:tc>
          <w:tcPr>
            <w:tcW w:w="38"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jc w:val="left"/>
              <w:rPr/>
            </w:pPr>
            <w:r>
              <w:rPr/>
              <w:t>10.4†</w:t>
            </w:r>
          </w:p>
        </w:tc>
        <w:tc>
          <w:tcPr>
            <w:tcW w:w="9678" w:type="dxa"/>
            <w:tcBorders/>
            <w:shd w:fill="auto" w:val="clear"/>
            <w:vAlign w:val="center"/>
          </w:tcPr>
          <w:p>
            <w:pPr>
              <w:pStyle w:val="TableContents"/>
              <w:spacing w:before="0" w:after="283"/>
              <w:rPr/>
            </w:pPr>
            <w:hyperlink r:id="rId14">
              <w:r>
                <w:rPr>
                  <w:rStyle w:val="InternetLink"/>
                </w:rPr>
                <w:t>Form of Non-qualified Stock Option Agreement for electroCore, Inc. 2018 Omnibus Equity Incentive Plan,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90"/>
        <w:gridCol w:w="9677"/>
      </w:tblGrid>
      <w:tr>
        <w:trPr/>
        <w:tc>
          <w:tcPr>
            <w:tcW w:w="3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jc w:val="left"/>
              <w:rPr/>
            </w:pPr>
            <w:r>
              <w:rPr/>
              <w:t>10.5†</w:t>
            </w:r>
          </w:p>
        </w:tc>
        <w:tc>
          <w:tcPr>
            <w:tcW w:w="9677" w:type="dxa"/>
            <w:tcBorders/>
            <w:shd w:fill="auto" w:val="clear"/>
            <w:vAlign w:val="center"/>
          </w:tcPr>
          <w:p>
            <w:pPr>
              <w:pStyle w:val="TableContents"/>
              <w:spacing w:before="0" w:after="283"/>
              <w:rPr/>
            </w:pPr>
            <w:hyperlink r:id="rId15">
              <w:r>
                <w:rPr>
                  <w:rStyle w:val="InternetLink"/>
                </w:rPr>
                <w:t>Form of Employee Restricted Stock Award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3"/>
        <w:gridCol w:w="9684"/>
      </w:tblGrid>
      <w:tr>
        <w:trPr/>
        <w:tc>
          <w:tcPr>
            <w:tcW w:w="3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jc w:val="left"/>
              <w:rPr/>
            </w:pPr>
            <w:r>
              <w:rPr/>
              <w:t>10.6†</w:t>
            </w:r>
          </w:p>
        </w:tc>
        <w:tc>
          <w:tcPr>
            <w:tcW w:w="9684" w:type="dxa"/>
            <w:tcBorders/>
            <w:shd w:fill="auto" w:val="clear"/>
            <w:vAlign w:val="center"/>
          </w:tcPr>
          <w:p>
            <w:pPr>
              <w:pStyle w:val="TableContents"/>
              <w:spacing w:before="0" w:after="283"/>
              <w:rPr/>
            </w:pPr>
            <w:hyperlink r:id="rId16">
              <w:r>
                <w:rPr>
                  <w:rStyle w:val="InternetLink"/>
                </w:rPr>
                <w:t>Form of Non-Employee Director Inaugural Deferred Stock Unit Award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3"/>
        <w:gridCol w:w="9684"/>
      </w:tblGrid>
      <w:tr>
        <w:trPr/>
        <w:tc>
          <w:tcPr>
            <w:tcW w:w="3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jc w:val="left"/>
              <w:rPr/>
            </w:pPr>
            <w:r>
              <w:rPr/>
              <w:t>10.7†</w:t>
            </w:r>
          </w:p>
        </w:tc>
        <w:tc>
          <w:tcPr>
            <w:tcW w:w="9684" w:type="dxa"/>
            <w:tcBorders/>
            <w:shd w:fill="auto" w:val="clear"/>
            <w:vAlign w:val="center"/>
          </w:tcPr>
          <w:p>
            <w:pPr>
              <w:pStyle w:val="TableContents"/>
              <w:spacing w:before="0" w:after="283"/>
              <w:rPr/>
            </w:pPr>
            <w:hyperlink r:id="rId17">
              <w:r>
                <w:rPr>
                  <w:rStyle w:val="InternetLink"/>
                </w:rPr>
                <w:t>Form of Non-Employee Director Inaugural Non-qualified Stock Option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23</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4"/>
        <w:gridCol w:w="9683"/>
      </w:tblGrid>
      <w:tr>
        <w:trPr/>
        <w:tc>
          <w:tcPr>
            <w:tcW w:w="3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jc w:val="left"/>
              <w:rPr/>
            </w:pPr>
            <w:r>
              <w:rPr/>
              <w:t>10.8†</w:t>
            </w:r>
          </w:p>
        </w:tc>
        <w:tc>
          <w:tcPr>
            <w:tcW w:w="9683" w:type="dxa"/>
            <w:tcBorders/>
            <w:shd w:fill="auto" w:val="clear"/>
            <w:vAlign w:val="center"/>
          </w:tcPr>
          <w:p>
            <w:pPr>
              <w:pStyle w:val="TableContents"/>
              <w:spacing w:before="0" w:after="283"/>
              <w:rPr/>
            </w:pPr>
            <w:hyperlink r:id="rId18">
              <w:r>
                <w:rPr>
                  <w:rStyle w:val="InternetLink"/>
                </w:rPr>
                <w:t>Form of Non-Employee Director Inaugural Restricted Stock Unit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83"/>
        <w:gridCol w:w="9684"/>
      </w:tblGrid>
      <w:tr>
        <w:trPr/>
        <w:tc>
          <w:tcPr>
            <w:tcW w:w="3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jc w:val="left"/>
              <w:rPr/>
            </w:pPr>
            <w:r>
              <w:rPr/>
              <w:t>10.9†</w:t>
            </w:r>
          </w:p>
        </w:tc>
        <w:tc>
          <w:tcPr>
            <w:tcW w:w="9684" w:type="dxa"/>
            <w:tcBorders/>
            <w:shd w:fill="auto" w:val="clear"/>
            <w:vAlign w:val="center"/>
          </w:tcPr>
          <w:p>
            <w:pPr>
              <w:pStyle w:val="TableContents"/>
              <w:spacing w:before="0" w:after="283"/>
              <w:rPr/>
            </w:pPr>
            <w:hyperlink r:id="rId19">
              <w:r>
                <w:rPr>
                  <w:rStyle w:val="InternetLink"/>
                </w:rPr>
                <w:t>Form of Non-Employee Director Annual Deferred Stock Unit Award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03"/>
        <w:gridCol w:w="9564"/>
      </w:tblGrid>
      <w:tr>
        <w:trPr/>
        <w:tc>
          <w:tcPr>
            <w:tcW w:w="3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jc w:val="left"/>
              <w:rPr/>
            </w:pPr>
            <w:r>
              <w:rPr/>
              <w:t>10.10†</w:t>
            </w:r>
          </w:p>
        </w:tc>
        <w:tc>
          <w:tcPr>
            <w:tcW w:w="9564" w:type="dxa"/>
            <w:tcBorders/>
            <w:shd w:fill="auto" w:val="clear"/>
            <w:vAlign w:val="center"/>
          </w:tcPr>
          <w:p>
            <w:pPr>
              <w:pStyle w:val="TableContents"/>
              <w:spacing w:before="0" w:after="283"/>
              <w:rPr/>
            </w:pPr>
            <w:hyperlink r:id="rId20">
              <w:r>
                <w:rPr>
                  <w:rStyle w:val="InternetLink"/>
                </w:rPr>
                <w:t>Form of Non-Employee Director Annual Non-qualified Stock Option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04"/>
        <w:gridCol w:w="9563"/>
      </w:tblGrid>
      <w:tr>
        <w:trPr/>
        <w:tc>
          <w:tcPr>
            <w:tcW w:w="3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jc w:val="left"/>
              <w:rPr/>
            </w:pPr>
            <w:r>
              <w:rPr/>
              <w:t>10.11†</w:t>
            </w:r>
          </w:p>
        </w:tc>
        <w:tc>
          <w:tcPr>
            <w:tcW w:w="9563" w:type="dxa"/>
            <w:tcBorders/>
            <w:shd w:fill="auto" w:val="clear"/>
            <w:vAlign w:val="center"/>
          </w:tcPr>
          <w:p>
            <w:pPr>
              <w:pStyle w:val="TableContents"/>
              <w:spacing w:before="0" w:after="283"/>
              <w:rPr/>
            </w:pPr>
            <w:hyperlink r:id="rId21">
              <w:r>
                <w:rPr>
                  <w:rStyle w:val="InternetLink"/>
                </w:rPr>
                <w:t>Form of Non-Employee Director Annual Restricted Stock Unit Agreement for electroCore, Inc. 2018 Omnibus Equity Incentive Plan,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10"/>
        <w:gridCol w:w="9557"/>
      </w:tblGrid>
      <w:tr>
        <w:trPr/>
        <w:tc>
          <w:tcPr>
            <w:tcW w:w="3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jc w:val="left"/>
              <w:rPr/>
            </w:pPr>
            <w:r>
              <w:rPr/>
              <w:t>10.12†</w:t>
            </w:r>
          </w:p>
        </w:tc>
        <w:tc>
          <w:tcPr>
            <w:tcW w:w="9557" w:type="dxa"/>
            <w:tcBorders/>
            <w:shd w:fill="auto" w:val="clear"/>
            <w:vAlign w:val="center"/>
          </w:tcPr>
          <w:p>
            <w:pPr>
              <w:pStyle w:val="TableContents"/>
              <w:spacing w:before="0" w:after="283"/>
              <w:rPr/>
            </w:pPr>
            <w:hyperlink r:id="rId22">
              <w:r>
                <w:rPr>
                  <w:rStyle w:val="InternetLink"/>
                </w:rPr>
                <w:t>Form of Indemnification Agreement between the Registrant and each of its executive officers and directors,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6078" w:type="dxa"/>
        <w:jc w:val="left"/>
        <w:tblInd w:w="0" w:type="dxa"/>
        <w:tblCellMar>
          <w:top w:w="0" w:type="dxa"/>
          <w:left w:w="0" w:type="dxa"/>
          <w:bottom w:w="0" w:type="dxa"/>
          <w:right w:w="0" w:type="dxa"/>
        </w:tblCellMar>
      </w:tblPr>
      <w:tblGrid>
        <w:gridCol w:w="38"/>
        <w:gridCol w:w="800"/>
        <w:gridCol w:w="5240"/>
      </w:tblGrid>
      <w:tr>
        <w:trPr/>
        <w:tc>
          <w:tcPr>
            <w:tcW w:w="3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jc w:val="left"/>
              <w:rPr/>
            </w:pPr>
            <w:r>
              <w:rPr/>
              <w:t>10.13†*</w:t>
            </w:r>
          </w:p>
        </w:tc>
        <w:tc>
          <w:tcPr>
            <w:tcW w:w="5240" w:type="dxa"/>
            <w:tcBorders/>
            <w:shd w:fill="auto" w:val="clear"/>
            <w:vAlign w:val="center"/>
          </w:tcPr>
          <w:p>
            <w:pPr>
              <w:pStyle w:val="TableContents"/>
              <w:spacing w:before="0" w:after="283"/>
              <w:rPr/>
            </w:pPr>
            <w:hyperlink w:anchor="e618562_ex10-13.htm">
              <w:r>
                <w:rPr>
                  <w:rStyle w:val="InternetLink"/>
                </w:rPr>
                <w:t>Form of electroCore, Inc. Management Severance Plan</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20"/>
        <w:gridCol w:w="9547"/>
      </w:tblGrid>
      <w:tr>
        <w:trPr/>
        <w:tc>
          <w:tcPr>
            <w:tcW w:w="3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jc w:val="left"/>
              <w:rPr/>
            </w:pPr>
            <w:r>
              <w:rPr/>
              <w:t>10.14†</w:t>
            </w:r>
          </w:p>
        </w:tc>
        <w:tc>
          <w:tcPr>
            <w:tcW w:w="9547" w:type="dxa"/>
            <w:tcBorders/>
            <w:shd w:fill="auto" w:val="clear"/>
            <w:vAlign w:val="center"/>
          </w:tcPr>
          <w:p>
            <w:pPr>
              <w:pStyle w:val="TableContents"/>
              <w:spacing w:before="0" w:after="283"/>
              <w:rPr/>
            </w:pPr>
            <w:hyperlink r:id="rId23">
              <w:r>
                <w:rPr>
                  <w:rStyle w:val="InternetLink"/>
                </w:rPr>
                <w:t>electroCore, Inc. Non-Employee Director Compensation Policy,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560"/>
        <w:gridCol w:w="9607"/>
      </w:tblGrid>
      <w:tr>
        <w:trPr/>
        <w:tc>
          <w:tcPr>
            <w:tcW w:w="3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jc w:val="left"/>
              <w:rPr/>
            </w:pPr>
            <w:r>
              <w:rPr/>
              <w:t>10.15</w:t>
            </w:r>
          </w:p>
        </w:tc>
        <w:tc>
          <w:tcPr>
            <w:tcW w:w="9607" w:type="dxa"/>
            <w:tcBorders/>
            <w:shd w:fill="auto" w:val="clear"/>
            <w:vAlign w:val="center"/>
          </w:tcPr>
          <w:p>
            <w:pPr>
              <w:pStyle w:val="TableContents"/>
              <w:spacing w:before="0" w:after="283"/>
              <w:rPr/>
            </w:pPr>
            <w:hyperlink r:id="rId24">
              <w:r>
                <w:rPr>
                  <w:rStyle w:val="InternetLink"/>
                </w:rPr>
                <w:t>Rockaway, NJ Office Lease between Anson Logistics Assets LLC and electroCore, Inc., incorporated by reference to the Company’s Annual Report on Form 10-K for the period ended December 31, 2018 as filed with the Commission on March 28, 2019.</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560"/>
        <w:gridCol w:w="9607"/>
      </w:tblGrid>
      <w:tr>
        <w:trPr/>
        <w:tc>
          <w:tcPr>
            <w:tcW w:w="3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jc w:val="left"/>
              <w:rPr/>
            </w:pPr>
            <w:r>
              <w:rPr/>
              <w:t>10.17</w:t>
            </w:r>
          </w:p>
        </w:tc>
        <w:tc>
          <w:tcPr>
            <w:tcW w:w="9607" w:type="dxa"/>
            <w:tcBorders/>
            <w:shd w:fill="auto" w:val="clear"/>
            <w:vAlign w:val="center"/>
          </w:tcPr>
          <w:p>
            <w:pPr>
              <w:pStyle w:val="TableContents"/>
              <w:spacing w:before="0" w:after="283"/>
              <w:rPr/>
            </w:pPr>
            <w:hyperlink r:id="rId25">
              <w:r>
                <w:rPr>
                  <w:rStyle w:val="InternetLink"/>
                </w:rPr>
                <w:t>Form of Common Unit Warrant,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560"/>
        <w:gridCol w:w="9607"/>
      </w:tblGrid>
      <w:tr>
        <w:trPr/>
        <w:tc>
          <w:tcPr>
            <w:tcW w:w="3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jc w:val="left"/>
              <w:rPr/>
            </w:pPr>
            <w:r>
              <w:rPr/>
              <w:t>10.18</w:t>
            </w:r>
          </w:p>
        </w:tc>
        <w:tc>
          <w:tcPr>
            <w:tcW w:w="9607" w:type="dxa"/>
            <w:tcBorders/>
            <w:shd w:fill="auto" w:val="clear"/>
            <w:vAlign w:val="center"/>
          </w:tcPr>
          <w:p>
            <w:pPr>
              <w:pStyle w:val="TableContents"/>
              <w:spacing w:before="0" w:after="283"/>
              <w:rPr/>
            </w:pPr>
            <w:hyperlink r:id="rId26">
              <w:r>
                <w:rPr>
                  <w:rStyle w:val="InternetLink"/>
                </w:rPr>
                <w:t>Form of Series A Warrant,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560"/>
        <w:gridCol w:w="9607"/>
      </w:tblGrid>
      <w:tr>
        <w:trPr/>
        <w:tc>
          <w:tcPr>
            <w:tcW w:w="3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jc w:val="left"/>
              <w:rPr/>
            </w:pPr>
            <w:r>
              <w:rPr/>
              <w:t>10.19</w:t>
            </w:r>
          </w:p>
        </w:tc>
        <w:tc>
          <w:tcPr>
            <w:tcW w:w="9607" w:type="dxa"/>
            <w:tcBorders/>
            <w:shd w:fill="auto" w:val="clear"/>
            <w:vAlign w:val="center"/>
          </w:tcPr>
          <w:p>
            <w:pPr>
              <w:pStyle w:val="TableContents"/>
              <w:spacing w:before="0" w:after="283"/>
              <w:rPr/>
            </w:pPr>
            <w:hyperlink r:id="rId27">
              <w:r>
                <w:rPr>
                  <w:rStyle w:val="InternetLink"/>
                </w:rPr>
                <w:t>Form of Bridge Warrant, incorporated by reference to the Company’s Registration Statement on Form S-1, Registration No. 333-225084.</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07"/>
        <w:gridCol w:w="9560"/>
      </w:tblGrid>
      <w:tr>
        <w:trPr/>
        <w:tc>
          <w:tcPr>
            <w:tcW w:w="3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jc w:val="left"/>
              <w:rPr/>
            </w:pPr>
            <w:r>
              <w:rPr/>
              <w:t>10.20†</w:t>
            </w:r>
          </w:p>
        </w:tc>
        <w:tc>
          <w:tcPr>
            <w:tcW w:w="9560" w:type="dxa"/>
            <w:tcBorders/>
            <w:shd w:fill="auto" w:val="clear"/>
            <w:vAlign w:val="center"/>
          </w:tcPr>
          <w:p>
            <w:pPr>
              <w:pStyle w:val="TableContents"/>
              <w:spacing w:before="0" w:after="283"/>
              <w:rPr/>
            </w:pPr>
            <w:hyperlink r:id="rId28">
              <w:r>
                <w:rPr>
                  <w:rStyle w:val="InternetLink"/>
                </w:rPr>
                <w:t>Employment Offer Letter, dated as of September 26, 2019, between electroCore, Inc. and Daniel Goldberger, incorporated by reference to the Company's Current Report on Form 8-K, as filed with the Commission on October 2, 2019</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18"/>
        <w:gridCol w:w="9549"/>
      </w:tblGrid>
      <w:tr>
        <w:trPr/>
        <w:tc>
          <w:tcPr>
            <w:tcW w:w="3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jc w:val="left"/>
              <w:rPr/>
            </w:pPr>
            <w:r>
              <w:rPr/>
              <w:t>10.21†</w:t>
            </w:r>
          </w:p>
        </w:tc>
        <w:tc>
          <w:tcPr>
            <w:tcW w:w="9549" w:type="dxa"/>
            <w:tcBorders/>
            <w:shd w:fill="auto" w:val="clear"/>
            <w:vAlign w:val="center"/>
          </w:tcPr>
          <w:p>
            <w:pPr>
              <w:pStyle w:val="TableContents"/>
              <w:spacing w:before="0" w:after="283"/>
              <w:rPr/>
            </w:pPr>
            <w:hyperlink r:id="rId29">
              <w:r>
                <w:rPr>
                  <w:rStyle w:val="InternetLink"/>
                </w:rPr>
                <w:t>Brian Posner Employment Agreement, dated as of January 30, 2019, incorporated by reference to the Company's Current Report on Form 8-K, as filed with the Commission on March 12, 2019</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613"/>
        <w:gridCol w:w="9554"/>
      </w:tblGrid>
      <w:tr>
        <w:trPr/>
        <w:tc>
          <w:tcPr>
            <w:tcW w:w="3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jc w:val="left"/>
              <w:rPr/>
            </w:pPr>
            <w:r>
              <w:rPr/>
              <w:t>10.22†</w:t>
            </w:r>
          </w:p>
        </w:tc>
        <w:tc>
          <w:tcPr>
            <w:tcW w:w="9554" w:type="dxa"/>
            <w:tcBorders/>
            <w:shd w:fill="auto" w:val="clear"/>
            <w:vAlign w:val="center"/>
          </w:tcPr>
          <w:p>
            <w:pPr>
              <w:pStyle w:val="TableContents"/>
              <w:spacing w:before="0" w:after="283"/>
              <w:rPr/>
            </w:pPr>
            <w:hyperlink r:id="rId30">
              <w:r>
                <w:rPr>
                  <w:rStyle w:val="InternetLink"/>
                </w:rPr>
                <w:t>Amendment to Brian Posner Employment Agreement, dated as of August 8, 2019, incorporated by reference to the Company's Quarterly Report on Form 10-Q, as filed with the Commission on August 14, 2019</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21.1</w:t>
            </w:r>
          </w:p>
        </w:tc>
        <w:tc>
          <w:tcPr>
            <w:tcW w:w="9727" w:type="dxa"/>
            <w:tcBorders/>
            <w:shd w:fill="auto" w:val="clear"/>
            <w:vAlign w:val="center"/>
          </w:tcPr>
          <w:p>
            <w:pPr>
              <w:pStyle w:val="TableContents"/>
              <w:spacing w:before="0" w:after="283"/>
              <w:rPr/>
            </w:pPr>
            <w:hyperlink r:id="rId31">
              <w:r>
                <w:rPr>
                  <w:rStyle w:val="InternetLink"/>
                </w:rPr>
                <w:t>List of subsidiaries of electroCore, Inc.,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23.1</w:t>
            </w:r>
          </w:p>
        </w:tc>
        <w:tc>
          <w:tcPr>
            <w:tcW w:w="9727" w:type="dxa"/>
            <w:tcBorders/>
            <w:shd w:fill="auto" w:val="clear"/>
            <w:vAlign w:val="center"/>
          </w:tcPr>
          <w:p>
            <w:pPr>
              <w:pStyle w:val="TableContents"/>
              <w:spacing w:before="0" w:after="283"/>
              <w:rPr/>
            </w:pPr>
            <w:hyperlink r:id="rId32">
              <w:r>
                <w:rPr>
                  <w:rStyle w:val="InternetLink"/>
                </w:rPr>
                <w:t>Consent of Marcum LLP,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24</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31.1</w:t>
            </w:r>
          </w:p>
        </w:tc>
        <w:tc>
          <w:tcPr>
            <w:tcW w:w="9727" w:type="dxa"/>
            <w:tcBorders/>
            <w:shd w:fill="auto" w:val="clear"/>
            <w:vAlign w:val="center"/>
          </w:tcPr>
          <w:p>
            <w:pPr>
              <w:pStyle w:val="TableContents"/>
              <w:spacing w:before="0" w:after="283"/>
              <w:rPr/>
            </w:pPr>
            <w:hyperlink r:id="rId33">
              <w:r>
                <w:rPr>
                  <w:rStyle w:val="InternetLink"/>
                </w:rPr>
                <w:t>Certification of Principal Executive Officer Pursuant to Rules 13a-14(a) and 15d-14(a) under the Securities Exchange Act of 1934, as Adopted Pursuant to Section 302 of the Sarbanes-Oxley Act of 2002,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31.2</w:t>
            </w:r>
          </w:p>
        </w:tc>
        <w:tc>
          <w:tcPr>
            <w:tcW w:w="9727" w:type="dxa"/>
            <w:tcBorders/>
            <w:shd w:fill="auto" w:val="clear"/>
            <w:vAlign w:val="center"/>
          </w:tcPr>
          <w:p>
            <w:pPr>
              <w:pStyle w:val="TableContents"/>
              <w:spacing w:before="0" w:after="283"/>
              <w:rPr/>
            </w:pPr>
            <w:hyperlink r:id="rId34">
              <w:r>
                <w:rPr>
                  <w:rStyle w:val="InternetLink"/>
                </w:rPr>
                <w:t>Certification of Principal Financial Officer Pursuant to Rules 13a-14(a) and 15d-14(a) under the Securities Exchange Act of 1934, as Adopted Pursuant to Section 302 of the Sarbanes-Oxley Act of 2002,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94"/>
        <w:gridCol w:w="9673"/>
      </w:tblGrid>
      <w:tr>
        <w:trPr/>
        <w:tc>
          <w:tcPr>
            <w:tcW w:w="38"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pPr>
            <w:r>
              <w:rPr/>
              <w:t>31.3*</w:t>
            </w:r>
          </w:p>
        </w:tc>
        <w:tc>
          <w:tcPr>
            <w:tcW w:w="9673" w:type="dxa"/>
            <w:tcBorders/>
            <w:shd w:fill="auto" w:val="clear"/>
            <w:vAlign w:val="center"/>
          </w:tcPr>
          <w:p>
            <w:pPr>
              <w:pStyle w:val="TableContents"/>
              <w:spacing w:before="0" w:after="283"/>
              <w:rPr/>
            </w:pPr>
            <w:hyperlink w:anchor="e618562_ex31-3.htm">
              <w:r>
                <w:rPr>
                  <w:rStyle w:val="InternetLink"/>
                </w:rPr>
                <w:t>Certification of the Principal Executive Officer pursuant to Rules 13a-14(b) and 15d-14(a) under the Securities Exchange Act of 1934, as adopted pursuant to Section 302 of the Sarbanes-Oxley Act of 2002.</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94"/>
        <w:gridCol w:w="9673"/>
      </w:tblGrid>
      <w:tr>
        <w:trPr/>
        <w:tc>
          <w:tcPr>
            <w:tcW w:w="38"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pPr>
            <w:r>
              <w:rPr/>
              <w:t>31.4*</w:t>
            </w:r>
          </w:p>
        </w:tc>
        <w:tc>
          <w:tcPr>
            <w:tcW w:w="9673" w:type="dxa"/>
            <w:tcBorders/>
            <w:shd w:fill="auto" w:val="clear"/>
            <w:vAlign w:val="center"/>
          </w:tcPr>
          <w:p>
            <w:pPr>
              <w:pStyle w:val="TableContents"/>
              <w:spacing w:before="0" w:after="283"/>
              <w:rPr/>
            </w:pPr>
            <w:hyperlink w:anchor="e618562_ex31-4.htm">
              <w:r>
                <w:rPr>
                  <w:rStyle w:val="InternetLink"/>
                </w:rPr>
                <w:t>Certification of the Principal Financial Officer pursuant to Rules 13a-14(b) and 15d-14(a) under the Securities Exchange Act of 1934, as adopted pursuant to Section 302 of the Sarbanes-Oxley Act of 2002.</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32.1</w:t>
            </w:r>
          </w:p>
        </w:tc>
        <w:tc>
          <w:tcPr>
            <w:tcW w:w="9727" w:type="dxa"/>
            <w:tcBorders/>
            <w:shd w:fill="auto" w:val="clear"/>
            <w:vAlign w:val="center"/>
          </w:tcPr>
          <w:p>
            <w:pPr>
              <w:pStyle w:val="TableContents"/>
              <w:spacing w:before="0" w:after="283"/>
              <w:rPr/>
            </w:pPr>
            <w:hyperlink r:id="rId35">
              <w:r>
                <w:rPr>
                  <w:rStyle w:val="InternetLink"/>
                </w:rPr>
                <w:t>Certification of Principal Executive Officer Pursuant to 18 U.S.C. Section 1350, as Adopted Pursuant to Section 906 of the Sarbanes-Oxley Act of 2002,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440"/>
        <w:gridCol w:w="9727"/>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32.2</w:t>
            </w:r>
          </w:p>
        </w:tc>
        <w:tc>
          <w:tcPr>
            <w:tcW w:w="9727" w:type="dxa"/>
            <w:tcBorders/>
            <w:shd w:fill="auto" w:val="clear"/>
            <w:vAlign w:val="center"/>
          </w:tcPr>
          <w:p>
            <w:pPr>
              <w:pStyle w:val="TableContents"/>
              <w:spacing w:before="0" w:after="283"/>
              <w:rPr/>
            </w:pPr>
            <w:hyperlink r:id="rId36">
              <w:r>
                <w:rPr>
                  <w:rStyle w:val="InternetLink"/>
                </w:rPr>
                <w:t>Certification of Principal Financial Officer Pursuant to 18 U.S.C. Section 1350, as Adopted Pursuant to Section 906 of the Sarbanes-Oxley Act of 2002, incorporated by reference to the Company's Current Report on Form 10-K as filed with Commission on March 8, 2023.</w:t>
              </w:r>
            </w:hyperlink>
          </w:p>
        </w:tc>
      </w:tr>
    </w:tbl>
    <w:p>
      <w:pPr>
        <w:pStyle w:val="TextBody"/>
        <w:spacing w:before="0" w:after="0"/>
        <w:ind w:left="0" w:right="0" w:hanging="0"/>
        <w:rPr>
          <w:caps w:val="false"/>
          <w:smallCaps w:val="false"/>
        </w:rPr>
      </w:pPr>
      <w:r>
        <w:rPr>
          <w:caps w:val="false"/>
          <w:smallCaps w:val="false"/>
        </w:rPr>
        <w:t> </w:t>
      </w:r>
    </w:p>
    <w:tbl>
      <w:tblPr>
        <w:tblW w:w="4053" w:type="dxa"/>
        <w:jc w:val="left"/>
        <w:tblInd w:w="0" w:type="dxa"/>
        <w:tblCellMar>
          <w:top w:w="0" w:type="dxa"/>
          <w:left w:w="0" w:type="dxa"/>
          <w:bottom w:w="0" w:type="dxa"/>
          <w:right w:w="0" w:type="dxa"/>
        </w:tblCellMar>
      </w:tblPr>
      <w:tblGrid>
        <w:gridCol w:w="38"/>
        <w:gridCol w:w="830"/>
        <w:gridCol w:w="3185"/>
      </w:tblGrid>
      <w:tr>
        <w:trPr/>
        <w:tc>
          <w:tcPr>
            <w:tcW w:w="38"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jc w:val="left"/>
              <w:rPr/>
            </w:pPr>
            <w:r>
              <w:rPr/>
              <w:t>101.INS</w:t>
            </w:r>
          </w:p>
        </w:tc>
        <w:tc>
          <w:tcPr>
            <w:tcW w:w="3185" w:type="dxa"/>
            <w:tcBorders/>
            <w:shd w:fill="auto" w:val="clear"/>
            <w:vAlign w:val="center"/>
          </w:tcPr>
          <w:p>
            <w:pPr>
              <w:pStyle w:val="TableContents"/>
              <w:spacing w:before="0" w:after="283"/>
              <w:rPr/>
            </w:pPr>
            <w:r>
              <w:rPr/>
              <w:t>Inline XBRL Instance Document</w:t>
            </w:r>
          </w:p>
        </w:tc>
      </w:tr>
    </w:tbl>
    <w:p>
      <w:pPr>
        <w:pStyle w:val="TextBody"/>
        <w:spacing w:before="0" w:after="0"/>
        <w:ind w:left="0" w:right="0" w:hanging="0"/>
        <w:rPr>
          <w:caps w:val="false"/>
          <w:smallCaps w:val="false"/>
        </w:rPr>
      </w:pPr>
      <w:r>
        <w:rPr>
          <w:caps w:val="false"/>
          <w:smallCaps w:val="false"/>
        </w:rPr>
        <w:t> </w:t>
      </w:r>
    </w:p>
    <w:tbl>
      <w:tblPr>
        <w:tblW w:w="6213" w:type="dxa"/>
        <w:jc w:val="left"/>
        <w:tblInd w:w="0" w:type="dxa"/>
        <w:tblCellMar>
          <w:top w:w="0" w:type="dxa"/>
          <w:left w:w="0" w:type="dxa"/>
          <w:bottom w:w="0" w:type="dxa"/>
          <w:right w:w="0" w:type="dxa"/>
        </w:tblCellMar>
      </w:tblPr>
      <w:tblGrid>
        <w:gridCol w:w="38"/>
        <w:gridCol w:w="920"/>
        <w:gridCol w:w="5255"/>
      </w:tblGrid>
      <w:tr>
        <w:trPr/>
        <w:tc>
          <w:tcPr>
            <w:tcW w:w="3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jc w:val="left"/>
              <w:rPr/>
            </w:pPr>
            <w:r>
              <w:rPr/>
              <w:t>101.SCH</w:t>
            </w:r>
          </w:p>
        </w:tc>
        <w:tc>
          <w:tcPr>
            <w:tcW w:w="5255" w:type="dxa"/>
            <w:tcBorders/>
            <w:shd w:fill="auto" w:val="clear"/>
            <w:vAlign w:val="center"/>
          </w:tcPr>
          <w:p>
            <w:pPr>
              <w:pStyle w:val="TableContents"/>
              <w:spacing w:before="0" w:after="283"/>
              <w:rPr/>
            </w:pPr>
            <w:r>
              <w:rPr/>
              <w:t>Inline XBRL Taxonomy Extension Schema Document</w:t>
            </w:r>
          </w:p>
        </w:tc>
      </w:tr>
    </w:tbl>
    <w:p>
      <w:pPr>
        <w:pStyle w:val="TextBody"/>
        <w:spacing w:before="0" w:after="0"/>
        <w:ind w:left="0" w:right="0" w:hanging="0"/>
        <w:rPr>
          <w:caps w:val="false"/>
          <w:smallCaps w:val="false"/>
        </w:rPr>
      </w:pPr>
      <w:r>
        <w:rPr>
          <w:caps w:val="false"/>
          <w:smallCaps w:val="false"/>
        </w:rPr>
        <w:t> </w:t>
      </w:r>
    </w:p>
    <w:tbl>
      <w:tblPr>
        <w:tblW w:w="7488" w:type="dxa"/>
        <w:jc w:val="left"/>
        <w:tblInd w:w="0" w:type="dxa"/>
        <w:tblCellMar>
          <w:top w:w="0" w:type="dxa"/>
          <w:left w:w="0" w:type="dxa"/>
          <w:bottom w:w="0" w:type="dxa"/>
          <w:right w:w="0" w:type="dxa"/>
        </w:tblCellMar>
      </w:tblPr>
      <w:tblGrid>
        <w:gridCol w:w="38"/>
        <w:gridCol w:w="935"/>
        <w:gridCol w:w="6515"/>
      </w:tblGrid>
      <w:tr>
        <w:trPr/>
        <w:tc>
          <w:tcPr>
            <w:tcW w:w="3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jc w:val="left"/>
              <w:rPr/>
            </w:pPr>
            <w:r>
              <w:rPr/>
              <w:t>101.CAL</w:t>
            </w:r>
          </w:p>
        </w:tc>
        <w:tc>
          <w:tcPr>
            <w:tcW w:w="6515" w:type="dxa"/>
            <w:tcBorders/>
            <w:shd w:fill="auto" w:val="clear"/>
            <w:vAlign w:val="center"/>
          </w:tcPr>
          <w:p>
            <w:pPr>
              <w:pStyle w:val="TableContents"/>
              <w:spacing w:before="0" w:after="283"/>
              <w:rPr/>
            </w:pPr>
            <w:r>
              <w:rPr/>
              <w:t>Inline XBRL Taxonomy Extension Calculation Linkbase Document</w:t>
            </w:r>
          </w:p>
        </w:tc>
      </w:tr>
    </w:tbl>
    <w:p>
      <w:pPr>
        <w:pStyle w:val="TextBody"/>
        <w:spacing w:before="0" w:after="0"/>
        <w:ind w:left="0" w:right="0" w:hanging="0"/>
        <w:rPr>
          <w:caps w:val="false"/>
          <w:smallCaps w:val="false"/>
        </w:rPr>
      </w:pPr>
      <w:r>
        <w:rPr>
          <w:caps w:val="false"/>
          <w:smallCaps w:val="false"/>
        </w:rPr>
        <w:t> </w:t>
      </w:r>
    </w:p>
    <w:tbl>
      <w:tblPr>
        <w:tblW w:w="7338" w:type="dxa"/>
        <w:jc w:val="left"/>
        <w:tblInd w:w="0" w:type="dxa"/>
        <w:tblCellMar>
          <w:top w:w="0" w:type="dxa"/>
          <w:left w:w="0" w:type="dxa"/>
          <w:bottom w:w="0" w:type="dxa"/>
          <w:right w:w="0" w:type="dxa"/>
        </w:tblCellMar>
      </w:tblPr>
      <w:tblGrid>
        <w:gridCol w:w="38"/>
        <w:gridCol w:w="905"/>
        <w:gridCol w:w="6395"/>
      </w:tblGrid>
      <w:tr>
        <w:trPr/>
        <w:tc>
          <w:tcPr>
            <w:tcW w:w="38"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jc w:val="left"/>
              <w:rPr/>
            </w:pPr>
            <w:r>
              <w:rPr/>
              <w:t>101.DEF</w:t>
            </w:r>
          </w:p>
        </w:tc>
        <w:tc>
          <w:tcPr>
            <w:tcW w:w="6395" w:type="dxa"/>
            <w:tcBorders/>
            <w:shd w:fill="auto" w:val="clear"/>
            <w:vAlign w:val="center"/>
          </w:tcPr>
          <w:p>
            <w:pPr>
              <w:pStyle w:val="TableContents"/>
              <w:spacing w:before="0" w:after="283"/>
              <w:rPr/>
            </w:pPr>
            <w:r>
              <w:rPr/>
              <w:t>Inline XBRL Taxonomy Extension Definition Linkbase Document</w:t>
            </w:r>
          </w:p>
        </w:tc>
      </w:tr>
    </w:tbl>
    <w:p>
      <w:pPr>
        <w:pStyle w:val="TextBody"/>
        <w:spacing w:before="0" w:after="0"/>
        <w:ind w:left="0" w:right="0" w:hanging="0"/>
        <w:rPr>
          <w:caps w:val="false"/>
          <w:smallCaps w:val="false"/>
        </w:rPr>
      </w:pPr>
      <w:r>
        <w:rPr>
          <w:caps w:val="false"/>
          <w:smallCaps w:val="false"/>
        </w:rPr>
        <w:t> </w:t>
      </w:r>
    </w:p>
    <w:tbl>
      <w:tblPr>
        <w:tblW w:w="6948" w:type="dxa"/>
        <w:jc w:val="left"/>
        <w:tblInd w:w="0" w:type="dxa"/>
        <w:tblCellMar>
          <w:top w:w="0" w:type="dxa"/>
          <w:left w:w="0" w:type="dxa"/>
          <w:bottom w:w="0" w:type="dxa"/>
          <w:right w:w="0" w:type="dxa"/>
        </w:tblCellMar>
      </w:tblPr>
      <w:tblGrid>
        <w:gridCol w:w="38"/>
        <w:gridCol w:w="935"/>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jc w:val="left"/>
              <w:rPr/>
            </w:pPr>
            <w:r>
              <w:rPr/>
              <w:t>101.LAB</w:t>
            </w:r>
          </w:p>
        </w:tc>
        <w:tc>
          <w:tcPr>
            <w:tcW w:w="5975" w:type="dxa"/>
            <w:tcBorders/>
            <w:shd w:fill="auto" w:val="clear"/>
            <w:vAlign w:val="center"/>
          </w:tcPr>
          <w:p>
            <w:pPr>
              <w:pStyle w:val="TableContents"/>
              <w:spacing w:before="0" w:after="283"/>
              <w:rPr/>
            </w:pPr>
            <w:r>
              <w:rPr/>
              <w:t>Inline XBRL Taxonomy Extension Label Linkbase Document</w:t>
            </w:r>
          </w:p>
        </w:tc>
      </w:tr>
    </w:tbl>
    <w:p>
      <w:pPr>
        <w:pStyle w:val="TextBody"/>
        <w:spacing w:before="0" w:after="0"/>
        <w:ind w:left="0" w:right="0" w:hanging="0"/>
        <w:rPr>
          <w:caps w:val="false"/>
          <w:smallCaps w:val="false"/>
        </w:rPr>
      </w:pPr>
      <w:r>
        <w:rPr>
          <w:caps w:val="false"/>
          <w:smallCaps w:val="false"/>
        </w:rPr>
        <w:t> </w:t>
      </w:r>
    </w:p>
    <w:tbl>
      <w:tblPr>
        <w:tblW w:w="7518" w:type="dxa"/>
        <w:jc w:val="left"/>
        <w:tblInd w:w="0" w:type="dxa"/>
        <w:tblCellMar>
          <w:top w:w="0" w:type="dxa"/>
          <w:left w:w="0" w:type="dxa"/>
          <w:bottom w:w="0" w:type="dxa"/>
          <w:right w:w="0" w:type="dxa"/>
        </w:tblCellMar>
      </w:tblPr>
      <w:tblGrid>
        <w:gridCol w:w="38"/>
        <w:gridCol w:w="890"/>
        <w:gridCol w:w="6590"/>
      </w:tblGrid>
      <w:tr>
        <w:trPr/>
        <w:tc>
          <w:tcPr>
            <w:tcW w:w="38"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jc w:val="left"/>
              <w:rPr/>
            </w:pPr>
            <w:r>
              <w:rPr/>
              <w:t>101.PRE</w:t>
            </w:r>
          </w:p>
        </w:tc>
        <w:tc>
          <w:tcPr>
            <w:tcW w:w="6590" w:type="dxa"/>
            <w:tcBorders/>
            <w:shd w:fill="auto" w:val="clear"/>
            <w:vAlign w:val="center"/>
          </w:tcPr>
          <w:p>
            <w:pPr>
              <w:pStyle w:val="TableContents"/>
              <w:spacing w:before="0" w:after="283"/>
              <w:rPr/>
            </w:pPr>
            <w:r>
              <w:rPr/>
              <w:t>Inline XBRL Taxonomy Extension Presentation Linkbase Document</w:t>
            </w:r>
          </w:p>
        </w:tc>
      </w:tr>
    </w:tbl>
    <w:p>
      <w:pPr>
        <w:pStyle w:val="TextBody"/>
        <w:spacing w:before="0" w:after="0"/>
        <w:ind w:left="0" w:right="0" w:hanging="0"/>
        <w:rPr>
          <w:caps w:val="false"/>
          <w:smallCaps w:val="false"/>
        </w:rPr>
      </w:pPr>
      <w:r>
        <w:rPr>
          <w:caps w:val="false"/>
          <w:smallCaps w:val="false"/>
        </w:rPr>
        <w:t> </w:t>
      </w:r>
    </w:p>
    <w:tbl>
      <w:tblPr>
        <w:tblW w:w="1638" w:type="dxa"/>
        <w:jc w:val="left"/>
        <w:tblInd w:w="0" w:type="dxa"/>
        <w:tblCellMar>
          <w:top w:w="0" w:type="dxa"/>
          <w:left w:w="0" w:type="dxa"/>
          <w:bottom w:w="0" w:type="dxa"/>
          <w:right w:w="0" w:type="dxa"/>
        </w:tblCellMar>
      </w:tblPr>
      <w:tblGrid>
        <w:gridCol w:w="38"/>
        <w:gridCol w:w="140"/>
        <w:gridCol w:w="146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w:t>
            </w:r>
          </w:p>
        </w:tc>
        <w:tc>
          <w:tcPr>
            <w:tcW w:w="1460" w:type="dxa"/>
            <w:tcBorders/>
            <w:shd w:fill="auto" w:val="clear"/>
            <w:vAlign w:val="center"/>
          </w:tcPr>
          <w:p>
            <w:pPr>
              <w:pStyle w:val="TableContents"/>
              <w:spacing w:before="0" w:after="283"/>
              <w:rPr/>
            </w:pPr>
            <w:r>
              <w:rPr/>
              <w:t>Filed herewith.</w:t>
            </w:r>
          </w:p>
        </w:tc>
      </w:tr>
    </w:tbl>
    <w:p>
      <w:pPr>
        <w:pStyle w:val="TextBody"/>
        <w:spacing w:before="0" w:after="0"/>
        <w:ind w:left="0" w:right="0" w:hanging="0"/>
        <w:rPr>
          <w:caps w:val="false"/>
          <w:smallCaps w:val="false"/>
        </w:rPr>
      </w:pPr>
      <w:r>
        <w:rPr>
          <w:caps w:val="false"/>
          <w:smallCaps w:val="false"/>
        </w:rPr>
        <w:t> </w:t>
      </w:r>
    </w:p>
    <w:tbl>
      <w:tblPr>
        <w:tblW w:w="3408" w:type="dxa"/>
        <w:jc w:val="left"/>
        <w:tblInd w:w="0" w:type="dxa"/>
        <w:tblCellMar>
          <w:top w:w="0" w:type="dxa"/>
          <w:left w:w="0" w:type="dxa"/>
          <w:bottom w:w="0" w:type="dxa"/>
          <w:right w:w="0" w:type="dxa"/>
        </w:tblCellMar>
      </w:tblPr>
      <w:tblGrid>
        <w:gridCol w:w="38"/>
        <w:gridCol w:w="140"/>
        <w:gridCol w:w="323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w:t>
            </w:r>
          </w:p>
        </w:tc>
        <w:tc>
          <w:tcPr>
            <w:tcW w:w="3230" w:type="dxa"/>
            <w:tcBorders/>
            <w:shd w:fill="auto" w:val="clear"/>
            <w:vAlign w:val="center"/>
          </w:tcPr>
          <w:p>
            <w:pPr>
              <w:pStyle w:val="TableContents"/>
              <w:spacing w:before="0" w:after="283"/>
              <w:rPr/>
            </w:pPr>
            <w:r>
              <w:rPr/>
              <w:t>Indicates management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25 </w:t>
      </w:r>
    </w:p>
    <w:p>
      <w:pPr>
        <w:pStyle w:val="TextBody"/>
        <w:spacing w:before="0" w:after="0"/>
        <w:ind w:left="0" w:right="0" w:hanging="0"/>
        <w:rPr/>
      </w:pPr>
      <w:r>
        <w:rPr/>
        <w:t> </w:t>
      </w:r>
    </w:p>
    <w:p>
      <w:pPr>
        <w:pStyle w:val="TextBody"/>
        <w:spacing w:before="0" w:after="0"/>
        <w:ind w:left="0" w:right="0" w:hanging="0"/>
        <w:jc w:val="center"/>
        <w:rPr>
          <w:caps w:val="false"/>
          <w:smallCaps w:val="false"/>
        </w:rPr>
      </w:pPr>
      <w:bookmarkStart w:id="43" w:name="a26"/>
      <w:bookmarkEnd w:id="43"/>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5685" w:type="dxa"/>
        <w:jc w:val="left"/>
        <w:tblInd w:w="0" w:type="dxa"/>
        <w:tblCellMar>
          <w:top w:w="0" w:type="dxa"/>
          <w:left w:w="0" w:type="dxa"/>
          <w:bottom w:w="0" w:type="dxa"/>
          <w:right w:w="0" w:type="dxa"/>
        </w:tblCellMar>
      </w:tblPr>
      <w:tblGrid>
        <w:gridCol w:w="1550"/>
        <w:gridCol w:w="320"/>
        <w:gridCol w:w="3815"/>
      </w:tblGrid>
      <w:tr>
        <w:trPr/>
        <w:tc>
          <w:tcPr>
            <w:tcW w:w="1550" w:type="dxa"/>
            <w:tcBorders/>
            <w:shd w:fill="auto" w:val="clear"/>
            <w:vAlign w:val="center"/>
          </w:tcPr>
          <w:p>
            <w:pPr>
              <w:pStyle w:val="TableContents"/>
              <w:spacing w:before="0" w:after="283"/>
              <w:rPr/>
            </w:pPr>
            <w:r>
              <w:rPr/>
              <w:t> </w:t>
            </w:r>
          </w:p>
        </w:tc>
        <w:tc>
          <w:tcPr>
            <w:tcW w:w="4135" w:type="dxa"/>
            <w:gridSpan w:val="2"/>
            <w:tcBorders/>
            <w:shd w:fill="auto" w:val="clear"/>
            <w:vAlign w:val="center"/>
          </w:tcPr>
          <w:p>
            <w:pPr>
              <w:pStyle w:val="TableContents"/>
              <w:spacing w:before="0" w:after="283"/>
              <w:rPr>
                <w:sz w:val="20"/>
              </w:rPr>
            </w:pPr>
            <w:r>
              <w:rPr>
                <w:sz w:val="20"/>
              </w:rPr>
              <w:t>electroCore, Inc.</w:t>
            </w:r>
          </w:p>
        </w:tc>
      </w:tr>
      <w:tr>
        <w:trPr/>
        <w:tc>
          <w:tcPr>
            <w:tcW w:w="1550" w:type="dxa"/>
            <w:tcBorders/>
            <w:shd w:fill="auto" w:val="clear"/>
            <w:vAlign w:val="center"/>
          </w:tcPr>
          <w:p>
            <w:pPr>
              <w:pStyle w:val="TableContents"/>
              <w:spacing w:before="0" w:after="283"/>
              <w:rPr/>
            </w:pPr>
            <w:r>
              <w:rPr/>
              <w:t> </w:t>
            </w:r>
          </w:p>
        </w:tc>
        <w:tc>
          <w:tcPr>
            <w:tcW w:w="413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sz w:val="20"/>
              </w:rPr>
            </w:pPr>
            <w:r>
              <w:rPr>
                <w:sz w:val="20"/>
              </w:rPr>
              <w:t>Date: May 1, 2023</w:t>
            </w:r>
          </w:p>
        </w:tc>
        <w:tc>
          <w:tcPr>
            <w:tcW w:w="320" w:type="dxa"/>
            <w:tcBorders/>
            <w:shd w:fill="auto" w:val="clear"/>
            <w:vAlign w:val="center"/>
          </w:tcPr>
          <w:p>
            <w:pPr>
              <w:pStyle w:val="TableContents"/>
              <w:spacing w:before="0" w:after="283"/>
              <w:rPr>
                <w:sz w:val="20"/>
              </w:rPr>
            </w:pPr>
            <w:r>
              <w:rPr>
                <w:sz w:val="20"/>
              </w:rPr>
              <w:t>By:</w:t>
            </w:r>
          </w:p>
        </w:tc>
        <w:tc>
          <w:tcPr>
            <w:tcW w:w="381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/s/ Daniel S. Goldberger</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S. Goldberger</w:t>
              <w:br/>
              <w:t>Chief Executive Officer and Director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jc w:val="center"/>
              <w:rPr/>
            </w:pPr>
            <w:r>
              <w:rPr/>
              <w:t> </w:t>
            </w:r>
          </w:p>
        </w:tc>
      </w:tr>
      <w:tr>
        <w:trPr/>
        <w:tc>
          <w:tcPr>
            <w:tcW w:w="1550" w:type="dxa"/>
            <w:tcBorders/>
            <w:shd w:fill="auto" w:val="clear"/>
            <w:vAlign w:val="center"/>
          </w:tcPr>
          <w:p>
            <w:pPr>
              <w:pStyle w:val="TableContents"/>
              <w:spacing w:before="0" w:after="283"/>
              <w:rPr>
                <w:sz w:val="20"/>
              </w:rPr>
            </w:pPr>
            <w:r>
              <w:rPr>
                <w:sz w:val="20"/>
              </w:rPr>
              <w:t>Date: May 1, 2023</w:t>
            </w:r>
          </w:p>
        </w:tc>
        <w:tc>
          <w:tcPr>
            <w:tcW w:w="320" w:type="dxa"/>
            <w:tcBorders/>
            <w:shd w:fill="auto" w:val="clear"/>
            <w:vAlign w:val="center"/>
          </w:tcPr>
          <w:p>
            <w:pPr>
              <w:pStyle w:val="TableContents"/>
              <w:spacing w:before="0" w:after="283"/>
              <w:rPr>
                <w:sz w:val="20"/>
              </w:rPr>
            </w:pPr>
            <w:r>
              <w:rPr>
                <w:sz w:val="20"/>
              </w:rPr>
              <w:t>By:</w:t>
            </w:r>
          </w:p>
        </w:tc>
        <w:tc>
          <w:tcPr>
            <w:tcW w:w="381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/s/ Brian M. Posner</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Brian M. Posner</w:t>
              <w:br/>
              <w:t>Chief Financial Officer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and Accounting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ind w:left="0" w:right="0" w:hanging="0"/>
        <w:jc w:val="both"/>
        <w:rPr>
          <w:caps w:val="false"/>
          <w:smallCaps w:val="false"/>
        </w:rPr>
      </w:pPr>
      <w:r>
        <w:rPr>
          <w:caps w:val="false"/>
          <w:smallCaps w:val="false"/>
        </w:rPr>
        <w:t> </w:t>
      </w:r>
    </w:p>
    <w:tbl>
      <w:tblPr>
        <w:tblW w:w="6120" w:type="dxa"/>
        <w:jc w:val="left"/>
        <w:tblInd w:w="0" w:type="dxa"/>
        <w:tblCellMar>
          <w:top w:w="0" w:type="dxa"/>
          <w:left w:w="0" w:type="dxa"/>
          <w:bottom w:w="28" w:type="dxa"/>
          <w:right w:w="0" w:type="dxa"/>
        </w:tblCellMar>
      </w:tblPr>
      <w:tblGrid>
        <w:gridCol w:w="2555"/>
        <w:gridCol w:w="60"/>
        <w:gridCol w:w="2195"/>
        <w:gridCol w:w="60"/>
        <w:gridCol w:w="1250"/>
      </w:tblGrid>
      <w:tr>
        <w:trPr/>
        <w:tc>
          <w:tcPr>
            <w:tcW w:w="2555" w:type="dxa"/>
            <w:tcBorders>
              <w:bottom w:val="single" w:sz="8" w:space="0" w:color="000000"/>
            </w:tcBorders>
            <w:shd w:fill="auto" w:val="clear"/>
            <w:vAlign w:val="center"/>
          </w:tcPr>
          <w:p>
            <w:pPr>
              <w:pStyle w:val="TableContents"/>
              <w:spacing w:before="0" w:after="283"/>
              <w:jc w:val="center"/>
              <w:rPr>
                <w:b/>
              </w:rPr>
            </w:pPr>
            <w:r>
              <w:rPr>
                <w:b/>
              </w:rPr>
              <w:t>Name</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bottom w:val="single" w:sz="8" w:space="0" w:color="000000"/>
            </w:tcBorders>
            <w:shd w:fill="auto" w:val="clear"/>
            <w:vAlign w:val="center"/>
          </w:tcPr>
          <w:p>
            <w:pPr>
              <w:pStyle w:val="TableContents"/>
              <w:spacing w:before="0" w:after="283"/>
              <w:jc w:val="center"/>
              <w:rPr>
                <w:b/>
              </w:rPr>
            </w:pPr>
            <w:r>
              <w:rPr>
                <w:b/>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bottom w:val="single" w:sz="8" w:space="0" w:color="000000"/>
            </w:tcBorders>
            <w:shd w:fill="auto" w:val="clear"/>
            <w:vAlign w:val="center"/>
          </w:tcPr>
          <w:p>
            <w:pPr>
              <w:pStyle w:val="TableContents"/>
              <w:spacing w:before="0" w:after="283"/>
              <w:jc w:val="center"/>
              <w:rPr>
                <w:b/>
              </w:rPr>
            </w:pPr>
            <w:r>
              <w:rPr>
                <w:b/>
              </w:rPr>
              <w:t>Date</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Peter Cuneo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Peter Cuneo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Chairman of the Board</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Daniel S. Goldberger</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Daniel S. Goldberger</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John Gandolfo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John Gandolfo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Julie Goldstein</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Julie Goldstein</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Joseph P. Errico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Joseph P. Errico</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Thomas Patton</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Thomas Patton</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Thomas J. Errico, M.D.</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Thomas J. Errico, M.D.</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Trevor J. Moody</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Trevor J. Moody</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bottom w:val="single" w:sz="8" w:space="0" w:color="000000"/>
            </w:tcBorders>
            <w:shd w:fill="auto" w:val="clear"/>
            <w:vAlign w:val="center"/>
          </w:tcPr>
          <w:p>
            <w:pPr>
              <w:pStyle w:val="TableContents"/>
              <w:spacing w:before="0" w:after="283"/>
              <w:jc w:val="center"/>
              <w:rPr/>
            </w:pPr>
            <w:r>
              <w:rPr/>
              <w:t>/s/ Patricia Wilber</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r>
        <w:trPr/>
        <w:tc>
          <w:tcPr>
            <w:tcW w:w="2555" w:type="dxa"/>
            <w:tcBorders/>
            <w:shd w:fill="auto" w:val="clear"/>
            <w:tcMar>
              <w:bottom w:w="0" w:type="dxa"/>
            </w:tcMar>
            <w:vAlign w:val="center"/>
          </w:tcPr>
          <w:p>
            <w:pPr>
              <w:pStyle w:val="TableContents"/>
              <w:spacing w:before="0" w:after="283"/>
              <w:jc w:val="center"/>
              <w:rPr>
                <w:b/>
              </w:rPr>
            </w:pPr>
            <w:r>
              <w:rPr>
                <w:b/>
              </w:rPr>
              <w:t>Patricia Wilber</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May 1, 2023</w:t>
            </w:r>
          </w:p>
        </w:tc>
      </w:tr>
      <w:tr>
        <w:trPr/>
        <w:tc>
          <w:tcPr>
            <w:tcW w:w="255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9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50" w:type="dxa"/>
            <w:tcBorders/>
            <w:shd w:fill="auto" w:val="clear"/>
            <w:tcMar>
              <w:bottom w:w="0" w:type="dxa"/>
            </w:tcMar>
            <w:vAlign w:val="center"/>
          </w:tcPr>
          <w:p>
            <w:pPr>
              <w:pStyle w:val="TableContents"/>
              <w:spacing w:before="0" w:after="283"/>
              <w:jc w:val="center"/>
              <w:rPr/>
            </w:pPr>
            <w:r>
              <w:rPr/>
              <w:t> </w:t>
            </w:r>
          </w:p>
        </w:tc>
      </w:tr>
    </w:tbl>
    <w:p>
      <w:pPr>
        <w:pStyle w:val="TextBody"/>
        <w:rPr/>
      </w:pPr>
      <w:r>
        <w:rPr/>
        <w:t> </w:t>
      </w:r>
    </w:p>
    <w:p>
      <w:pPr>
        <w:pStyle w:val="TextBody"/>
        <w:pBdr>
          <w:bottom w:val="single" w:sz="8" w:space="1" w:color="000000"/>
        </w:pBdr>
        <w:jc w:val="center"/>
        <w:rPr/>
      </w:pPr>
      <w:r>
        <w:rPr/>
        <w:t>26</w:t>
      </w:r>
    </w:p>
    <w:p>
      <w:pPr>
        <w:pStyle w:val="TextBody"/>
        <w:rPr/>
      </w:pPr>
      <w:r>
        <w:rPr/>
        <w:t> </w:t>
      </w:r>
    </w:p>
    <w:p>
      <w:pPr>
        <w:pStyle w:val="TextBody"/>
        <w:rPr/>
      </w:pPr>
      <w:r>
        <w:rPr/>
        <w:t> </w:t>
      </w:r>
    </w:p>
    <w:p>
      <w:pPr>
        <w:pStyle w:val="TextBody"/>
        <w:rPr/>
      </w:pPr>
      <w:r>
        <w:rPr/>
        <w:t> </w:t>
      </w:r>
    </w:p>
    <w:p>
      <w:pPr>
        <w:pStyle w:val="TextBody"/>
        <w:rPr/>
      </w:pPr>
      <w:r>
        <w:rPr/>
        <w:t> </w:t>
      </w:r>
      <w:r>
        <w:br w:type="page"/>
      </w:r>
    </w:p>
    <w:p>
      <w:pPr>
        <w:pStyle w:val="TextBody"/>
        <w:rPr/>
      </w:pPr>
      <w:bookmarkStart w:id="44" w:name="e618562_ex10-13.htm"/>
      <w:bookmarkStart w:id="45" w:name="kse618562_ex1013"/>
      <w:bookmarkEnd w:id="44"/>
      <w:bookmarkEnd w:id="45"/>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Executive Severance Policy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PURPOSE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electroCore, Inc. Executive Severance Policy (“the Policy”) is established to provide eligible executives of electoCore, Inc. or any of its wholly-owned subsidiaries (collectively, the “Company”) who incur an Involuntary Termination of Employment (as defined below) with severance pay and other benefits in accordance with and subject to the terms and conditions set forth in this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be an unfunded employee benefit plan maintained for a select group of management or highly compensated employees for purposes of the Employee Retirement Income Security Act of 1974, as amended. All previous existing pay plans, programs, agreements and practices that provide for the payment of severance benefits, whether formal or informal (each a “Prior Severance Plan”), are hereby revoked and terminated for any Participant (as defined below). This document applies to Participants who incur an Involuntary Termination of Employment on and after of the Effective Date of this Policy. The payment of severance benefits, if any, payable to any executive who incurred a Termination of Employment prior to the Effective Date of this Policy shall be determined in accordance with the terms of the Prior Severance Plan, applicable to such individual at the time of his Termination of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Policy, the following words shall have the following meaning unless the context clearly indicates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means the sum of (i) the Participant's unpaid base salary earned through the date of his Termination of Employment, (ii) any reimbursable business expenses incurred prior to the Participant’s Termination of Employment, (iii) any earned but unpaid vacation pay as of the Participant’s Termination of Employment and (iv) any vested benefits to which the Participant is entitled under any benefit plan, program or arrangement maintained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shall be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Base Annual Compensation</w:t>
      </w:r>
      <w:r>
        <w:rPr>
          <w:rFonts w:ascii="Times New Roman;Times;Serif" w:hAnsi="Times New Roman;Times;Serif"/>
          <w:b w:val="false"/>
          <w:i w:val="false"/>
          <w:caps w:val="false"/>
          <w:smallCaps w:val="false"/>
          <w:sz w:val="20"/>
        </w:rPr>
        <w:t>” means (a) with respect to the CEO, the sum of the Participant’s gross annual base salary and target annual incentive bonus, and (b) with respect to all other Participants, such Participant’s gross annual base salary, in each case as in effect immediately prior to the Participant’s Termination of Employment or as in effect immediately prior to any reduction in the Participant’s Base Annual Compensation that results in the Participant’s Termination of Employment for Good Reason.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electroCore,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any of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6"/>
        <w:gridCol w:w="9922"/>
      </w:tblGrid>
      <w:tr>
        <w:trPr/>
        <w:tc>
          <w:tcPr>
            <w:tcW w:w="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pPr>
            <w:r>
              <w:rPr/>
              <w:t>(a)</w:t>
            </w:r>
          </w:p>
        </w:tc>
        <w:tc>
          <w:tcPr>
            <w:tcW w:w="9922" w:type="dxa"/>
            <w:tcBorders/>
            <w:shd w:fill="auto" w:val="clear"/>
            <w:vAlign w:val="center"/>
          </w:tcPr>
          <w:p>
            <w:pPr>
              <w:pStyle w:val="TableContents"/>
              <w:spacing w:before="0" w:after="283"/>
              <w:rPr/>
            </w:pPr>
            <w:r>
              <w:rPr/>
              <w:t>the Participant’s willful failure to fulfill, in any material respect, his duties and responsibilities to the Company (other than by reason of death, illness or disability);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(b)</w:t>
            </w:r>
          </w:p>
        </w:tc>
        <w:tc>
          <w:tcPr>
            <w:tcW w:w="9927" w:type="dxa"/>
            <w:tcBorders/>
            <w:shd w:fill="auto" w:val="clear"/>
            <w:vAlign w:val="center"/>
          </w:tcPr>
          <w:p>
            <w:pPr>
              <w:pStyle w:val="TableContents"/>
              <w:spacing w:before="0" w:after="283"/>
              <w:rPr/>
            </w:pPr>
            <w:r>
              <w:rPr/>
              <w:t>The Participant’s willful misconduct, gross negligence or willful acts of personal dishonesty in the performance of his duties to the Company that directly, materially and demonstrably impairs or damages the property, goodwill, reputation, business or finances of the Company;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(c)</w:t>
            </w:r>
          </w:p>
        </w:tc>
        <w:tc>
          <w:tcPr>
            <w:tcW w:w="9938" w:type="dxa"/>
            <w:tcBorders/>
            <w:shd w:fill="auto" w:val="clear"/>
            <w:vAlign w:val="center"/>
          </w:tcPr>
          <w:p>
            <w:pPr>
              <w:pStyle w:val="TableContents"/>
              <w:spacing w:before="0" w:after="283"/>
              <w:rPr/>
            </w:pPr>
            <w:r>
              <w:rPr/>
              <w:t>The conviction of, or plea of nolo contendere by, the Participant to, a felony or a crime involving moral turpitude that materially and demonstrably impairs or damages the property, goodwill, reputation, business or finances of the Company;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383"/>
        <w:gridCol w:w="9773"/>
      </w:tblGrid>
      <w:tr>
        <w:trPr/>
        <w:tc>
          <w:tcPr>
            <w:tcW w:w="4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pPr>
            <w:r>
              <w:rPr/>
              <w:t>(d)</w:t>
            </w:r>
          </w:p>
        </w:tc>
        <w:tc>
          <w:tcPr>
            <w:tcW w:w="9773" w:type="dxa"/>
            <w:tcBorders/>
            <w:shd w:fill="auto" w:val="clear"/>
            <w:vAlign w:val="center"/>
          </w:tcPr>
          <w:p>
            <w:pPr>
              <w:pStyle w:val="TableContents"/>
              <w:spacing w:before="0" w:after="283"/>
              <w:rPr/>
            </w:pPr>
            <w:r>
              <w:rPr/>
              <w:t>The Participant’s commission of fraud or embezzlement against the Company;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2"/>
        <w:gridCol w:w="9936"/>
      </w:tblGrid>
      <w:tr>
        <w:trPr/>
        <w:tc>
          <w:tcPr>
            <w:tcW w:w="3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(e)</w:t>
            </w:r>
          </w:p>
        </w:tc>
        <w:tc>
          <w:tcPr>
            <w:tcW w:w="9936" w:type="dxa"/>
            <w:tcBorders/>
            <w:shd w:fill="auto" w:val="clear"/>
            <w:vAlign w:val="center"/>
          </w:tcPr>
          <w:p>
            <w:pPr>
              <w:pStyle w:val="TableContents"/>
              <w:spacing w:before="0" w:after="283"/>
              <w:rPr/>
            </w:pPr>
            <w:r>
              <w:rPr/>
              <w:t>the Participant’s willful or intentional violation of any lawful policy of the Company that directly, materially and demonstrably impairs or damages the property, goodwill, reputation, business or finances of the Company;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333"/>
        <w:gridCol w:w="9821"/>
      </w:tblGrid>
      <w:tr>
        <w:trPr/>
        <w:tc>
          <w:tcPr>
            <w:tcW w:w="5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pPr>
            <w:r>
              <w:rPr/>
              <w:t>(f)</w:t>
            </w:r>
          </w:p>
        </w:tc>
        <w:tc>
          <w:tcPr>
            <w:tcW w:w="9821" w:type="dxa"/>
            <w:tcBorders/>
            <w:shd w:fill="auto" w:val="clear"/>
            <w:vAlign w:val="center"/>
          </w:tcPr>
          <w:p>
            <w:pPr>
              <w:pStyle w:val="TableContents"/>
              <w:spacing w:before="0" w:after="283"/>
              <w:rPr/>
            </w:pPr>
            <w:r>
              <w:rPr/>
              <w:t>the Participant’s breach of the terms of the Restrictive Covenant Agreement.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failure or violation described in (a), (b) or (e) above shall constitute Cause unless (i) the Administrator provides the Participant with a written notice describing the Participant’s acts or omissions that constitute a failure or violation described in (a), (b) or (e) above, (ii) the Participant fails to cure such failure or violation within 10 business days after he receives such written notice and (iii) following the expiration of the cure period, the Company terminates the Participant’s employment due to such failure or violation; provided, however, that if the Administrator determines that the failure or violation described in (a), (b) or (e) is not capable of being cured, the Company may terminate the Participant’s employment for Cause at any time after the Administrator provides the written notice described in (i)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means the Chief Executive Officer of electroCore,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either: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5"/>
        <w:gridCol w:w="9903"/>
      </w:tblGrid>
      <w:tr>
        <w:trPr/>
        <w:tc>
          <w:tcPr>
            <w:tcW w:w="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pPr>
            <w:r>
              <w:rPr/>
              <w:t>(a)</w:t>
            </w:r>
          </w:p>
        </w:tc>
        <w:tc>
          <w:tcPr>
            <w:tcW w:w="9903" w:type="dxa"/>
            <w:tcBorders/>
            <w:shd w:fill="auto" w:val="clear"/>
            <w:vAlign w:val="center"/>
          </w:tcPr>
          <w:p>
            <w:pPr>
              <w:pStyle w:val="TableContents"/>
              <w:spacing w:before="0" w:after="283"/>
              <w:rPr/>
            </w:pPr>
            <w:r>
              <w:rPr/>
              <w:t>the occurrence, in a single transaction or in a series of related transactions, of any one or more of the following events: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7"/>
        <w:gridCol w:w="10000"/>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jc w:val="left"/>
              <w:rPr/>
            </w:pPr>
            <w:r>
              <w:rPr/>
              <w:t>(i)</w:t>
            </w:r>
          </w:p>
        </w:tc>
        <w:tc>
          <w:tcPr>
            <w:tcW w:w="10000" w:type="dxa"/>
            <w:tcBorders/>
            <w:shd w:fill="auto" w:val="clear"/>
            <w:vAlign w:val="center"/>
          </w:tcPr>
          <w:p>
            <w:pPr>
              <w:pStyle w:val="TableContents"/>
              <w:spacing w:before="0" w:after="283"/>
              <w:rPr/>
            </w:pPr>
            <w:r>
              <w:rPr/>
              <w:t>any person (or group of persons acting together) other than Core Ventures II, LLC and its managing members becomes the owner, directly or indirectly, of securities of the Company representing more than 50% of the combined voting power of the Company’s then outstanding voting securities other than by virtue of a merger, consolidation or similar transaction; provided, however, that a Change in Control under this clause (i) shall not occur solely as a result of any redemption, repurchase or other acquisition of voting securities by the Company reducing the number of shares outstanding;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9"/>
        <w:gridCol w:w="9938"/>
      </w:tblGrid>
      <w:tr>
        <w:trPr/>
        <w:tc>
          <w:tcPr>
            <w:tcW w:w="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jc w:val="left"/>
              <w:rPr/>
            </w:pPr>
            <w:r>
              <w:rPr/>
              <w:t>(ii)</w:t>
            </w:r>
          </w:p>
        </w:tc>
        <w:tc>
          <w:tcPr>
            <w:tcW w:w="9938" w:type="dxa"/>
            <w:tcBorders/>
            <w:shd w:fill="auto" w:val="clear"/>
            <w:vAlign w:val="center"/>
          </w:tcPr>
          <w:p>
            <w:pPr>
              <w:pStyle w:val="TableContents"/>
              <w:spacing w:before="0" w:after="283"/>
              <w:rPr/>
            </w:pPr>
            <w:r>
              <w:rPr/>
              <w:t>any person (or group of persons acting together) other than Core Ventures II, LLC and its managing members acquires (or has acquired within any 12-month period ending on the date of the most recent acquisition by such person or group) ownership, directly or indirectly, of securities of the Company representing more than 30% of the combined voting power of the Company’s then outstanding voting securities other than by virtue of a merger, consolidation or similar transaction;</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- 2 - </w:t>
      </w:r>
    </w:p>
    <w:p>
      <w:pPr>
        <w:pStyle w:val="TextBody"/>
        <w:spacing w:before="0" w:after="0"/>
        <w:ind w:left="0" w:right="0" w:hanging="0"/>
        <w:jc w:val="right"/>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85"/>
        <w:gridCol w:w="9882"/>
      </w:tblGrid>
      <w:tr>
        <w:trPr/>
        <w:tc>
          <w:tcPr>
            <w:tcW w:w="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jc w:val="left"/>
              <w:rPr/>
            </w:pPr>
            <w:r>
              <w:rPr/>
              <w:t>(iii)</w:t>
            </w:r>
          </w:p>
        </w:tc>
        <w:tc>
          <w:tcPr>
            <w:tcW w:w="9882" w:type="dxa"/>
            <w:tcBorders/>
            <w:shd w:fill="auto" w:val="clear"/>
            <w:vAlign w:val="center"/>
          </w:tcPr>
          <w:p>
            <w:pPr>
              <w:pStyle w:val="TableContents"/>
              <w:spacing w:before="0" w:after="283"/>
              <w:rPr/>
            </w:pPr>
            <w:r>
              <w:rPr/>
              <w:t>the consummation of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any direct or indirect parent of the surviving entity in such merger, consolidation or similar transaction; 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0"/>
        <w:gridCol w:w="9877"/>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(iv)</w:t>
            </w:r>
          </w:p>
        </w:tc>
        <w:tc>
          <w:tcPr>
            <w:tcW w:w="9877" w:type="dxa"/>
            <w:tcBorders/>
            <w:shd w:fill="auto" w:val="clear"/>
            <w:vAlign w:val="center"/>
          </w:tcPr>
          <w:p>
            <w:pPr>
              <w:pStyle w:val="TableContents"/>
              <w:spacing w:before="0" w:after="283"/>
              <w:rPr/>
            </w:pPr>
            <w:r>
              <w:rPr/>
              <w:t>the acquisition by a person (or a group of persons acting together) other than Core Ventures II, LLC and its managing members during the 12-month period ending on the date of the most recent acquisition by such person or group of assets from the Company that have a total gross fair market value equal to or exceeding 40% of the total gross fair market value of all of the assets of the Company immediately before such acquisition or acquisitions.</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transaction or series of related transactions shall constitute a Change in Control of the Company unless such transaction or series of related transactions qualify as a change in ownership of the Company, a change in effective control of the Company or a change in ownership of a substantial portion of the Company’s assets as each of these terms are defined in Treasury Regulation Section 1.409A-3(i)(5).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provisions regarding healthcare continuation coverage set forth in Section 601 et seq. of ERISA and Section 4980B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COBRA Premium</w:t>
      </w:r>
      <w:r>
        <w:rPr>
          <w:rFonts w:ascii="Times New Roman;Times;Serif" w:hAnsi="Times New Roman;Times;Serif"/>
          <w:b w:val="false"/>
          <w:i w:val="false"/>
          <w:caps w:val="false"/>
          <w:smallCaps w:val="false"/>
          <w:sz w:val="20"/>
        </w:rPr>
        <w:t>” means the monthly cost of providing healthcare continuation coverage for a qualified beneficiary under COBRA, as adjusted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electroCore, Inc., its wholly-owned subsidiaries and its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val="false"/>
          <w:i w:val="false"/>
          <w:caps w:val="false"/>
          <w:smallCaps w:val="false"/>
          <w:sz w:val="20"/>
        </w:rPr>
        <w:t>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Eligible Participant</w:t>
      </w:r>
      <w:r>
        <w:rPr>
          <w:rFonts w:ascii="Times New Roman;Times;Serif" w:hAnsi="Times New Roman;Times;Serif"/>
          <w:b w:val="false"/>
          <w:i w:val="false"/>
          <w:caps w:val="false"/>
          <w:smallCaps w:val="false"/>
          <w:sz w:val="20"/>
        </w:rPr>
        <w:t>” means a Participant who satisfies the eligibility conditions set forth in Section 3.01 for receiving Severance Benefits under this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- 3 -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Excess Parachute Tax</w:t>
      </w:r>
      <w:r>
        <w:rPr>
          <w:rFonts w:ascii="Times New Roman;Times;Serif" w:hAnsi="Times New Roman;Times;Serif"/>
          <w:b w:val="false"/>
          <w:i w:val="false"/>
          <w:caps w:val="false"/>
          <w:smallCaps w:val="false"/>
          <w:sz w:val="20"/>
        </w:rPr>
        <w:t>” means the taxes, if any, imposed under Section 4999 of the Code on a Participant with respect to all or a portion of his Total Parachute Payments as a result of a Change in ownership or effective control of the Company (within the meaning of Section 280G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0"/>
        <w:gridCol w:w="9948"/>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pPr>
            <w:r>
              <w:rPr/>
              <w:t>(a)</w:t>
            </w:r>
          </w:p>
        </w:tc>
        <w:tc>
          <w:tcPr>
            <w:tcW w:w="9948" w:type="dxa"/>
            <w:tcBorders/>
            <w:shd w:fill="auto" w:val="clear"/>
            <w:vAlign w:val="center"/>
          </w:tcPr>
          <w:p>
            <w:pPr>
              <w:pStyle w:val="TableContents"/>
              <w:spacing w:before="0" w:after="283"/>
              <w:rPr/>
            </w:pPr>
            <w:r>
              <w:rPr/>
              <w:t>Any material reduction in the Participant's Base Annual Compensation prior to a Change in Control; provided, however, that a reduction in the Participant’s Annual Base Compensation under this paragraph (a) shall not constitute Good Reason if the Company reduces the Annual Base Compensation of all Participants on a substantially equivalent basis;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(b)</w:t>
            </w:r>
          </w:p>
        </w:tc>
        <w:tc>
          <w:tcPr>
            <w:tcW w:w="9916" w:type="dxa"/>
            <w:tcBorders/>
            <w:shd w:fill="auto" w:val="clear"/>
            <w:vAlign w:val="center"/>
          </w:tcPr>
          <w:p>
            <w:pPr>
              <w:pStyle w:val="TableContents"/>
              <w:spacing w:before="0" w:after="283"/>
              <w:rPr/>
            </w:pPr>
            <w:r>
              <w:rPr/>
              <w:t>any material reduction in the Participant's Base Annual Compensation during the period commencing on or after a Change in Control and ending on the second anniversary of a Change in Control;</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304"/>
        <w:gridCol w:w="9859"/>
      </w:tblGrid>
      <w:tr>
        <w:trPr/>
        <w:tc>
          <w:tcPr>
            <w:tcW w:w="4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pPr>
            <w:r>
              <w:rPr/>
              <w:t>(c)</w:t>
            </w:r>
          </w:p>
        </w:tc>
        <w:tc>
          <w:tcPr>
            <w:tcW w:w="9859" w:type="dxa"/>
            <w:tcBorders/>
            <w:shd w:fill="auto" w:val="clear"/>
            <w:vAlign w:val="center"/>
          </w:tcPr>
          <w:p>
            <w:pPr>
              <w:pStyle w:val="TableContents"/>
              <w:spacing w:before="0" w:after="283"/>
              <w:rPr/>
            </w:pPr>
            <w:r>
              <w:rPr/>
              <w:t>any material diminution in the Participant’s authority, duties, offices, title or responsibilities;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1"/>
        <w:gridCol w:w="9907"/>
      </w:tblGrid>
      <w:tr>
        <w:trPr/>
        <w:tc>
          <w:tcPr>
            <w:tcW w:w="3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pPr>
            <w:r>
              <w:rPr/>
              <w:t>(d)</w:t>
            </w:r>
          </w:p>
        </w:tc>
        <w:tc>
          <w:tcPr>
            <w:tcW w:w="9907" w:type="dxa"/>
            <w:tcBorders/>
            <w:shd w:fill="auto" w:val="clear"/>
            <w:vAlign w:val="center"/>
          </w:tcPr>
          <w:p>
            <w:pPr>
              <w:pStyle w:val="TableContents"/>
              <w:spacing w:before="0" w:after="283"/>
              <w:rPr/>
            </w:pPr>
            <w:r>
              <w:rPr/>
              <w:t>a transfer of Participant’s principal place of employment to a location that is more than 30 miles from the Participant’s then current principal place of employment.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will not have Good Reason to terminate his employment and receive Severance Benefits under this Policy unless the Participant provides the Administrator with written notice of the circumstances he believes constitutes Good Reason within 30 days after the occurrence of such circumstances, or, if later, within 30 days after the Participant in the exercise of ordinary care first becomes aware of any such circumstances. If the Participant does not provide such written notice within this time period, he may not assert those circumstances as a basis for any Termination of Employment for Good Reason. If Company does not cure any claimed event of Good Reason within 30 days after receipt of such written notice from the Participant, the Participant may terminate his employment for Good Reason within 60 days after the expiration of such cure period. If the Participant terminates his employment prior to the expiration of the 30-day cure period or more than 60 days after the expiration of such cure period, the Participant will not be treated as having terminated his employment for Good Reason.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Involuntary Termination of Employment</w:t>
      </w:r>
      <w:r>
        <w:rPr>
          <w:rFonts w:ascii="Times New Roman;Times;Serif" w:hAnsi="Times New Roman;Times;Serif"/>
          <w:b w:val="false"/>
          <w:i w:val="false"/>
          <w:caps w:val="false"/>
          <w:smallCaps w:val="false"/>
          <w:sz w:val="20"/>
        </w:rPr>
        <w:t>” means a Participant’s Termination of Employment (i) by the Company for any reason other than for Cause or (ii) by the Participant for Good Reason. Notwithstanding the foregoing, however, an Involuntary Termination of Employment shall not include a termination of a Participant’s employment due to:</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(a)</w:t>
            </w:r>
          </w:p>
        </w:tc>
        <w:tc>
          <w:tcPr>
            <w:tcW w:w="9908" w:type="dxa"/>
            <w:tcBorders/>
            <w:shd w:fill="auto" w:val="clear"/>
            <w:vAlign w:val="center"/>
          </w:tcPr>
          <w:p>
            <w:pPr>
              <w:pStyle w:val="TableContents"/>
              <w:spacing w:before="0" w:after="283"/>
              <w:rPr/>
            </w:pPr>
            <w:r>
              <w:rPr/>
              <w:t>the Participant’s death, total and permanent disability or his voluntary resignation or retirement (other than for Good Reason);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(b)</w:t>
            </w:r>
          </w:p>
        </w:tc>
        <w:tc>
          <w:tcPr>
            <w:tcW w:w="9940" w:type="dxa"/>
            <w:tcBorders/>
            <w:shd w:fill="auto" w:val="clear"/>
            <w:vAlign w:val="center"/>
          </w:tcPr>
          <w:p>
            <w:pPr>
              <w:pStyle w:val="TableContents"/>
              <w:spacing w:before="0" w:after="283"/>
              <w:rPr/>
            </w:pPr>
            <w:r>
              <w:rPr/>
              <w:t>the sale or other disposition of any subsidiary, division or business unit of the Company or the outsourcing of any operations of the Company if the Participant receives a written offer of comparable employment from the purchaser of such subsidiary, division or business unit or from the entity that acquires the outsourced operations or from any direct or indirect parent, subsidiary or affiliate of such purchaser or entity (a “Successor Employer”) whether or not the Participant accepts such offer of comparable employment.</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- 4 - </w:t>
      </w:r>
    </w:p>
    <w:p>
      <w:pPr>
        <w:pStyle w:val="TextBody"/>
        <w:spacing w:before="0" w:after="0"/>
        <w:ind w:left="0" w:right="0" w:hanging="0"/>
        <w:jc w:val="right"/>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offer of employment from a Successor Employer will not be considered to be an offer of “comparable employment” for purposes of (b) unless all of the following conditions are satisfied: (i) the Participant is offered Base Annual Compensation in an amount equal to or exceeding 100% of the Participant’s Base Annual Compensation immediately prior to the consummation of such transaction, (ii) the Participant is offered employment by the Successor Employer at a principal place of employment that is located not more than 30 miles from the Participant’s principal place of employment with the Company immediately prior to the consummation of such transaction and (iii) the Successor Employer offers the Participant employment in a position that is not expected to result in a material diminution in the authority, duties or responsibilities the Participant held immediately prior to his Termination of Employment, regardless of his title or position with the Successor Employer.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CEO, and each other member of the Company’s senior management team who is designated (by name or by job title or description) as a Participant hereunder by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 general release of a Participant’s claims against the Company, its subsidiaries, affiliates, predecessors, and successor, and their respective agents, officers, directors, employees and stockholders in a form provided by the Administrator in good faith.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means the Employee Confidentiality and Assignment Agreement or similar agreement imposing employment covenants on the Participant in favor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means the Severance Pay and other benefits payable to an Eligible Participant pursuant to Article IV of this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means the cash payments made to an Eligible Participant pursuant to Section 4.01 of this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means the period commencing on the first day following an Eligible Participant’s Involuntary Termination of Employment and continuing for a period equal to:</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3"/>
        <w:gridCol w:w="9955"/>
      </w:tblGrid>
      <w:tr>
        <w:trPr/>
        <w:tc>
          <w:tcPr>
            <w:tcW w:w="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5" w:type="dxa"/>
            <w:tcBorders/>
            <w:shd w:fill="auto" w:val="clear"/>
            <w:vAlign w:val="center"/>
          </w:tcPr>
          <w:p>
            <w:pPr>
              <w:pStyle w:val="TableContents"/>
              <w:spacing w:before="0" w:after="283"/>
              <w:rPr/>
            </w:pPr>
            <w:r>
              <w:rPr/>
              <w:t>If the Eligible Participant’s Involuntary Termination of Employment occurs prior to a Change in Control or on or after the second anniversary of a Change in Control, the number of months set forth in the applicable table below based on the Eligible Participant’s employment position at the time of his Involuntary Termination of Employment or his employment position immediately prior to any change in his employment position that results in the Participant’s Termination of Employment for Good Reason:</w:t>
            </w:r>
          </w:p>
        </w:tc>
      </w:tr>
    </w:tbl>
    <w:p>
      <w:pPr>
        <w:pStyle w:val="TextBody"/>
        <w:spacing w:before="0" w:after="0"/>
        <w:rPr>
          <w:caps w:val="false"/>
          <w:smallCaps w:val="false"/>
        </w:rPr>
      </w:pPr>
      <w:r>
        <w:rPr>
          <w:caps w:val="false"/>
          <w:smallCaps w:val="false"/>
        </w:rPr>
        <w:t> </w:t>
      </w:r>
    </w:p>
    <w:tbl>
      <w:tblPr>
        <w:tblW w:w="3385" w:type="dxa"/>
        <w:jc w:val="center"/>
        <w:tblInd w:w="0" w:type="dxa"/>
        <w:tblCellMar>
          <w:top w:w="28" w:type="dxa"/>
          <w:left w:w="28" w:type="dxa"/>
          <w:bottom w:w="28" w:type="dxa"/>
          <w:right w:w="28" w:type="dxa"/>
        </w:tblCellMar>
      </w:tblPr>
      <w:tblGrid>
        <w:gridCol w:w="1865"/>
        <w:gridCol w:w="1520"/>
      </w:tblGrid>
      <w:tr>
        <w:trPr/>
        <w:tc>
          <w:tcPr>
            <w:tcW w:w="18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b/>
                <w:sz w:val="20"/>
              </w:rPr>
            </w:pPr>
            <w:r>
              <w:rPr>
                <w:b/>
                <w:sz w:val="20"/>
              </w:rPr>
              <w:t>Employment Position</w:t>
            </w:r>
          </w:p>
        </w:tc>
        <w:tc>
          <w:tcPr>
            <w:tcW w:w="152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Severance Period</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CEO :</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12 months</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All Other Participants:</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6 months</w:t>
            </w:r>
          </w:p>
        </w:tc>
      </w:tr>
    </w:tbl>
    <w:p>
      <w:pPr>
        <w:pStyle w:val="TextBody"/>
        <w:rPr/>
      </w:pPr>
      <w:r>
        <w:rPr/>
        <w:t> </w:t>
      </w:r>
    </w:p>
    <w:p>
      <w:pPr>
        <w:pStyle w:val="TextBody"/>
        <w:spacing w:before="0" w:after="0"/>
        <w:jc w:val="center"/>
        <w:rPr>
          <w:bdr w:val="single" w:sz="8" w:space="1" w:color="000000"/>
        </w:rPr>
      </w:pPr>
      <w:r>
        <w:rPr>
          <w:bdr w:val="single" w:sz="8" w:space="1" w:color="000000"/>
        </w:rPr>
        <w:t>- 5 - </w:t>
      </w:r>
    </w:p>
    <w:p>
      <w:pPr>
        <w:pStyle w:val="TextBody"/>
        <w:spacing w:before="0" w:after="0"/>
        <w:ind w:left="0" w:right="0" w:hanging="0"/>
        <w:jc w:val="right"/>
        <w:rPr/>
      </w:pPr>
      <w:r>
        <w:rPr/>
        <w:t> </w:t>
      </w:r>
    </w:p>
    <w:p>
      <w:pPr>
        <w:pStyle w:val="TextBody"/>
        <w:rPr/>
      </w:pPr>
      <w:r>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rPr/>
            </w:pPr>
            <w:r>
              <w:rPr/>
              <w:t>If an Eligible Participant’s Involuntary Termination of Employment occurs on or after a Change in Control and prior to the second anniversary of such Change in Control, the number of months set forth in the applicable table below based on the Eligible Participant’s employment position at the time of his Involuntary Termination of Employment or his position immediately prior to any change in his employment position that results in his Termination of Employment for Good Reason:</w:t>
            </w:r>
          </w:p>
        </w:tc>
      </w:tr>
    </w:tbl>
    <w:p>
      <w:pPr>
        <w:pStyle w:val="TextBody"/>
        <w:spacing w:before="0" w:after="0"/>
        <w:rPr>
          <w:caps w:val="false"/>
          <w:smallCaps w:val="false"/>
        </w:rPr>
      </w:pPr>
      <w:r>
        <w:rPr>
          <w:caps w:val="false"/>
          <w:smallCaps w:val="false"/>
        </w:rPr>
        <w:t> </w:t>
      </w:r>
    </w:p>
    <w:tbl>
      <w:tblPr>
        <w:tblW w:w="3385" w:type="dxa"/>
        <w:jc w:val="center"/>
        <w:tblInd w:w="0" w:type="dxa"/>
        <w:tblCellMar>
          <w:top w:w="28" w:type="dxa"/>
          <w:left w:w="28" w:type="dxa"/>
          <w:bottom w:w="28" w:type="dxa"/>
          <w:right w:w="28" w:type="dxa"/>
        </w:tblCellMar>
      </w:tblPr>
      <w:tblGrid>
        <w:gridCol w:w="1865"/>
        <w:gridCol w:w="1520"/>
      </w:tblGrid>
      <w:tr>
        <w:trPr/>
        <w:tc>
          <w:tcPr>
            <w:tcW w:w="18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b/>
                <w:sz w:val="20"/>
              </w:rPr>
            </w:pPr>
            <w:r>
              <w:rPr>
                <w:b/>
                <w:sz w:val="20"/>
              </w:rPr>
              <w:t>Employment Position</w:t>
            </w:r>
          </w:p>
        </w:tc>
        <w:tc>
          <w:tcPr>
            <w:tcW w:w="152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Severance Period</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CEO:</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18 months</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All Other Participants:</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12 months</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2.25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 or words to similar effect means the Participant’s separation from service (as defined in regulations under Section 409A of the Code) with the Company (and each entity that together with the Company is required to be treated as a single service recipient for purposes of determining whether a separation from service has occurred for purposes of Section 409A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Total Parachute Payments</w:t>
      </w:r>
      <w:r>
        <w:rPr>
          <w:rFonts w:ascii="Times New Roman;Times;Serif" w:hAnsi="Times New Roman;Times;Serif"/>
          <w:b w:val="false"/>
          <w:i w:val="false"/>
          <w:caps w:val="false"/>
          <w:smallCaps w:val="false"/>
          <w:sz w:val="20"/>
        </w:rPr>
        <w:t>” shall mean any payment or benefit in the nature of compensation (within the meaning of Section 280G(b)(2) of the Code) paid or provided to or for the benefit of a Participant (whether paid or provided pursuant to this Policy or otherwise) which is conditioned on a Change in ownership or effective control of the Company (within the meaning of Section 280G of the Code) and would subject the Eligible Participant in whole or in part to an Excess Parachute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ELIGIBILITY FOR SEVERANCE BENEFITS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3.01    </w:t>
      </w:r>
      <w:r>
        <w:rPr>
          <w:rFonts w:ascii="Times New Roman;Times;Serif" w:hAnsi="Times New Roman;Times;Serif"/>
          <w:b w:val="false"/>
          <w:i w:val="false"/>
          <w:caps w:val="false"/>
          <w:smallCaps w:val="false"/>
          <w:sz w:val="20"/>
          <w:u w:val="single"/>
        </w:rPr>
        <w:t>Eligibility for Severance Benefits</w:t>
      </w:r>
      <w:r>
        <w:rPr>
          <w:rFonts w:ascii="Times New Roman;Times;Serif" w:hAnsi="Times New Roman;Times;Serif"/>
          <w:b w:val="false"/>
          <w:i w:val="false"/>
          <w:caps w:val="false"/>
          <w:smallCaps w:val="false"/>
          <w:sz w:val="20"/>
        </w:rPr>
        <w:t>. A Participant will become an Eligible Participant who is entitled to receive Severance Benefits under this Policy if such Participant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543"/>
        <w:gridCol w:w="9587"/>
      </w:tblGrid>
      <w:tr>
        <w:trPr/>
        <w:tc>
          <w:tcPr>
            <w:tcW w:w="7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pPr>
            <w:r>
              <w:rPr/>
              <w:t>(a)</w:t>
            </w:r>
          </w:p>
        </w:tc>
        <w:tc>
          <w:tcPr>
            <w:tcW w:w="9587" w:type="dxa"/>
            <w:tcBorders/>
            <w:shd w:fill="auto" w:val="clear"/>
            <w:vAlign w:val="center"/>
          </w:tcPr>
          <w:p>
            <w:pPr>
              <w:pStyle w:val="TableContents"/>
              <w:spacing w:before="0" w:after="283"/>
              <w:rPr/>
            </w:pPr>
            <w:r>
              <w:rPr/>
              <w:t>incurs an Involuntary Termination of Employment,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0"/>
        <w:gridCol w:w="9918"/>
      </w:tblGrid>
      <w:tr>
        <w:trPr/>
        <w:tc>
          <w:tcPr>
            <w:tcW w:w="3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(b)</w:t>
            </w:r>
          </w:p>
        </w:tc>
        <w:tc>
          <w:tcPr>
            <w:tcW w:w="9918" w:type="dxa"/>
            <w:tcBorders/>
            <w:shd w:fill="auto" w:val="clear"/>
            <w:vAlign w:val="center"/>
          </w:tcPr>
          <w:p>
            <w:pPr>
              <w:pStyle w:val="TableContents"/>
              <w:spacing w:before="0" w:after="283"/>
              <w:rPr/>
            </w:pPr>
            <w:r>
              <w:rPr/>
              <w:t>timely executes a Release within 60 days following such Involuntary Termination of Employment (or within such shorter time frame as may be specified in the Release provided by the Administrator),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6"/>
        <w:gridCol w:w="9942"/>
      </w:tblGrid>
      <w:tr>
        <w:trPr/>
        <w:tc>
          <w:tcPr>
            <w:tcW w:w="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(c)</w:t>
            </w:r>
          </w:p>
        </w:tc>
        <w:tc>
          <w:tcPr>
            <w:tcW w:w="9942" w:type="dxa"/>
            <w:tcBorders/>
            <w:shd w:fill="auto" w:val="clear"/>
            <w:vAlign w:val="center"/>
          </w:tcPr>
          <w:p>
            <w:pPr>
              <w:pStyle w:val="TableContents"/>
              <w:spacing w:before="0" w:after="283"/>
              <w:rPr/>
            </w:pPr>
            <w:r>
              <w:rPr/>
              <w:t>does not revoke such Release within the applicable revocation period provided under applicable law for revocation of a release of employment-based claims (including, without limitation, the release of claims under the Age Discrimination in Employment Act).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does not return a signed copy of the Release to the Company within the time frame specified above or who revokes a signed Release within the applicable revocation period, will not be eligible to receive any Severance Benefits under this Policy. The Company will provide a Participant who has an Involuntary Termination of Employment with an executable form of Release no later than five business days after the Participant’s Involuntary Termination of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- 6 -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SEVERANCE BENEFITS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Eligible Participant who satisfies the eligibility requirements set forth in Section 3.01 will receive Severance Pay and other Severance Benefits as provided in this Article IV, in addition to the payment of any Accrued Obligations to which the Eligible Participant is entitled.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4.01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3"/>
        <w:gridCol w:w="969"/>
        <w:gridCol w:w="9103"/>
      </w:tblGrid>
      <w:tr>
        <w:trPr/>
        <w:tc>
          <w:tcPr>
            <w:tcW w:w="13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pPr>
            <w:r>
              <w:rPr/>
              <w:t>(a)</w:t>
            </w:r>
          </w:p>
        </w:tc>
        <w:tc>
          <w:tcPr>
            <w:tcW w:w="9103" w:type="dxa"/>
            <w:tcBorders/>
            <w:shd w:fill="auto" w:val="clear"/>
            <w:vAlign w:val="center"/>
          </w:tcPr>
          <w:p>
            <w:pPr>
              <w:pStyle w:val="TableContents"/>
              <w:spacing w:before="0" w:after="283"/>
              <w:rPr/>
            </w:pPr>
            <w:r>
              <w:rPr>
                <w:u w:val="single"/>
              </w:rPr>
              <w:t>Amount of Severance Pay</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9"/>
        <w:gridCol w:w="9998"/>
      </w:tblGrid>
      <w:tr>
        <w:trPr/>
        <w:tc>
          <w:tcPr>
            <w:tcW w:w="3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jc w:val="left"/>
              <w:rPr/>
            </w:pPr>
            <w:r>
              <w:rPr/>
              <w:t>(i)</w:t>
            </w:r>
          </w:p>
        </w:tc>
        <w:tc>
          <w:tcPr>
            <w:tcW w:w="9998" w:type="dxa"/>
            <w:tcBorders/>
            <w:shd w:fill="auto" w:val="clear"/>
            <w:vAlign w:val="center"/>
          </w:tcPr>
          <w:p>
            <w:pPr>
              <w:pStyle w:val="TableContents"/>
              <w:spacing w:before="0" w:after="283"/>
              <w:rPr/>
            </w:pPr>
            <w:r>
              <w:rPr>
                <w:u w:val="single"/>
              </w:rPr>
              <w:t>Normal Severance</w:t>
            </w:r>
            <w:r>
              <w:rPr/>
              <w:t>. Except as provided in clause (ii) below, an Eligible Participant will receive Severance Pay in an amount equal to his Base Annual Compensation times the applicable severance multiple specified in the table below based on the Eligible Participant’s employment position at the time of his Involuntary Termination of Employment or his employment position immediately prior to any change in his employment position that results in his Termination of Employment for Good Reason:</w:t>
            </w:r>
          </w:p>
        </w:tc>
      </w:tr>
    </w:tbl>
    <w:p>
      <w:pPr>
        <w:pStyle w:val="TextBody"/>
        <w:spacing w:before="0" w:after="0"/>
        <w:rPr>
          <w:caps w:val="false"/>
          <w:smallCaps w:val="false"/>
        </w:rPr>
      </w:pPr>
      <w:r>
        <w:rPr>
          <w:caps w:val="false"/>
          <w:smallCaps w:val="false"/>
        </w:rPr>
        <w:t> </w:t>
      </w:r>
    </w:p>
    <w:tbl>
      <w:tblPr>
        <w:tblW w:w="3535" w:type="dxa"/>
        <w:jc w:val="center"/>
        <w:tblInd w:w="0" w:type="dxa"/>
        <w:tblCellMar>
          <w:top w:w="28" w:type="dxa"/>
          <w:left w:w="28" w:type="dxa"/>
          <w:bottom w:w="28" w:type="dxa"/>
          <w:right w:w="28" w:type="dxa"/>
        </w:tblCellMar>
      </w:tblPr>
      <w:tblGrid>
        <w:gridCol w:w="1865"/>
        <w:gridCol w:w="1670"/>
      </w:tblGrid>
      <w:tr>
        <w:trPr/>
        <w:tc>
          <w:tcPr>
            <w:tcW w:w="18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b/>
                <w:sz w:val="20"/>
              </w:rPr>
            </w:pPr>
            <w:r>
              <w:rPr>
                <w:b/>
                <w:sz w:val="20"/>
              </w:rPr>
              <w:t>Employment Position</w:t>
            </w:r>
          </w:p>
        </w:tc>
        <w:tc>
          <w:tcPr>
            <w:tcW w:w="167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Severance Multiple</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CEO :</w:t>
            </w:r>
          </w:p>
        </w:tc>
        <w:tc>
          <w:tcPr>
            <w:tcW w:w="16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1.0</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All Other Participants:</w:t>
            </w:r>
          </w:p>
        </w:tc>
        <w:tc>
          <w:tcPr>
            <w:tcW w:w="16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0.5</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jc w:val="left"/>
              <w:rPr/>
            </w:pPr>
            <w:r>
              <w:rPr/>
              <w:t>(ii)</w:t>
            </w:r>
          </w:p>
        </w:tc>
        <w:tc>
          <w:tcPr>
            <w:tcW w:w="9941" w:type="dxa"/>
            <w:tcBorders/>
            <w:shd w:fill="auto" w:val="clear"/>
            <w:vAlign w:val="center"/>
          </w:tcPr>
          <w:p>
            <w:pPr>
              <w:pStyle w:val="TableContents"/>
              <w:spacing w:before="0" w:after="283"/>
              <w:rPr/>
            </w:pPr>
            <w:r>
              <w:rPr>
                <w:u w:val="single"/>
              </w:rPr>
              <w:t>Change in Control Severance</w:t>
            </w:r>
            <w:r>
              <w:rPr/>
              <w:t>. If an Eligible Participant’s Involuntary Termination of Employment occurs on or after a Change in Control and prior to the second anniversary of such Change in Control, he will receive Severance Pay in an amount equal to his Base Annual Compensation times the applicable severance multiple specified in the table below based on the Eligible Participant’s employment position at the time of his Involuntary Termination of Employment or his employment position immediately prior to any change in his employment position that results in his Termination of Employment for Good Reason:</w:t>
            </w:r>
          </w:p>
        </w:tc>
      </w:tr>
    </w:tbl>
    <w:p>
      <w:pPr>
        <w:pStyle w:val="TextBody"/>
        <w:spacing w:before="0" w:after="0"/>
        <w:rPr>
          <w:caps w:val="false"/>
          <w:smallCaps w:val="false"/>
        </w:rPr>
      </w:pPr>
      <w:r>
        <w:rPr>
          <w:caps w:val="false"/>
          <w:smallCaps w:val="false"/>
        </w:rPr>
        <w:t> </w:t>
      </w:r>
    </w:p>
    <w:tbl>
      <w:tblPr>
        <w:tblW w:w="3535" w:type="dxa"/>
        <w:jc w:val="center"/>
        <w:tblInd w:w="0" w:type="dxa"/>
        <w:tblCellMar>
          <w:top w:w="28" w:type="dxa"/>
          <w:left w:w="28" w:type="dxa"/>
          <w:bottom w:w="28" w:type="dxa"/>
          <w:right w:w="28" w:type="dxa"/>
        </w:tblCellMar>
      </w:tblPr>
      <w:tblGrid>
        <w:gridCol w:w="1865"/>
        <w:gridCol w:w="1670"/>
      </w:tblGrid>
      <w:tr>
        <w:trPr/>
        <w:tc>
          <w:tcPr>
            <w:tcW w:w="18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b/>
                <w:sz w:val="20"/>
              </w:rPr>
            </w:pPr>
            <w:r>
              <w:rPr>
                <w:b/>
                <w:sz w:val="20"/>
              </w:rPr>
              <w:t>Employment Position</w:t>
            </w:r>
          </w:p>
        </w:tc>
        <w:tc>
          <w:tcPr>
            <w:tcW w:w="167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Severance Multiple</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CEO:</w:t>
            </w:r>
          </w:p>
        </w:tc>
        <w:tc>
          <w:tcPr>
            <w:tcW w:w="16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1.5</w:t>
            </w:r>
          </w:p>
        </w:tc>
      </w:tr>
      <w:tr>
        <w:trPr/>
        <w:tc>
          <w:tcPr>
            <w:tcW w:w="18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All Other Participants:</w:t>
            </w:r>
          </w:p>
        </w:tc>
        <w:tc>
          <w:tcPr>
            <w:tcW w:w="16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sz w:val="20"/>
              </w:rPr>
              <w:t>1.0</w:t>
            </w:r>
          </w:p>
        </w:tc>
      </w:tr>
    </w:tbl>
    <w:p>
      <w:pPr>
        <w:pStyle w:val="TextBody"/>
        <w:rPr/>
      </w:pPr>
      <w:r>
        <w:rPr/>
        <w:t> </w:t>
      </w:r>
    </w:p>
    <w:tbl>
      <w:tblPr>
        <w:tblW w:w="5000" w:type="pct"/>
        <w:jc w:val="left"/>
        <w:tblInd w:w="0" w:type="dxa"/>
        <w:tblCellMar>
          <w:top w:w="0" w:type="dxa"/>
          <w:left w:w="0" w:type="dxa"/>
          <w:bottom w:w="0" w:type="dxa"/>
          <w:right w:w="0" w:type="dxa"/>
        </w:tblCellMar>
      </w:tblPr>
      <w:tblGrid>
        <w:gridCol w:w="137"/>
        <w:gridCol w:w="1048"/>
        <w:gridCol w:w="9020"/>
      </w:tblGrid>
      <w:tr>
        <w:trPr/>
        <w:tc>
          <w:tcPr>
            <w:tcW w:w="137"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pPr>
            <w:r>
              <w:rPr/>
              <w:t>(b)</w:t>
            </w:r>
          </w:p>
        </w:tc>
        <w:tc>
          <w:tcPr>
            <w:tcW w:w="9020" w:type="dxa"/>
            <w:tcBorders/>
            <w:shd w:fill="auto" w:val="clear"/>
            <w:vAlign w:val="center"/>
          </w:tcPr>
          <w:p>
            <w:pPr>
              <w:pStyle w:val="TableContents"/>
              <w:spacing w:before="0" w:after="283"/>
              <w:rPr/>
            </w:pPr>
            <w:r>
              <w:rPr>
                <w:u w:val="single"/>
              </w:rPr>
              <w:t>Timing of Severance Pay</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2"/>
        <w:gridCol w:w="9995"/>
      </w:tblGrid>
      <w:tr>
        <w:trPr/>
        <w:tc>
          <w:tcPr>
            <w:tcW w:w="3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jc w:val="left"/>
              <w:rPr/>
            </w:pPr>
            <w:r>
              <w:rPr/>
              <w:t>(i)</w:t>
            </w:r>
          </w:p>
        </w:tc>
        <w:tc>
          <w:tcPr>
            <w:tcW w:w="9995" w:type="dxa"/>
            <w:tcBorders/>
            <w:shd w:fill="auto" w:val="clear"/>
            <w:vAlign w:val="center"/>
          </w:tcPr>
          <w:p>
            <w:pPr>
              <w:pStyle w:val="TableContents"/>
              <w:spacing w:before="0" w:after="283"/>
              <w:rPr/>
            </w:pPr>
            <w:r>
              <w:rPr>
                <w:u w:val="single"/>
              </w:rPr>
              <w:t>Normal Severance</w:t>
            </w:r>
            <w:r>
              <w:rPr/>
              <w:t>. Except as provided in clause (ii) below (and subject to Section 4.05), an Eligible Participant will receive his Severance Pay in equal installments over the Participant’s Severance Period in accordance with the Company’s regular payroll schedule; provided, however, that no installment will be paid to a Participant unless and until the Participant has satisfied all of the eligibility conditions in Section 3.01.</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jc w:val="left"/>
              <w:rPr/>
            </w:pPr>
            <w:r>
              <w:rPr/>
              <w:t>(ii)</w:t>
            </w:r>
          </w:p>
        </w:tc>
        <w:tc>
          <w:tcPr>
            <w:tcW w:w="9934" w:type="dxa"/>
            <w:tcBorders/>
            <w:shd w:fill="auto" w:val="clear"/>
            <w:vAlign w:val="center"/>
          </w:tcPr>
          <w:p>
            <w:pPr>
              <w:pStyle w:val="TableContents"/>
              <w:spacing w:before="0" w:after="283"/>
              <w:rPr/>
            </w:pPr>
            <w:r>
              <w:rPr>
                <w:u w:val="single"/>
              </w:rPr>
              <w:t>Change in Control Severance</w:t>
            </w:r>
            <w:r>
              <w:rPr/>
              <w:t>. If an Eligible Participant’s Involuntary Termination of Employment occurs on or after a Change in Control but prior to the second anniversary of such Change in Control, the Eligible Participant’s Severance Pay will be paid in a single lump sum as soon as practicable after the Participant has satisfied all of the eligibility conditions in Section 3.01.</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- 7 - </w:t>
      </w:r>
    </w:p>
    <w:p>
      <w:pPr>
        <w:pStyle w:val="TextBody"/>
        <w:spacing w:before="0" w:after="0"/>
        <w:ind w:left="0" w:right="0" w:hanging="0"/>
        <w:jc w:val="right"/>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Medical, Dental and Vision Coverage</w:t>
      </w:r>
      <w:r>
        <w:rPr>
          <w:rFonts w:ascii="Times New Roman;Times;Serif" w:hAnsi="Times New Roman;Times;Serif"/>
          <w:b w:val="false"/>
          <w:i w:val="false"/>
          <w:caps w:val="false"/>
          <w:smallCaps w:val="false"/>
          <w:sz w:val="20"/>
        </w:rPr>
        <w:t>. If an Eligible Participant is entitled to file, and does timely file, an election to continue any health benefits for himself, his spouse and his eligible dependents, if any, under a medical, dental and/or vision benefit program maintained by the Company in accordance with the provisions of COBRA, the Company shall promptly reimburse the Eligible Participant for the monthly COBRA Premiums paid by the Eligible Participant for such COBRA coverage until the earlier of (i) the expiration of the Eligible Participant’s continuation coverage under COBRA or (ii) the end of the Participant’s Severance Period. Notwithstanding the foregoing, an Eligible Participant shall not receive any reimbursement of COBRA Premiums unless and until all of the eligibility conditions in Section 3.01 have been satisfied. The Eligible Participant is responsible for the payment of all applicable COBRA Premiums.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Acceleration of Vesting of Equity</w:t>
      </w:r>
      <w:r>
        <w:rPr>
          <w:rFonts w:ascii="Times New Roman;Times;Serif" w:hAnsi="Times New Roman;Times;Serif"/>
          <w:b w:val="false"/>
          <w:i w:val="false"/>
          <w:caps w:val="false"/>
          <w:smallCaps w:val="false"/>
          <w:sz w:val="20"/>
        </w:rPr>
        <w:t>. If a Participant’s Involuntary Termination of Employment occurs on or after a Change in Control and prior to the second anniversary of a Change in Control, all outstanding forms of equity-based compensation granted to such Participant that remains outstanding immediately prior to the Participant’s Involuntary Termination of Employment shall vest and become exercisable upon satisfaction of all of the eligibility conditions in Section 3.01, and the period of time during which the Eligible Participant may exercise outstanding stock options or outstanding stock appreciation rights shall be extended until the earlier of (a) 150 days following the Participant’s Termination of Employment (or, if later, the period of time set forth in the applicable award agreement for exercising such stock options or stock appreciation rights) or (b) the original expiration date for such stock options. Such equity awards shall otherwise settle in accordance with their terms and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4.04    </w:t>
      </w:r>
      <w:r>
        <w:rPr>
          <w:rFonts w:ascii="Times New Roman;Times;Serif" w:hAnsi="Times New Roman;Times;Serif"/>
          <w:b w:val="false"/>
          <w:i w:val="false"/>
          <w:caps w:val="false"/>
          <w:smallCaps w:val="false"/>
          <w:sz w:val="20"/>
          <w:u w:val="single"/>
        </w:rPr>
        <w:t>Bonus Payments</w:t>
      </w:r>
      <w:r>
        <w:rPr>
          <w:rFonts w:ascii="Times New Roman;Times;Serif" w:hAnsi="Times New Roman;Times;Serif"/>
          <w:b w:val="false"/>
          <w:i w:val="false"/>
          <w:caps w:val="false"/>
          <w:smallCaps w:val="false"/>
          <w:sz w:val="20"/>
        </w:rPr>
        <w:t>. An Eligible Participant shall receive: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7"/>
        <w:gridCol w:w="9941"/>
      </w:tblGrid>
      <w:tr>
        <w:trPr/>
        <w:tc>
          <w:tcPr>
            <w:tcW w:w="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pPr>
            <w:r>
              <w:rPr/>
              <w:t>(a)</w:t>
            </w:r>
          </w:p>
        </w:tc>
        <w:tc>
          <w:tcPr>
            <w:tcW w:w="9941" w:type="dxa"/>
            <w:tcBorders/>
            <w:shd w:fill="auto" w:val="clear"/>
            <w:vAlign w:val="center"/>
          </w:tcPr>
          <w:p>
            <w:pPr>
              <w:pStyle w:val="TableContents"/>
              <w:spacing w:before="0" w:after="283"/>
              <w:rPr/>
            </w:pPr>
            <w:r>
              <w:rPr/>
              <w:t>the accrued but unpaid annual incentive bonus, if any, earned by the Eligible Partner for the year ended prior to his Termination of Employment payable at the same time such annual bonuses for such year are paid to other members of the senior management team;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6"/>
        <w:gridCol w:w="9942"/>
      </w:tblGrid>
      <w:tr>
        <w:trPr/>
        <w:tc>
          <w:tcPr>
            <w:tcW w:w="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(b)</w:t>
            </w:r>
          </w:p>
        </w:tc>
        <w:tc>
          <w:tcPr>
            <w:tcW w:w="9942" w:type="dxa"/>
            <w:tcBorders/>
            <w:shd w:fill="auto" w:val="clear"/>
            <w:vAlign w:val="center"/>
          </w:tcPr>
          <w:p>
            <w:pPr>
              <w:pStyle w:val="TableContents"/>
              <w:spacing w:before="0" w:after="283"/>
              <w:rPr/>
            </w:pPr>
            <w:r>
              <w:rPr/>
              <w:t>the Eligible Participant’s annual incentive bonus, if any, for the year in which the Eligible Participant’s Termination of Employment occurred based on actual performance and pro-rated for the period of employment during such year through the Eligible Participant’s Termination of Employment; provided that no such pro-rated bonus shall be payable unless the Eligible Participant’s period of employment during such year exceeds six months. Such prorated bonus will be paid at the same time annual incentive bonuses for such year are paid to other members of the senior management team.</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Compliance with Section 409A of the Code</w:t>
      </w:r>
      <w:r>
        <w:rPr>
          <w:rFonts w:ascii="Times New Roman;Times;Serif" w:hAnsi="Times New Roman;Times;Serif"/>
          <w:b w:val="false"/>
          <w:i w:val="false"/>
          <w:caps w:val="false"/>
          <w:smallCaps w:val="false"/>
          <w:sz w:val="20"/>
        </w:rPr>
        <w:t>. The Severance Benefits provided under this Policy are, to the fullest extent possible, intended to be exempt from the requirements of Section 409A of the Code and to the extent that any Severance Benefits provided hereunder are not exempt from Section 409A of the Code, they is intended to comply with the requirements of Section 409A of the Code and the regulations thereunder, and this Policy shall be construed accordingly. Notwithstanding any provision in this Policy to the contrary, if at the time of an Eligible Participant’s Termination of Employment, the Administrator determines that the Eligible Participant is a “specified employee” within the meaning of Section 409A(a)(2)(B)(i) of the Code and applicable regulations thereunder, then, to the extent that such Severance Benefits constitute deferred compensation within the meaning of Section 409A of the Code and applicable regulations issued thereunder, payment or provision of such Severance Benefits shall be suspended and shall not be paid or provided to the Eligible Participant until the date that occurs on the earlier of (i) the first day of the seventh month following the Eligible Participant’s Termination of Employment or (ii) the Eligible Participant’s death. The payments suspended pursuant to this Section 4.05 will be paid to the Eligible Participant as soon as practicable after the period of suspension ends. Notwithstanding any provision in this Policy to the contrary, if any Severance Benefits are to be paid or provided in installments, each such installment shall constitute a separate payment for purposes of Section 409A of the Code and the regulations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- 8 -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w:t>
      </w:r>
      <w:r>
        <w:rPr>
          <w:rFonts w:ascii="Times New Roman;Times;Serif" w:hAnsi="Times New Roman;Times;Serif"/>
          <w:b w:val="false"/>
          <w:i w:val="false"/>
          <w:caps w:val="false"/>
          <w:smallCaps w:val="false"/>
          <w:sz w:val="20"/>
          <w:u w:val="single"/>
        </w:rPr>
        <w:t>Excess Parachute Tax</w:t>
      </w:r>
      <w:r>
        <w:rPr>
          <w:rFonts w:ascii="Times New Roman;Times;Serif" w:hAnsi="Times New Roman;Times;Serif"/>
          <w:b w:val="false"/>
          <w:i w:val="false"/>
          <w:caps w:val="false"/>
          <w:smallCaps w:val="false"/>
          <w:sz w:val="20"/>
        </w:rPr>
        <w:t>. Notwithstanding any other provisions of this Policy or any plan, arrangement or agreement maintained by the Company, if a Participant receives or is entitled to receive any Total Parachute Payments under the terms of this Policy or otherwise that would subject the Participant to an Excess Parachute Tax as a result of a change in ownership or effective control of the Company (within the meaning of Section 280G of the Code), the portion of the Total Parachute Payments payable to the Participant (whether under this Policy or otherwise) shall be reduced to the extent necessary to prevent the imposition of the Excess Parachute Tax but only if the amount determined under (a) below exceeds the amount determined under (b) below, where: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9952"/>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9952" w:type="dxa"/>
            <w:tcBorders/>
            <w:shd w:fill="auto" w:val="clear"/>
            <w:vAlign w:val="center"/>
          </w:tcPr>
          <w:p>
            <w:pPr>
              <w:pStyle w:val="TableContents"/>
              <w:spacing w:before="0" w:after="283"/>
              <w:rPr/>
            </w:pPr>
            <w:r>
              <w:rPr/>
              <w:t>is the net after-tax amount of the Total Parachute Payments remaining after (i) reducing the Total Parachute Payments to the extent necessary to prevent the imposition of the Excess Parachute Tax and (ii) deducting the net amount of Federal, state, and local income and payroll taxes payable by the Participant with respect such reduced Total Parachute Payments computed at the Participant’s highest marginal tax rates;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rPr/>
            </w:pPr>
            <w:r>
              <w:rPr/>
              <w:t>is the net after-tax amount of the Total Parachute Payments (without any reduction to prevent imposition of the Excess Parachute Tax) but after deducting the net amount of Federal, state, and local income and payroll taxes payable by the Participant with respect to such Total Parachute Payments computed at the Participant’s highest marginal tax rates and further reduced by the amount of the Excess Parachute Tax that would be imposed on the Participant with respect to such Total Parachute Payments.</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reduction shall first be applied to the accelerated vesting of any equity-based compensation, starting with stock options and stock appreciation rights that have the highest exercise or strike price, followed by any equity-based compensation that does not constitute nonqualified deferred compensation within the meaning of Section 409A of the Code and next followed by any Severance Pay under this Policy that is not considered to be deferred compensation within the meaning of Section 409A of the Code and lastly to any Severance Pay that is considered to be deferred compensation within the meaning of Section 409A of the Code (starting with the installment payments that are payable latest in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w:t>
      </w:r>
      <w:r>
        <w:rPr>
          <w:rFonts w:ascii="Times New Roman;Times;Serif" w:hAnsi="Times New Roman;Times;Serif"/>
          <w:b w:val="false"/>
          <w:i w:val="false"/>
          <w:caps w:val="false"/>
          <w:smallCaps w:val="false"/>
          <w:sz w:val="20"/>
          <w:u w:val="single"/>
        </w:rPr>
        <w:t>Death of an Eligible Participant</w:t>
      </w:r>
      <w:r>
        <w:rPr>
          <w:rFonts w:ascii="Times New Roman;Times;Serif" w:hAnsi="Times New Roman;Times;Serif"/>
          <w:b w:val="false"/>
          <w:i w:val="false"/>
          <w:caps w:val="false"/>
          <w:smallCaps w:val="false"/>
          <w:sz w:val="20"/>
        </w:rPr>
        <w:t>. If an Eligible Participant dies after having satisfied all of the eligibility conditions set forth in Section 3.01 and before the end of the Severance Period, any remaining Severance Pay will continue to be paid to the beneficiary designated by the Participant to the Company, in writing. If a Participant has not designated a beneficiary (or if the beneficiary does not survive the Participant), the remaining Severance Pay, if any, will be paid to the Eligible Participant’s estate.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- 9 -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4.08    </w:t>
      </w:r>
      <w:r>
        <w:rPr>
          <w:rFonts w:ascii="Times New Roman;Times;Serif" w:hAnsi="Times New Roman;Times;Serif"/>
          <w:b w:val="false"/>
          <w:i w:val="false"/>
          <w:caps w:val="false"/>
          <w:smallCaps w:val="false"/>
          <w:sz w:val="20"/>
          <w:u w:val="single"/>
        </w:rPr>
        <w:t>Violation of Post-Employment Obligations and Covenants</w:t>
      </w:r>
      <w:r>
        <w:rPr>
          <w:rFonts w:ascii="Times New Roman;Times;Serif" w:hAnsi="Times New Roman;Times;Serif"/>
          <w:b w:val="false"/>
          <w:i w:val="false"/>
          <w:caps w:val="false"/>
          <w:smallCaps w:val="false"/>
          <w:sz w:val="20"/>
        </w:rPr>
        <w:t>. Notwithstanding any provision in this Policy to the contrary, if any Eligible Participant breaches the terms of Restricted Covenant Agreement with the Company, such Eligible Employee shall immediately forfeit any and all rights he may have to any unpaid Severance Benefits hereunder and such Eligible Participant shall return to the Company any Severance Benefits previously received by the Eligible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POLICY ADMINISTRATION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Administrator. The Administrator shall have the discretionary authority to determine eligibility for Severance Benefits under the Policy and to construe the terms of the Policy, including the making of factual determinations. Benefits under the Policy shall be paid or provided only if the Administrator determines that Participant is entitled to such benefits under the terms of this Policy. The decisions of the Administrator shall be final and conclusive with respect to all questions concerning administration of the Policy. The Administrator may delegate all or a portion of its duties under this Policy to the CEO; provided, however, that the Committee’s express approval is required for the payment of any compensation or benefits as a result of any Participant’s Termination of Employment that are not Accrued Obligations or otherwise authorized under this Policy and further provided that the Administrator shall not delegate any duties to the CEO in connection with his own Termination of Employment. The actions of the CEO with respect to his delegated duties shall be treated as if such actions were taken by the Administrator.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CLAIMS PROCEDURE; ARBITRATION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6.01    </w:t>
      </w:r>
      <w:r>
        <w:rPr>
          <w:rFonts w:ascii="Times New Roman;Times;Serif" w:hAnsi="Times New Roman;Times;Serif"/>
          <w:b w:val="false"/>
          <w:i w:val="false"/>
          <w:caps w:val="false"/>
          <w:smallCaps w:val="false"/>
          <w:sz w:val="20"/>
          <w:u w:val="single"/>
        </w:rPr>
        <w:t>Filing a Claim</w:t>
      </w:r>
      <w:r>
        <w:rPr>
          <w:rFonts w:ascii="Times New Roman;Times;Serif" w:hAnsi="Times New Roman;Times;Serif"/>
          <w:b w:val="false"/>
          <w:i w:val="false"/>
          <w:caps w:val="false"/>
          <w:smallCaps w:val="false"/>
          <w:sz w:val="20"/>
        </w:rPr>
        <w:t>. No formal claim for benefits shall be required for Severance Benefits to be paid or provided under this Policy. The Administrator will inform any Participant who incurs an Involuntary Termination of Employment that such Participant will be eligible for Severance Benefits under this Policy if the Participant satisfies the conditions set forth in Section 3.01. However, any individual who believes he is eligible for Severance Benefits under this Policy that have not been provided (a “Claimant”) may submit a written claim (“Claim”) for Severance Benefits to the Administrator. A Claimant shall have no right to seek review of a denial of Severance Benefits, or to bring any action in any court to enforce a Claim, prior to filing a Claim and exhausting his administrative remedies under this Article VI.When a Claim has been filed properly, the Administrator shall evaluate it and shall notify the Claimant of the approval or the denial of the Claim within 90 days after the Administrator receives such Claim unless special circumstances require an extension of time for processing the Claim. If such an extension of time for processing is required, the Administrator shall furnish the Claimant with written notice of the extension prior to the termination of the initial 90-day period. The notice of extension will specify the special circumstances requiring an extension and the date by which a final decision will be reached. The extension may not exceed 180 days after the date on which the Claim was filed. The Administrator shall provide the Claimant with a written notice advising the Claimant as to whether the Claim is granted or denied, in whole or in part. If a Claim is denied, in whole or in part, the notice will contain (a) the specific reasons for the denial, (b) references to pertinent provisions of the Policy upon which the denial is based, (c) a description of any additional material or information, if any, that is necessary to perfect the Claim and an explanation of why such material or information is necessary, and (d) the Claimant’s right to seek review of the denial.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- 10 -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6.02    </w:t>
      </w:r>
      <w:r>
        <w:rPr>
          <w:rFonts w:ascii="Times New Roman;Times;Serif" w:hAnsi="Times New Roman;Times;Serif"/>
          <w:b w:val="false"/>
          <w:i w:val="false"/>
          <w:caps w:val="false"/>
          <w:smallCaps w:val="false"/>
          <w:sz w:val="20"/>
          <w:u w:val="single"/>
        </w:rPr>
        <w:t>Review of Claim Denial</w:t>
      </w:r>
      <w:r>
        <w:rPr>
          <w:rFonts w:ascii="Times New Roman;Times;Serif" w:hAnsi="Times New Roman;Times;Serif"/>
          <w:b w:val="false"/>
          <w:i w:val="false"/>
          <w:caps w:val="false"/>
          <w:smallCaps w:val="false"/>
          <w:sz w:val="20"/>
        </w:rPr>
        <w:t>. If a Claim is denied, in whole or in part, the Claimant may shall have the right to (a) request that the Committee review the denial, (b) review pertinent documents, and (c) submit issues and comments in writing, provided that the Claimant files a written request for review with the Committee within 60 days after the date on which the Claimant received written notification of the denial. Within 60 days after a request for review is received, the Committee shall review the Claim and advise the Claimant in writing of the Committee’s decision on review. If special circumstances require an extension of time for processing the review, the Committee shall provide the Claimant with written notice within the initial 60-day review period specifying the reasons for the extension and when such review shall be completed. The extension of the review period may not exceed 120 days after the date on which the request for review was filed. The Committee shall notify the Claimant of its decision on review in writing, which will include specific reasons for the decision and reference to the provisions of the Policy upon which the decision is based. A decision on review shall be final and binding on all persons for all purposes. A Claimant or other individual shall not be entitled to bring any legal action or arbitration unless such person has exhausted such person’s rights under Section 6.01 and this Section 6.02 by timely submitting a Claim and requesting a review of a decision with respect to such Claim.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If a Claimant has exhausted his or her administrative remedies under Section 6.02 relating to any Claim under this Policy, then the Claimant may demand that any remaining disputed matters under this Policy (a “Dispute”) be settled by final and binding arbitration by sending written notice of such election to the Administrator clearly marked “Arbitration Demand” and such Dispute shall be arbitrated in accordance with the terms and conditions of this Section 6.03. Notwithstanding the foregoing, either party may apply to a court of competent jurisdiction for a temporary restraining order, a preliminary injunction, or other equitable relief to preserve the status quo or prevent irreparable harm or to enforce the terms of a Participant’s Restrictive Covenants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Dispute shall be resolved by a single arbitrator in an arbitration administered by the American Arbitration Association (“AAA”) in accordance with its Employment Arbitration Rules in effect at the time of the arbitration hearing and judgment upon the award rendered by the arbitrator may be entered in any court having jurisdiction thereof. The decision of the arbitrator shall be final and binding on the parties, and specific performance giving effect to the decision of the arbitrator may be ordered by any court of competent jurisdiction. Nothing contained herein shall operate to prevent either party from asserting any counterclaims in any arbitration commenced in accordance with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shall be filed with the AAA office located in the State of New Jersey. The decision of the arbitrator, which shall be in writing and state the findings, the facts and conclusions of law upon which the decision is based, shall be final and binding upon the parties, who shall forthwith comply after receipt thereof. Judgment upon the award rendered by the arbitrator may be entered by any competent court. Each party submits itself to the jurisdiction of any such court, but only for the entry and enforcement to judgment with respect to the decision of the arbitrator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- 11 -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 the parties shall bear their own costs in preparing for and participating in the resolution of any Dispute pursuant to this Section 6.03, and the costs of the arbitrator(s) shall be equally divided between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6.03 shall be a complete defense to any suit, action or proceeding instituted in any federal, state or local court or before any administrative tribunal with respect to any Dispute arising in connection with this Agreement. Any party commencing a lawsuit in violation of this Section 6.03 shall pay the costs of the other party, including, without limitation, reasonable attorney’s fees and defense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AMENDMENT AND TERMINATION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Committee reserves the right to amend this Policy from time to time or to terminate the Policy; provided, however, that no such amendment or termination shall reduce the amount of Severance Benefits payable to any Eligible Participant who had an Involuntary Termination of Employment on or before the date of such amendment is executed or this Policy is terminated. Moreover, this Policy may not be amended or terminated at any time on or after the date Change in Control occurs and prior to the second anniversary of such Change in Control if such amendment or termination will have a material adverse affect on any Participant’s eligibility for Severance Pay or Severance Benefits or the amount of Severance Benefits provided under this Policy or under any plan, policy, program, arrangement or agreement that replaces this Policy. This Policy may not be amended, modified or terminated in a manner that would subject any Participant to taxation of his Severance Benefits under Section 409A(a)(1)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MISCELLANEOUS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Notwithstanding any provision in this Policy to the contrary, a Participant who has a Termination of Employment shall receive all of the Accrued Obligations to which such Participant is entitled in accordance with the Company’s customary payroll practices and/or the terms of any applicable plan, program, policy or arrangement maintained by the Company without regard to whether the Participant is or may become entitled to any Severance Pay or Severance Benefits under this Policy and the payment of such Accrued Obligations shall not be conditioned upon the Participant’s execution of a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obligations of the Company under this Policy shall be assumed by its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8.03    </w:t>
      </w:r>
      <w:r>
        <w:rPr>
          <w:rFonts w:ascii="Times New Roman;Times;Serif" w:hAnsi="Times New Roman;Times;Serif"/>
          <w:b w:val="false"/>
          <w:i w:val="false"/>
          <w:caps w:val="false"/>
          <w:smallCaps w:val="false"/>
          <w:sz w:val="20"/>
          <w:u w:val="single"/>
        </w:rPr>
        <w:t>Employment Rights</w:t>
      </w:r>
      <w:r>
        <w:rPr>
          <w:rFonts w:ascii="Times New Roman;Times;Serif" w:hAnsi="Times New Roman;Times;Serif"/>
          <w:b w:val="false"/>
          <w:i w:val="false"/>
          <w:caps w:val="false"/>
          <w:smallCaps w:val="false"/>
          <w:sz w:val="20"/>
        </w:rPr>
        <w:t>. The existence of this Policy shall not confer any legal or other rights upon any employee to continuation of employment. The Company and its subsidiaries reserve the right to terminate any employee with or without cause at any time, notwithstanding the provisions of this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Controlling Law</w:t>
      </w:r>
      <w:r>
        <w:rPr>
          <w:rFonts w:ascii="Times New Roman;Times;Serif" w:hAnsi="Times New Roman;Times;Serif"/>
          <w:b w:val="false"/>
          <w:i w:val="false"/>
          <w:caps w:val="false"/>
          <w:smallCaps w:val="false"/>
          <w:sz w:val="20"/>
        </w:rPr>
        <w:t>. The provisions of this Policy shall be governed, construed and administered in accordance with ERISA. To the extent that ERISA does not apply, the laws of the State of New Jersey shall be controlling, other than New Jersey law concerning conflicts of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- 12 -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8.05    </w:t>
      </w:r>
      <w:r>
        <w:rPr>
          <w:rFonts w:ascii="Times New Roman;Times;Serif" w:hAnsi="Times New Roman;Times;Serif"/>
          <w:b w:val="false"/>
          <w:i w:val="false"/>
          <w:caps w:val="false"/>
          <w:smallCaps w:val="false"/>
          <w:sz w:val="20"/>
          <w:u w:val="single"/>
        </w:rPr>
        <w:t>Interests Not Transferable</w:t>
      </w:r>
      <w:r>
        <w:rPr>
          <w:rFonts w:ascii="Times New Roman;Times;Serif" w:hAnsi="Times New Roman;Times;Serif"/>
          <w:b w:val="false"/>
          <w:i w:val="false"/>
          <w:caps w:val="false"/>
          <w:smallCaps w:val="false"/>
          <w:sz w:val="20"/>
        </w:rPr>
        <w:t>. The interest of persons entitled to Severance Benefits under this Policy are not subject to their debts or other obligations and, except as provided in Sections 4.07 and 8.02 above and Section 8.11 below, as required by federal or state garnishment orders issued to the Plan or the Company, or as may be required by ERISA, may not be voluntarily or involuntarily sold, transferred, alienated, assigned or encumbered.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Representations Contrary to the Policy</w:t>
      </w:r>
      <w:r>
        <w:rPr>
          <w:rFonts w:ascii="Times New Roman;Times;Serif" w:hAnsi="Times New Roman;Times;Serif"/>
          <w:b w:val="false"/>
          <w:i w:val="false"/>
          <w:caps w:val="false"/>
          <w:smallCaps w:val="false"/>
          <w:sz w:val="20"/>
        </w:rPr>
        <w:t>. No officer or employee of the Company has the authority to alter, vary or modify the terms of the Policy or the Severance Benefits available to any Eligible Participant without the written consent of the Board or the Committee. No verbal or written representations contrary to the terms of the Policy and any duly authorized written consent of the Board or Committee shall be binding upon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8.07    </w:t>
      </w:r>
      <w:r>
        <w:rPr>
          <w:rFonts w:ascii="Times New Roman;Times;Serif" w:hAnsi="Times New Roman;Times;Serif"/>
          <w:b w:val="false"/>
          <w:i w:val="false"/>
          <w:caps w:val="false"/>
          <w:smallCaps w:val="false"/>
          <w:sz w:val="20"/>
          <w:u w:val="single"/>
        </w:rPr>
        <w:t>Plan Funding</w:t>
      </w:r>
      <w:r>
        <w:rPr>
          <w:rFonts w:ascii="Times New Roman;Times;Serif" w:hAnsi="Times New Roman;Times;Serif"/>
          <w:b w:val="false"/>
          <w:i w:val="false"/>
          <w:caps w:val="false"/>
          <w:smallCaps w:val="false"/>
          <w:sz w:val="20"/>
        </w:rPr>
        <w:t>. No Participant or beneficiary thereof shall acquire by reason of this Policy any right in or title to any assets, funds, or property of the Company. Any Severance Benefits that become payable under this Policy are unfunded obligations of the Company and shall be paid from the Company’s general assets. No employee, officer, director or agent of the Company guarantees in any manner the payment of Severance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Plan are for convenience of reference and shall not be given substantive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8.09    </w:t>
      </w:r>
      <w:r>
        <w:rPr>
          <w:rFonts w:ascii="Times New Roman;Times;Serif" w:hAnsi="Times New Roman;Times;Serif"/>
          <w:b w:val="false"/>
          <w:i w:val="false"/>
          <w:caps w:val="false"/>
          <w:smallCaps w:val="false"/>
          <w:sz w:val="20"/>
          <w:u w:val="single"/>
        </w:rPr>
        <w:t>Gender</w:t>
      </w:r>
      <w:r>
        <w:rPr>
          <w:rFonts w:ascii="Times New Roman;Times;Serif" w:hAnsi="Times New Roman;Times;Serif"/>
          <w:b w:val="false"/>
          <w:i w:val="false"/>
          <w:caps w:val="false"/>
          <w:smallCaps w:val="false"/>
          <w:sz w:val="20"/>
        </w:rPr>
        <w:t>. Except when the context indicates to the contrary, when used in this Policy, masculine terms shall be deemed to include the feminine.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Policy is held illegal or invalid for any reason, the other provisions of this Policy shall not be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8.11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Notwithstanding any other provision of this Policy, the Company may withhold from any and all Severance Benefits such United States federal, state or local or foreign taxes as may be required to be withheld pursuant to any applicable law or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8.12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terms of the Policy shall not prevent or limit the right of a Participant to receive any base annual salary, pension or welfare benefit, perquisite, bonus or other payment provided by the Company to the Participant, except for such rights as the Participant may have specifically waived in writing. Amounts that are vested benefits or which the Participant is otherwise entitled to receive under any benefit policy or program provided by the Company shall be payable in accordance with the terms of such policy or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8.13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CEO and the individuals serving on the Committee shall be indemnified to the fullest extent permitted by applicable law and the Company’s Bylaws.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initially adopted by the Compensation Committee</w:t>
        <w:br/>
        <w:t>on June 21, 2018, and most recently amended and restated as of September 16,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- 13 -</w:t>
      </w:r>
      <w:r>
        <w:br w:type="page"/>
      </w:r>
    </w:p>
    <w:p>
      <w:pPr>
        <w:pStyle w:val="TextBody"/>
        <w:rPr/>
      </w:pPr>
      <w:bookmarkStart w:id="46" w:name="e618562_ex31-3.htm"/>
      <w:bookmarkStart w:id="47" w:name="kse618562_ex313"/>
      <w:bookmarkEnd w:id="46"/>
      <w:bookmarkEnd w:id="47"/>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31.3</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13a-14(b) and 15d-14(a)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S. Goldberger,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Amendment No. 1 to the Annual Report on Form 10-K/A of electroCore, Inc.;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tbl>
      <w:tblPr>
        <w:tblW w:w="3987" w:type="dxa"/>
        <w:jc w:val="left"/>
        <w:tblInd w:w="0" w:type="dxa"/>
        <w:tblCellMar>
          <w:top w:w="0" w:type="dxa"/>
          <w:left w:w="0" w:type="dxa"/>
          <w:bottom w:w="0" w:type="dxa"/>
          <w:right w:w="0" w:type="dxa"/>
        </w:tblCellMar>
      </w:tblPr>
      <w:tblGrid>
        <w:gridCol w:w="310"/>
        <w:gridCol w:w="247"/>
        <w:gridCol w:w="247"/>
        <w:gridCol w:w="991"/>
        <w:gridCol w:w="991"/>
        <w:gridCol w:w="1006"/>
        <w:gridCol w:w="60"/>
        <w:gridCol w:w="60"/>
        <w:gridCol w:w="75"/>
      </w:tblGrid>
      <w:tr>
        <w:trPr/>
        <w:tc>
          <w:tcPr>
            <w:tcW w:w="31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92" w:type="dxa"/>
            <w:gridSpan w:val="6"/>
            <w:tcBorders/>
            <w:shd w:fill="auto" w:val="clear"/>
            <w:vAlign w:val="center"/>
          </w:tcPr>
          <w:p>
            <w:pPr>
              <w:pStyle w:val="TableContents"/>
              <w:rPr>
                <w:sz w:val="20"/>
              </w:rPr>
            </w:pPr>
            <w:r>
              <w:rPr>
                <w:sz w:val="20"/>
              </w:rPr>
              <w:t>Date: May 1, 2023</w:t>
            </w:r>
          </w:p>
          <w:p>
            <w:pPr>
              <w:pStyle w:val="TableContents"/>
              <w:spacing w:before="0" w:after="283"/>
              <w:rPr/>
            </w:pPr>
            <w:r>
              <w:rPr/>
              <w:t> </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sz w:val="20"/>
              </w:rPr>
            </w:pPr>
            <w:r>
              <w:rPr>
                <w:sz w:val="20"/>
              </w:rPr>
              <w:t>By:</w:t>
            </w:r>
          </w:p>
        </w:tc>
        <w:tc>
          <w:tcPr>
            <w:tcW w:w="2988" w:type="dxa"/>
            <w:gridSpan w:val="3"/>
            <w:tcBorders/>
            <w:shd w:fill="auto" w:val="clear"/>
            <w:vAlign w:val="center"/>
          </w:tcPr>
          <w:p>
            <w:pPr>
              <w:pStyle w:val="TableContents"/>
              <w:spacing w:before="0" w:after="283"/>
              <w:jc w:val="center"/>
              <w:rPr>
                <w:sz w:val="20"/>
              </w:rPr>
            </w:pPr>
            <w:r>
              <w:rPr>
                <w:sz w:val="20"/>
              </w:rPr>
              <w:t>/s/ Daniel S. Goldberger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2988" w:type="dxa"/>
            <w:gridSpan w:val="3"/>
            <w:tcBorders>
              <w:top w:val="single" w:sz="8" w:space="0" w:color="000000"/>
            </w:tcBorders>
            <w:shd w:fill="auto" w:val="clear"/>
            <w:tcMar>
              <w:top w:w="28" w:type="dxa"/>
            </w:tcMar>
            <w:vAlign w:val="center"/>
          </w:tcPr>
          <w:p>
            <w:pPr>
              <w:pStyle w:val="TableContents"/>
              <w:spacing w:before="0" w:after="283"/>
              <w:jc w:val="center"/>
              <w:rPr>
                <w:sz w:val="20"/>
              </w:rPr>
            </w:pPr>
            <w:r>
              <w:rPr>
                <w:sz w:val="20"/>
              </w:rPr>
              <w:t>Daniel S. Goldberger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2988" w:type="dxa"/>
            <w:gridSpan w:val="3"/>
            <w:tcBorders/>
            <w:shd w:fill="auto" w:val="clear"/>
            <w:vAlign w:val="center"/>
          </w:tcPr>
          <w:p>
            <w:pPr>
              <w:pStyle w:val="TableContents"/>
              <w:spacing w:before="0" w:after="283"/>
              <w:jc w:val="center"/>
              <w:rPr>
                <w:sz w:val="20"/>
              </w:rPr>
            </w:pPr>
            <w:r>
              <w:rPr>
                <w:sz w:val="20"/>
              </w:rPr>
              <w:t>Chief Executive Officer and Director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2988" w:type="dxa"/>
            <w:gridSpan w:val="3"/>
            <w:tcBorders/>
            <w:shd w:fill="auto" w:val="clear"/>
            <w:vAlign w:val="center"/>
          </w:tcPr>
          <w:p>
            <w:pPr>
              <w:pStyle w:val="TableContents"/>
              <w:spacing w:before="0" w:after="283"/>
              <w:jc w:val="center"/>
              <w:rPr>
                <w:sz w:val="20"/>
              </w:rPr>
            </w:pPr>
            <w:r>
              <w:rPr>
                <w:sz w:val="20"/>
              </w:rPr>
              <w:t>(Principal Executive Officer)</w:t>
            </w:r>
          </w:p>
        </w:tc>
        <w:tc>
          <w:tcPr>
            <w:tcW w:w="195" w:type="dxa"/>
            <w:gridSpan w:val="3"/>
            <w:tcBorders/>
            <w:shd w:fill="auto" w:val="clear"/>
            <w:vAlign w:val="center"/>
          </w:tcPr>
          <w:p>
            <w:pPr>
              <w:pStyle w:val="TableContents"/>
              <w:spacing w:before="0" w:after="283"/>
              <w:rPr/>
            </w:pPr>
            <w:r>
              <w:rPr/>
              <w:t> </w:t>
            </w:r>
          </w:p>
        </w:tc>
      </w:tr>
    </w:tbl>
    <w:p>
      <w:pPr>
        <w:pStyle w:val="TextBody"/>
        <w:rPr/>
      </w:pPr>
      <w:r>
        <w:br w:type="page"/>
      </w:r>
      <w:bookmarkStart w:id="48" w:name="e618562_ex31-4.htm"/>
      <w:bookmarkStart w:id="49" w:name="kse618562_ex314"/>
      <w:bookmarkEnd w:id="48"/>
      <w:bookmarkEnd w:id="49"/>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13a-14(b) and 15d-14(a)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M. Posner,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Amendment No. 1 to the Annual Report on Form 10-K/A of electroCore, Inc.;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tbl>
      <w:tblPr>
        <w:tblW w:w="4633" w:type="dxa"/>
        <w:jc w:val="left"/>
        <w:tblInd w:w="0" w:type="dxa"/>
        <w:tblCellMar>
          <w:top w:w="0" w:type="dxa"/>
          <w:left w:w="0" w:type="dxa"/>
          <w:bottom w:w="0" w:type="dxa"/>
          <w:right w:w="0" w:type="dxa"/>
        </w:tblCellMar>
      </w:tblPr>
      <w:tblGrid>
        <w:gridCol w:w="310"/>
        <w:gridCol w:w="247"/>
        <w:gridCol w:w="247"/>
        <w:gridCol w:w="1207"/>
        <w:gridCol w:w="1207"/>
        <w:gridCol w:w="1220"/>
        <w:gridCol w:w="60"/>
        <w:gridCol w:w="60"/>
        <w:gridCol w:w="75"/>
      </w:tblGrid>
      <w:tr>
        <w:trPr/>
        <w:tc>
          <w:tcPr>
            <w:tcW w:w="31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438" w:type="dxa"/>
            <w:gridSpan w:val="6"/>
            <w:tcBorders/>
            <w:shd w:fill="auto" w:val="clear"/>
            <w:vAlign w:val="center"/>
          </w:tcPr>
          <w:p>
            <w:pPr>
              <w:pStyle w:val="TableContents"/>
              <w:rPr>
                <w:sz w:val="20"/>
              </w:rPr>
            </w:pPr>
            <w:r>
              <w:rPr>
                <w:sz w:val="20"/>
              </w:rPr>
              <w:t>Date: May 1, 2023</w:t>
            </w:r>
          </w:p>
          <w:p>
            <w:pPr>
              <w:pStyle w:val="TableContents"/>
              <w:spacing w:before="0" w:after="283"/>
              <w:rPr/>
            </w:pPr>
            <w:r>
              <w:rPr/>
              <w:t> </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sz w:val="20"/>
              </w:rPr>
            </w:pPr>
            <w:r>
              <w:rPr>
                <w:sz w:val="20"/>
              </w:rPr>
              <w:t>By:</w:t>
            </w:r>
          </w:p>
        </w:tc>
        <w:tc>
          <w:tcPr>
            <w:tcW w:w="3634" w:type="dxa"/>
            <w:gridSpan w:val="3"/>
            <w:tcBorders/>
            <w:shd w:fill="auto" w:val="clear"/>
            <w:vAlign w:val="center"/>
          </w:tcPr>
          <w:p>
            <w:pPr>
              <w:pStyle w:val="TableContents"/>
              <w:spacing w:before="0" w:after="283"/>
              <w:jc w:val="center"/>
              <w:rPr>
                <w:sz w:val="20"/>
              </w:rPr>
            </w:pPr>
            <w:r>
              <w:rPr>
                <w:sz w:val="20"/>
              </w:rPr>
              <w:t>/s/ Brian M. Posner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3634" w:type="dxa"/>
            <w:gridSpan w:val="3"/>
            <w:tcBorders>
              <w:top w:val="single" w:sz="8" w:space="0" w:color="000000"/>
            </w:tcBorders>
            <w:shd w:fill="auto" w:val="clear"/>
            <w:tcMar>
              <w:top w:w="28" w:type="dxa"/>
            </w:tcMar>
            <w:vAlign w:val="center"/>
          </w:tcPr>
          <w:p>
            <w:pPr>
              <w:pStyle w:val="TableContents"/>
              <w:spacing w:before="0" w:after="283"/>
              <w:jc w:val="center"/>
              <w:rPr>
                <w:sz w:val="20"/>
              </w:rPr>
            </w:pPr>
            <w:r>
              <w:rPr>
                <w:sz w:val="20"/>
              </w:rPr>
              <w:t>Brian M. Posner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3634" w:type="dxa"/>
            <w:gridSpan w:val="3"/>
            <w:tcBorders/>
            <w:shd w:fill="auto" w:val="clear"/>
            <w:vAlign w:val="center"/>
          </w:tcPr>
          <w:p>
            <w:pPr>
              <w:pStyle w:val="TableContents"/>
              <w:spacing w:before="0" w:after="283"/>
              <w:jc w:val="center"/>
              <w:rPr>
                <w:sz w:val="20"/>
              </w:rPr>
            </w:pPr>
            <w:r>
              <w:rPr>
                <w:sz w:val="20"/>
              </w:rPr>
              <w:t>Chief Financial Officer</w:t>
            </w:r>
          </w:p>
        </w:tc>
        <w:tc>
          <w:tcPr>
            <w:tcW w:w="195" w:type="dxa"/>
            <w:gridSpan w:val="3"/>
            <w:tcBorders/>
            <w:shd w:fill="auto" w:val="clear"/>
            <w:vAlign w:val="center"/>
          </w:tcPr>
          <w:p>
            <w:pPr>
              <w:pStyle w:val="TableContents"/>
              <w:spacing w:before="0" w:after="283"/>
              <w:rPr/>
            </w:pPr>
            <w:r>
              <w:rPr/>
              <w:t> </w:t>
            </w:r>
          </w:p>
        </w:tc>
      </w:tr>
      <w:tr>
        <w:trPr/>
        <w:tc>
          <w:tcPr>
            <w:tcW w:w="804" w:type="dxa"/>
            <w:gridSpan w:val="3"/>
            <w:tcBorders/>
            <w:shd w:fill="auto" w:val="clear"/>
            <w:vAlign w:val="center"/>
          </w:tcPr>
          <w:p>
            <w:pPr>
              <w:pStyle w:val="TableContents"/>
              <w:spacing w:before="0" w:after="283"/>
              <w:rPr/>
            </w:pPr>
            <w:r>
              <w:rPr/>
              <w:t> </w:t>
            </w:r>
          </w:p>
        </w:tc>
        <w:tc>
          <w:tcPr>
            <w:tcW w:w="3634" w:type="dxa"/>
            <w:gridSpan w:val="3"/>
            <w:tcBorders/>
            <w:shd w:fill="auto" w:val="clear"/>
            <w:vAlign w:val="center"/>
          </w:tcPr>
          <w:p>
            <w:pPr>
              <w:pStyle w:val="TableContents"/>
              <w:spacing w:before="0" w:after="283"/>
              <w:jc w:val="center"/>
              <w:rPr>
                <w:sz w:val="20"/>
              </w:rPr>
            </w:pPr>
            <w:r>
              <w:rPr>
                <w:sz w:val="20"/>
              </w:rPr>
              <w:t>(Principal Financial and Accounting Officer)</w:t>
            </w:r>
          </w:p>
        </w:tc>
        <w:tc>
          <w:tcPr>
            <w:tcW w:w="195" w:type="dxa"/>
            <w:gridSpan w:val="3"/>
            <w:tcBorders/>
            <w:shd w:fill="auto" w:val="cle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560258/000156459018021717/ecor-ex31_161.htm" TargetMode="External"/><Relationship Id="rId6" Type="http://schemas.openxmlformats.org/officeDocument/2006/relationships/hyperlink" Target="https://www.sec.gov/Archives/edgar/data/1560258/000156459018021717/ecor-ex32_160.htm" TargetMode="External"/><Relationship Id="rId7" Type="http://schemas.openxmlformats.org/officeDocument/2006/relationships/hyperlink" Target="https://www.sec.gov/Archives/edgar/data/1560258/000119380522001663/e618092_ex3-1.htm" TargetMode="External"/><Relationship Id="rId8" Type="http://schemas.openxmlformats.org/officeDocument/2006/relationships/hyperlink" Target="https://www.sec.gov/Archives/edgar/data/1560258/000121390023018560/ex34_1.htm" TargetMode="External"/><Relationship Id="rId9" Type="http://schemas.openxmlformats.org/officeDocument/2006/relationships/hyperlink" Target="https://www.sec.gov/Archives/edgar/data/1560258/000121390023018560/ex35_2.htm" TargetMode="External"/><Relationship Id="rId10" Type="http://schemas.openxmlformats.org/officeDocument/2006/relationships/hyperlink" Target="https://www.sec.gov/Archives/edgar/data/1560258/000119312520087966/d904639dex102.htm" TargetMode="External"/><Relationship Id="rId11" Type="http://schemas.openxmlformats.org/officeDocument/2006/relationships/hyperlink" Target="https://www.sec.gov/Archives/edgar/data/1560258/000121390023018560/ex42_3.htm" TargetMode="External"/><Relationship Id="rId12" Type="http://schemas.openxmlformats.org/officeDocument/2006/relationships/hyperlink" Target="https://www.sec.gov/Archives/edgar/data/1560258/000119312518169701/d472601dex104.htm" TargetMode="External"/><Relationship Id="rId13" Type="http://schemas.openxmlformats.org/officeDocument/2006/relationships/hyperlink" Target="https://www.sec.gov/Archives/edgar/data/1560258/000121390023018560/ex103_4.htm" TargetMode="External"/><Relationship Id="rId14" Type="http://schemas.openxmlformats.org/officeDocument/2006/relationships/hyperlink" Target="https://www.sec.gov/Archives/edgar/data/1560258/000121390023018560/ex104_5.htm" TargetMode="External"/><Relationship Id="rId15" Type="http://schemas.openxmlformats.org/officeDocument/2006/relationships/hyperlink" Target="https://www.sec.gov/Archives/edgar/data/1560258/000119312518169701/d472601dex107.htm" TargetMode="External"/><Relationship Id="rId16" Type="http://schemas.openxmlformats.org/officeDocument/2006/relationships/hyperlink" Target="https://www.sec.gov/Archives/edgar/data/1560258/000119312518169701/d472601dex108.htm" TargetMode="External"/><Relationship Id="rId17" Type="http://schemas.openxmlformats.org/officeDocument/2006/relationships/hyperlink" Target="https://www.sec.gov/Archives/edgar/data/1560258/000119312518169701/d472601dex109.htm" TargetMode="External"/><Relationship Id="rId18" Type="http://schemas.openxmlformats.org/officeDocument/2006/relationships/hyperlink" Target="https://www.sec.gov/Archives/edgar/data/1560258/000119312518169701/d472601dex1010.htm" TargetMode="External"/><Relationship Id="rId19" Type="http://schemas.openxmlformats.org/officeDocument/2006/relationships/hyperlink" Target="https://www.sec.gov/Archives/edgar/data/1560258/000119312518169701/d472601dex1011.htm" TargetMode="External"/><Relationship Id="rId20" Type="http://schemas.openxmlformats.org/officeDocument/2006/relationships/hyperlink" Target="https://www.sec.gov/Archives/edgar/data/1560258/000119312518169701/d472601dex1012.htm" TargetMode="External"/><Relationship Id="rId21" Type="http://schemas.openxmlformats.org/officeDocument/2006/relationships/hyperlink" Target="https://www.sec.gov/Archives/edgar/data/1560258/000119312518169701/d472601dex1013.htm" TargetMode="External"/><Relationship Id="rId22" Type="http://schemas.openxmlformats.org/officeDocument/2006/relationships/hyperlink" Target="https://www.sec.gov/Archives/edgar/data/1560258/000119312518169701/d472601dex1014.htm" TargetMode="External"/><Relationship Id="rId23" Type="http://schemas.openxmlformats.org/officeDocument/2006/relationships/hyperlink" Target="https://www.sec.gov/Archives/edgar/data/1560258/000121390023018560/ex1014_6.htm" TargetMode="External"/><Relationship Id="rId24" Type="http://schemas.openxmlformats.org/officeDocument/2006/relationships/hyperlink" Target="https://www.sec.gov/Archives/edgar/data/1560258/000156459019009725/ecor-ex1019_930.htm" TargetMode="External"/><Relationship Id="rId25" Type="http://schemas.openxmlformats.org/officeDocument/2006/relationships/hyperlink" Target="https://www.sec.gov/Archives/edgar/data/1560258/000119312518169701/d472601dex1022.htm" TargetMode="External"/><Relationship Id="rId26" Type="http://schemas.openxmlformats.org/officeDocument/2006/relationships/hyperlink" Target="https://www.sec.gov/Archives/edgar/data/1560258/000119312518169701/d472601dex1023.htm" TargetMode="External"/><Relationship Id="rId27" Type="http://schemas.openxmlformats.org/officeDocument/2006/relationships/hyperlink" Target="https://www.sec.gov/Archives/edgar/data/1560258/000119312518169701/d472601dex1024.htm" TargetMode="External"/><Relationship Id="rId28" Type="http://schemas.openxmlformats.org/officeDocument/2006/relationships/hyperlink" Target="https://www.sec.gov/Archives/edgar/data/1560258/000119312519260837/d812563d8k.htm" TargetMode="External"/><Relationship Id="rId29" Type="http://schemas.openxmlformats.org/officeDocument/2006/relationships/hyperlink" Target="https://www.sec.gov/Archives/edgar/data/1560258/000119312519072042/d719272dex101.htm" TargetMode="External"/><Relationship Id="rId30" Type="http://schemas.openxmlformats.org/officeDocument/2006/relationships/hyperlink" Target="https://www.sec.gov/Archives/edgar/data/1560258/000156459019032167/ecor-ex102_115.htm" TargetMode="External"/><Relationship Id="rId31" Type="http://schemas.openxmlformats.org/officeDocument/2006/relationships/hyperlink" Target="https://www.sec.gov/Archives/edgar/data/1560258/000121390023018560/ex211_7.htm" TargetMode="External"/><Relationship Id="rId32" Type="http://schemas.openxmlformats.org/officeDocument/2006/relationships/hyperlink" Target="https://www.sec.gov/Archives/edgar/data/1560258/000121390023018560/ex231_8.htm" TargetMode="External"/><Relationship Id="rId33" Type="http://schemas.openxmlformats.org/officeDocument/2006/relationships/hyperlink" Target="https://www.sec.gov/Archives/edgar/data/1560258/000121390023018560/ex311_9.htm" TargetMode="External"/><Relationship Id="rId34" Type="http://schemas.openxmlformats.org/officeDocument/2006/relationships/hyperlink" Target="https://www.sec.gov/Archives/edgar/data/1560258/000121390023018560/ex312_10.htm" TargetMode="External"/><Relationship Id="rId35" Type="http://schemas.openxmlformats.org/officeDocument/2006/relationships/hyperlink" Target="https://www.sec.gov/Archives/edgar/data/1560258/000121390023018560/ex321_11.htm" TargetMode="External"/><Relationship Id="rId36" Type="http://schemas.openxmlformats.org/officeDocument/2006/relationships/hyperlink" Target="https://www.sec.gov/Archives/edgar/data/1560258/000121390023018560/ex322_12.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19888</Words>
  <CharactersWithSpaces>128214</CharactersWithSpaces>
  <Paragraphs>2198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