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Errico Thomas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 SUITE 205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15,572</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358,904</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Deferred Stock Units ("DSUs") award which vests in 12 equal monthly installments from the grant date; provided, however, that the DSUs shall vest in full on the earlier of (i) the close of business one business day prior to the Issuer's next annual stockholder meeting following the grant date, and (ii) the date immediately prior to a change of control, in each case, provided that the Reporting Person ("RP") remains in continuous service with the Issuer or an affiliate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274,106 shares owned directly by the RP; 1,296 shares owned by a trust for the benefit of the RP's family; 11,000 shares owned by a trust for the benefit of the RP; and 56,930 shares that have vested pursuant to previously issued deferred stock units. All such vested shares were previously reported on Form 4 filings at the time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33"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3782</Characters>
  <CharactersWithSpaces>4426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