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jc w:val="left"/>
        <w:rPr>
          <w:bdr w:val="single" w:sz="24" w:space="1" w:color="000000"/>
        </w:rPr>
      </w:pPr>
      <w:bookmarkStart w:id="0" w:name="ecor-20241231.htm"/>
      <w:bookmarkStart w:id="1" w:name="ksecor20241231"/>
      <w:bookmarkEnd w:id="0"/>
      <w:bookmarkEnd w:id="1"/>
      <w:r>
        <w:rPr>
          <w:bdr w:val="single" w:sz="24" w:space="1" w:color="000000"/>
        </w:rPr>
        <w:t> </w:t>
      </w:r>
    </w:p>
    <w:p>
      <w:pPr>
        <w:pStyle w:val="TextBody"/>
        <w:bidi w:val="0"/>
        <w:spacing w:lineRule="auto" w:line="288"/>
        <w:jc w:val="center"/>
        <w:rPr>
          <w:rFonts w:ascii="times new roman;times" w:hAnsi="times new roman;times"/>
          <w:b/>
          <w:sz w:val="36"/>
        </w:rPr>
      </w:pPr>
      <w:r>
        <w:rPr>
          <w:rFonts w:ascii="times new roman;times" w:hAnsi="times new roman;times"/>
          <w:b/>
          <w:sz w:val="36"/>
        </w:rPr>
        <w:t>UNITED STATES</w:t>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lineRule="auto" w:line="288" w:before="0" w:after="0"/>
        <w:ind w:left="0" w:right="0" w:hanging="0"/>
        <w:jc w:val="center"/>
        <w:rPr>
          <w:rFonts w:ascii="Times New Roman" w:hAnsi="Times New Roman"/>
          <w:b/>
          <w:sz w:val="24"/>
        </w:rPr>
      </w:pPr>
      <w:r>
        <w:rPr>
          <w:rFonts w:ascii="Times New Roman" w:hAnsi="Times New Roman"/>
          <w:b/>
          <w:sz w:val="24"/>
        </w:rPr>
        <w:t xml:space="preserve">Washington, D.C. 20549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0"/>
        <w:ind w:left="0" w:right="0" w:hanging="0"/>
        <w:jc w:val="center"/>
        <w:rPr>
          <w:sz w:val="36"/>
        </w:rPr>
      </w:pPr>
      <w:r>
        <w:rPr>
          <w:rFonts w:ascii="Times New Roman" w:hAnsi="Times New Roman"/>
          <w:b/>
          <w:sz w:val="36"/>
        </w:rPr>
        <w:t>FORM 10-K</w:t>
      </w:r>
      <w:r>
        <w:rPr>
          <w:sz w:val="3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
        <w:gridCol w:w="1140"/>
        <w:gridCol w:w="8988"/>
        <w:gridCol w:w="40"/>
      </w:tblGrid>
      <w:tr>
        <w:trPr/>
        <w:tc>
          <w:tcPr>
            <w:tcW w:w="37" w:type="dxa"/>
            <w:tcBorders/>
            <w:vAlign w:val="center"/>
          </w:tcPr>
          <w:p>
            <w:pPr>
              <w:pStyle w:val="TableContents"/>
              <w:bidi w:val="0"/>
              <w:spacing w:before="0" w:after="283"/>
              <w:jc w:val="left"/>
              <w:rPr/>
            </w:pPr>
            <w:r>
              <w:rPr/>
            </w:r>
          </w:p>
        </w:tc>
        <w:tc>
          <w:tcPr>
            <w:tcW w:w="1140" w:type="dxa"/>
            <w:tcBorders/>
            <w:vAlign w:val="center"/>
          </w:tcPr>
          <w:p>
            <w:pPr>
              <w:pStyle w:val="TableContents"/>
              <w:widowControl/>
              <w:bidi w:val="0"/>
              <w:spacing w:before="0" w:after="283"/>
              <w:ind w:left="0" w:right="0" w:hanging="0"/>
              <w:jc w:val="right"/>
              <w:rPr/>
            </w:pPr>
            <w:r>
              <w:rPr>
                <w:b w:val="false"/>
                <w:i w:val="false"/>
                <w:caps w:val="false"/>
                <w:smallCaps w:val="false"/>
                <w:color w:val="000000"/>
                <w:spacing w:val="0"/>
              </w:rPr>
              <w:t>(Mark</w:t>
            </w:r>
            <w:r>
              <w:rPr>
                <w:caps w:val="false"/>
                <w:smallCaps w:val="false"/>
                <w:color w:val="000000"/>
                <w:spacing w:val="0"/>
              </w:rPr>
              <w:t> </w:t>
            </w:r>
            <w:r>
              <w:rPr>
                <w:b w:val="false"/>
                <w:i w:val="false"/>
                <w:caps w:val="false"/>
                <w:smallCaps w:val="false"/>
                <w:color w:val="000000"/>
                <w:spacing w:val="0"/>
              </w:rPr>
              <w:t>One)</w:t>
            </w:r>
          </w:p>
        </w:tc>
        <w:tc>
          <w:tcPr>
            <w:tcW w:w="8988" w:type="dxa"/>
            <w:tcBorders/>
            <w:vAlign w:val="center"/>
          </w:tcPr>
          <w:p>
            <w:pPr>
              <w:pStyle w:val="TableContents"/>
              <w:bidi w:val="0"/>
              <w:spacing w:before="0" w:after="283"/>
              <w:jc w:val="left"/>
              <w:rPr/>
            </w:pPr>
            <w:r>
              <w:rPr/>
            </w:r>
          </w:p>
        </w:tc>
        <w:tc>
          <w:tcPr>
            <w:tcW w:w="40" w:type="dxa"/>
            <w:tcBorders/>
            <w:vAlign w:val="center"/>
          </w:tcPr>
          <w:p>
            <w:pPr>
              <w:pStyle w:val="TableContents"/>
              <w:bidi w:val="0"/>
              <w:spacing w:before="0" w:after="283"/>
              <w:jc w:val="left"/>
              <w:rPr/>
            </w:pPr>
            <w:r>
              <w:rPr/>
            </w:r>
          </w:p>
        </w:tc>
      </w:tr>
      <w:tr>
        <w:trPr/>
        <w:tc>
          <w:tcPr>
            <w:tcW w:w="37" w:type="dxa"/>
            <w:tcBorders/>
            <w:vAlign w:val="center"/>
          </w:tcPr>
          <w:p>
            <w:pPr>
              <w:pStyle w:val="TableContents"/>
              <w:bidi w:val="0"/>
              <w:spacing w:before="0" w:after="283"/>
              <w:jc w:val="left"/>
              <w:rPr/>
            </w:pPr>
            <w:r>
              <w:rPr/>
            </w:r>
          </w:p>
        </w:tc>
        <w:tc>
          <w:tcPr>
            <w:tcW w:w="1140" w:type="dxa"/>
            <w:tcBorders/>
            <w:vAlign w:val="center"/>
          </w:tcPr>
          <w:p>
            <w:pPr>
              <w:pStyle w:val="TableContents"/>
              <w:bidi w:val="0"/>
              <w:spacing w:before="0" w:after="0"/>
              <w:ind w:left="0" w:right="0" w:hanging="0"/>
              <w:jc w:val="center"/>
              <w:rPr/>
            </w:pPr>
            <w:r>
              <w:rPr/>
              <w:t xml:space="preserve">☒ </w:t>
            </w:r>
          </w:p>
        </w:tc>
        <w:tc>
          <w:tcPr>
            <w:tcW w:w="898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ANNUAL REPORT PURSUANT TO SECTION 13 OR 15(d) OF THE SECURITIES EXCHANGE ACT OF 1934 </w:t>
            </w:r>
          </w:p>
        </w:tc>
        <w:tc>
          <w:tcPr>
            <w:tcW w:w="40"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r>
        <w:rPr/>
      </w:r>
    </w:p>
    <w:p>
      <w:pPr>
        <w:pStyle w:val="TextBody"/>
        <w:bidi w:val="0"/>
        <w:spacing w:lineRule="auto" w:line="288" w:before="60" w:after="0"/>
        <w:ind w:left="0" w:right="0" w:hanging="0"/>
        <w:jc w:val="center"/>
        <w:rPr>
          <w:rFonts w:ascii="times new roman;times" w:hAnsi="times new roman;times"/>
          <w:sz w:val="20"/>
        </w:rPr>
      </w:pPr>
      <w:r>
        <w:rPr>
          <w:rFonts w:ascii="Times New Roman" w:hAnsi="Times New Roman"/>
          <w:b/>
          <w:sz w:val="20"/>
        </w:rPr>
        <w:t xml:space="preserve">For the fiscal year ended </w:t>
      </w:r>
      <w:r>
        <w:rPr>
          <w:rFonts w:ascii="times new roman;times" w:hAnsi="times new roman;times"/>
          <w:b/>
          <w:sz w:val="20"/>
        </w:rPr>
        <w:t>December 31, 2024</w:t>
      </w:r>
    </w:p>
    <w:p>
      <w:pPr>
        <w:pStyle w:val="TextBody"/>
        <w:bidi w:val="0"/>
        <w:spacing w:lineRule="auto" w:line="288" w:before="60" w:after="0"/>
        <w:ind w:left="0" w:right="0" w:hanging="0"/>
        <w:jc w:val="center"/>
        <w:rPr>
          <w:rFonts w:ascii="Times New Roman" w:hAnsi="Times New Roman"/>
          <w:b/>
          <w:sz w:val="20"/>
        </w:rPr>
      </w:pPr>
      <w:r>
        <w:rPr>
          <w:rFonts w:ascii="Times New Roman" w:hAnsi="Times New Roman"/>
          <w:b/>
          <w:sz w:val="20"/>
        </w:rPr>
        <w:t xml:space="preserve">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
        <w:gridCol w:w="289"/>
        <w:gridCol w:w="9839"/>
        <w:gridCol w:w="40"/>
      </w:tblGrid>
      <w:tr>
        <w:trPr/>
        <w:tc>
          <w:tcPr>
            <w:tcW w:w="37" w:type="dxa"/>
            <w:tcBorders/>
            <w:vAlign w:val="center"/>
          </w:tcPr>
          <w:p>
            <w:pPr>
              <w:pStyle w:val="TableContents"/>
              <w:bidi w:val="0"/>
              <w:spacing w:before="0" w:after="283"/>
              <w:ind w:left="0" w:right="0" w:hanging="0"/>
              <w:jc w:val="left"/>
              <w:rPr/>
            </w:pPr>
            <w:r>
              <w:rPr/>
            </w:r>
          </w:p>
        </w:tc>
        <w:tc>
          <w:tcPr>
            <w:tcW w:w="289" w:type="dxa"/>
            <w:tcBorders/>
            <w:vAlign w:val="center"/>
          </w:tcPr>
          <w:p>
            <w:pPr>
              <w:pStyle w:val="TableContents"/>
              <w:bidi w:val="0"/>
              <w:spacing w:before="60" w:after="0"/>
              <w:ind w:left="0" w:right="0" w:hanging="0"/>
              <w:jc w:val="center"/>
              <w:rPr/>
            </w:pPr>
            <w:r>
              <w:rPr/>
              <w:t xml:space="preserve">☐ </w:t>
            </w:r>
          </w:p>
        </w:tc>
        <w:tc>
          <w:tcPr>
            <w:tcW w:w="9839" w:type="dxa"/>
            <w:tcBorders/>
            <w:vAlign w:val="center"/>
          </w:tcPr>
          <w:p>
            <w:pPr>
              <w:pStyle w:val="TableContents"/>
              <w:bidi w:val="0"/>
              <w:spacing w:before="60" w:after="0"/>
              <w:ind w:left="0" w:right="0" w:hanging="0"/>
              <w:jc w:val="center"/>
              <w:rPr>
                <w:rFonts w:ascii="Times New Roman" w:hAnsi="Times New Roman"/>
                <w:b/>
                <w:sz w:val="20"/>
              </w:rPr>
            </w:pPr>
            <w:r>
              <w:rPr>
                <w:rFonts w:ascii="Times New Roman" w:hAnsi="Times New Roman"/>
                <w:b/>
                <w:sz w:val="20"/>
              </w:rPr>
              <w:t xml:space="preserve">TRANSITION REPORT PURSUANT TO SECTION 13 OR 15(d) OF THE SECURITIES EXCHANGE ACT OF 1934 </w:t>
            </w:r>
          </w:p>
        </w:tc>
        <w:tc>
          <w:tcPr>
            <w:tcW w:w="40"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0"/>
        <w:ind w:left="1101" w:right="0" w:hanging="595"/>
        <w:jc w:val="center"/>
        <w:rPr/>
      </w:pPr>
      <w:r>
        <w:rPr>
          <w:rFonts w:ascii="Times New Roman" w:hAnsi="Times New Roman"/>
          <w:b/>
          <w:sz w:val="20"/>
        </w:rPr>
        <w:t>FOR THE TRANSITION PERIOD FROM</w:t>
      </w:r>
      <w:r>
        <w:rPr/>
        <w:t xml:space="preserve">                      </w:t>
      </w:r>
      <w:r>
        <w:rPr>
          <w:rFonts w:ascii="Times New Roman" w:hAnsi="Times New Roman"/>
          <w:b/>
          <w:sz w:val="20"/>
        </w:rPr>
        <w:t xml:space="preserve">TO </w:t>
      </w:r>
      <w:r>
        <w:rPr/>
        <w:t>                    </w:t>
      </w:r>
    </w:p>
    <w:p>
      <w:pPr>
        <w:pStyle w:val="TextBody"/>
        <w:bidi w:val="0"/>
        <w:spacing w:lineRule="auto" w:line="288" w:before="60" w:after="0"/>
        <w:ind w:left="0" w:right="0" w:hanging="0"/>
        <w:jc w:val="center"/>
        <w:rPr>
          <w:rFonts w:ascii="times new roman;times" w:hAnsi="times new roman;times"/>
          <w:sz w:val="20"/>
        </w:rPr>
      </w:pPr>
      <w:r>
        <w:rPr>
          <w:rFonts w:ascii="Times New Roman" w:hAnsi="Times New Roman"/>
          <w:b/>
          <w:sz w:val="20"/>
        </w:rPr>
        <w:t>Commission File Number</w:t>
      </w:r>
      <w:r>
        <w:rPr>
          <w:rFonts w:ascii="times new roman;times" w:hAnsi="times new roman;times"/>
          <w:sz w:val="20"/>
        </w:rPr>
        <w:t> </w:t>
      </w:r>
      <w:r>
        <w:rPr>
          <w:rFonts w:ascii="Times New Roman" w:hAnsi="Times New Roman"/>
          <w:b/>
          <w:sz w:val="20"/>
        </w:rPr>
        <w:t>001-38538</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0"/>
        <w:ind w:left="0" w:right="0" w:hanging="0"/>
        <w:jc w:val="center"/>
        <w:rPr>
          <w:rFonts w:ascii="Times New Roman" w:hAnsi="Times New Roman"/>
          <w:b/>
          <w:sz w:val="48"/>
        </w:rPr>
      </w:pPr>
      <w:r>
        <w:rPr>
          <w:rFonts w:ascii="Times New Roman" w:hAnsi="Times New Roman"/>
          <w:b/>
          <w:sz w:val="48"/>
        </w:rPr>
        <w:t>electroCore, Inc.</w:t>
      </w:r>
    </w:p>
    <w:p>
      <w:pPr>
        <w:pStyle w:val="TextBody"/>
        <w:bidi w:val="0"/>
        <w:spacing w:lineRule="auto" w:line="288" w:before="0" w:after="60"/>
        <w:ind w:left="0" w:right="0" w:hanging="0"/>
        <w:jc w:val="center"/>
        <w:rPr>
          <w:rFonts w:ascii="Times New Roman" w:hAnsi="Times New Roman"/>
          <w:b/>
          <w:sz w:val="16"/>
        </w:rPr>
      </w:pPr>
      <w:r>
        <w:rPr>
          <w:rFonts w:ascii="Times New Roman" w:hAnsi="Times New Roman"/>
          <w:b/>
          <w:sz w:val="16"/>
        </w:rPr>
        <w:t>(Exact name of Registrant as specified in its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05"/>
        <w:gridCol w:w="178"/>
        <w:gridCol w:w="2322"/>
      </w:tblGrid>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20-3454976 </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(State or other jurisdiction of incorporation or organization)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lineRule="auto" w:line="240" w:before="0" w:after="0"/>
              <w:ind w:left="0" w:right="0" w:hanging="0"/>
              <w:jc w:val="center"/>
              <w:rPr/>
            </w:pPr>
            <w:r>
              <w:rPr>
                <w:rFonts w:ascii="Times New Roman" w:hAnsi="Times New Roman"/>
                <w:b/>
                <w:sz w:val="20"/>
              </w:rPr>
              <w:t>(I.R.S. Employer</w:t>
            </w:r>
            <w:r>
              <w:rPr/>
              <w:br/>
            </w:r>
            <w:r>
              <w:rPr>
                <w:rFonts w:ascii="Times New Roman" w:hAnsi="Times New Roman"/>
                <w:b/>
                <w:sz w:val="20"/>
              </w:rPr>
              <w:t>Identification No.)</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200 Forge Way, Suite 205, Rockaway, NJ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07866</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(Address of principal executive offices)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(Zip Code)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ind w:left="0" w:right="0" w:hanging="0"/>
        <w:jc w:val="center"/>
        <w:rPr/>
      </w:pPr>
      <w:r>
        <w:rPr>
          <w:rFonts w:ascii="Times New Roman" w:hAnsi="Times New Roman"/>
          <w:b/>
          <w:sz w:val="20"/>
        </w:rPr>
        <w:t xml:space="preserve">Registrant’s telephone number, including area code: </w:t>
      </w:r>
      <w:r>
        <w:rPr>
          <w:rFonts w:ascii="Times New Roman" w:hAnsi="Times New Roman"/>
          <w:b/>
          <w:sz w:val="20"/>
        </w:rPr>
        <w:t>(973)</w:t>
      </w:r>
      <w:r>
        <w:rPr/>
        <w:t> </w:t>
      </w:r>
      <w:r>
        <w:rPr>
          <w:rFonts w:ascii="Times New Roman" w:hAnsi="Times New Roman"/>
          <w:b/>
          <w:sz w:val="20"/>
        </w:rPr>
        <w:t>290-0097</w:t>
      </w:r>
      <w:r>
        <w:rPr>
          <w:rFonts w:ascii="Times New Roman" w:hAnsi="Times New Roman"/>
          <w:b/>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sz w:val="20"/>
        </w:rPr>
      </w:pPr>
      <w:r>
        <w:rPr>
          <w:rFonts w:ascii="Times New Roman" w:hAnsi="Times New Roman"/>
          <w:sz w:val="20"/>
        </w:rPr>
        <w:t>Securities registered pursuant to Section</w:t>
      </w:r>
      <w:r>
        <w:rPr>
          <w:sz w:val="20"/>
        </w:rPr>
        <w:t> </w:t>
      </w:r>
      <w:r>
        <w:rPr>
          <w:rFonts w:ascii="Times New Roman" w:hAnsi="Times New Roman"/>
          <w:sz w:val="20"/>
        </w:rPr>
        <w:t>12(b) of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325"/>
        <w:gridCol w:w="1758"/>
        <w:gridCol w:w="4122"/>
      </w:tblGrid>
      <w:tr>
        <w:trPr/>
        <w:tc>
          <w:tcPr>
            <w:tcW w:w="4325" w:type="dxa"/>
            <w:tcBorders/>
            <w:vAlign w:val="center"/>
          </w:tcPr>
          <w:p>
            <w:pPr>
              <w:pStyle w:val="TableContents"/>
              <w:bidi w:val="0"/>
              <w:spacing w:before="0" w:after="0"/>
              <w:ind w:left="0" w:right="0" w:hanging="0"/>
              <w:jc w:val="left"/>
              <w:rPr/>
            </w:pPr>
            <w:r>
              <w:rPr/>
              <w:t xml:space="preserve">  </w:t>
            </w:r>
          </w:p>
        </w:tc>
        <w:tc>
          <w:tcPr>
            <w:tcW w:w="1758" w:type="dxa"/>
            <w:tcBorders/>
            <w:vAlign w:val="center"/>
          </w:tcPr>
          <w:p>
            <w:pPr>
              <w:pStyle w:val="TableContents"/>
              <w:bidi w:val="0"/>
              <w:spacing w:before="0" w:after="0"/>
              <w:ind w:left="0" w:right="0" w:hanging="0"/>
              <w:jc w:val="left"/>
              <w:rPr/>
            </w:pPr>
            <w:r>
              <w:rPr/>
              <w:t xml:space="preserve">  </w:t>
            </w:r>
          </w:p>
        </w:tc>
        <w:tc>
          <w:tcPr>
            <w:tcW w:w="4122" w:type="dxa"/>
            <w:tcBorders/>
            <w:vAlign w:val="center"/>
          </w:tcPr>
          <w:p>
            <w:pPr>
              <w:pStyle w:val="TableContents"/>
              <w:bidi w:val="0"/>
              <w:spacing w:before="0" w:after="0"/>
              <w:ind w:left="0" w:right="0" w:hanging="0"/>
              <w:jc w:val="left"/>
              <w:rPr/>
            </w:pPr>
            <w:r>
              <w:rPr/>
              <w:t xml:space="preserve">  </w:t>
            </w:r>
          </w:p>
        </w:tc>
      </w:tr>
      <w:tr>
        <w:trPr/>
        <w:tc>
          <w:tcPr>
            <w:tcW w:w="43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0"/>
              <w:ind w:left="0" w:right="0" w:hanging="0"/>
              <w:jc w:val="center"/>
              <w:rPr>
                <w:rFonts w:ascii="Times New Roman" w:hAnsi="Times New Roman"/>
                <w:sz w:val="20"/>
              </w:rPr>
            </w:pPr>
            <w:r>
              <w:rPr>
                <w:rFonts w:ascii="Times New Roman" w:hAnsi="Times New Roman"/>
                <w:sz w:val="20"/>
              </w:rPr>
              <w:t xml:space="preserve">Title of each class </w:t>
            </w:r>
          </w:p>
        </w:tc>
        <w:tc>
          <w:tcPr>
            <w:tcW w:w="175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Trading symbol(s) </w:t>
            </w:r>
          </w:p>
        </w:tc>
        <w:tc>
          <w:tcPr>
            <w:tcW w:w="4122"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Name of each exchange on which registered </w:t>
            </w:r>
          </w:p>
        </w:tc>
      </w:tr>
      <w:tr>
        <w:trPr/>
        <w:tc>
          <w:tcPr>
            <w:tcW w:w="43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Par Value $0.001 Per Share</w:t>
            </w:r>
            <w:r>
              <w:rPr>
                <w:rFonts w:ascii="Times New Roman" w:hAnsi="Times New Roman"/>
                <w:b/>
                <w:sz w:val="20"/>
              </w:rPr>
              <w:t xml:space="preserve"> </w:t>
            </w:r>
          </w:p>
        </w:tc>
        <w:tc>
          <w:tcPr>
            <w:tcW w:w="175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ECOR </w:t>
            </w:r>
          </w:p>
        </w:tc>
        <w:tc>
          <w:tcPr>
            <w:tcW w:w="4122"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Nasdaq Capital Market</w:t>
            </w:r>
            <w:r>
              <w:rPr>
                <w:rFonts w:ascii="Times New Roman" w:hAnsi="Times New Roman"/>
                <w:b/>
                <w:sz w:val="20"/>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Securities registered pursuant to Section</w:t>
      </w:r>
      <w:r>
        <w:rPr>
          <w:rFonts w:ascii="times new roman;times" w:hAnsi="times new roman;times"/>
          <w:sz w:val="20"/>
        </w:rPr>
        <w:t> </w:t>
      </w:r>
      <w:r>
        <w:rPr>
          <w:rFonts w:ascii="Times New Roman" w:hAnsi="Times New Roman"/>
          <w:sz w:val="20"/>
        </w:rPr>
        <w:t xml:space="preserve">12(g) of the Act: </w:t>
      </w:r>
      <w:r>
        <w:rPr>
          <w:rFonts w:ascii="Times New Roman" w:hAnsi="Times New Roman"/>
          <w:b/>
          <w:sz w:val="20"/>
        </w:rPr>
        <w:t>None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if the Registrant is a well-known seasoned issuer, as defined in Rule</w:t>
      </w:r>
      <w:r>
        <w:rPr>
          <w:rFonts w:ascii="times new roman;times" w:hAnsi="times new roman;times"/>
          <w:sz w:val="20"/>
        </w:rPr>
        <w:t> </w:t>
      </w:r>
      <w:r>
        <w:rPr>
          <w:rFonts w:ascii="Times New Roman" w:hAnsi="Times New Roman"/>
          <w:sz w:val="20"/>
        </w:rPr>
        <w:t>405 of the Securities Act.</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r>
        <w:rPr>
          <w:rFonts w:ascii="times new roman;times" w:hAnsi="times new roman;times"/>
          <w:sz w:val="20"/>
        </w:rPr>
        <w:t> </w:t>
      </w:r>
      <w:r>
        <w:rPr>
          <w:rFonts w:ascii="times new roman;times" w:hAnsi="times new roman;times"/>
          <w:sz w:val="20"/>
        </w:rPr>
        <w:t>☒</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if the Registrant is not required to file reports pursuant to Section</w:t>
      </w:r>
      <w:r>
        <w:rPr>
          <w:rFonts w:ascii="times new roman;times" w:hAnsi="times new roman;times"/>
          <w:sz w:val="20"/>
        </w:rPr>
        <w:t> </w:t>
      </w:r>
      <w:r>
        <w:rPr>
          <w:rFonts w:ascii="Times New Roman" w:hAnsi="Times New Roman"/>
          <w:sz w:val="20"/>
        </w:rPr>
        <w:t>13 or 15(d) of the Act.</w:t>
      </w:r>
      <w:r>
        <w:rPr>
          <w:rFonts w:ascii="times new roman;times" w:hAnsi="times new roman;times"/>
          <w:sz w:val="20"/>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 w:hAnsi="Times New Roman"/>
          <w:sz w:val="20"/>
        </w:rPr>
        <w:t> </w:t>
      </w:r>
      <w:r>
        <w:rPr>
          <w:rFonts w:ascii="times new roman;times" w:hAnsi="times new roman;times"/>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whether the Registrant: (1)</w:t>
      </w:r>
      <w:r>
        <w:rPr>
          <w:rFonts w:ascii="times new roman;times" w:hAnsi="times new roman;times"/>
          <w:sz w:val="20"/>
        </w:rPr>
        <w:t> </w:t>
      </w:r>
      <w:r>
        <w:rPr>
          <w:rFonts w:ascii="Times New Roman" w:hAnsi="Times New Roman"/>
          <w:sz w:val="20"/>
        </w:rPr>
        <w:t>has filed all reports required to be filed by Section</w:t>
      </w:r>
      <w:r>
        <w:rPr>
          <w:rFonts w:ascii="times new roman;times" w:hAnsi="times new roman;times"/>
          <w:sz w:val="20"/>
        </w:rPr>
        <w:t> </w:t>
      </w:r>
      <w:r>
        <w:rPr>
          <w:rFonts w:ascii="Times New Roman" w:hAnsi="Times New Roman"/>
          <w:sz w:val="20"/>
        </w:rPr>
        <w:t>13 or 15(d) of</w:t>
      </w:r>
      <w:r>
        <w:rPr>
          <w:rFonts w:ascii="times new roman;times" w:hAnsi="times new roman;times"/>
          <w:sz w:val="20"/>
        </w:rPr>
        <w:t xml:space="preserve"> </w:t>
      </w:r>
      <w:r>
        <w:rPr>
          <w:rFonts w:ascii="Times New Roman" w:hAnsi="Times New Roman"/>
          <w:sz w:val="20"/>
        </w:rPr>
        <w:t>the Securities Exchange Act of 1934 during the preceding 12</w:t>
      </w:r>
      <w:r>
        <w:rPr>
          <w:rFonts w:ascii="times new roman;times" w:hAnsi="times new roman;times"/>
          <w:sz w:val="20"/>
        </w:rPr>
        <w:t> </w:t>
      </w:r>
      <w:r>
        <w:rPr>
          <w:rFonts w:ascii="Times New Roman" w:hAnsi="Times New Roman"/>
          <w:sz w:val="20"/>
        </w:rPr>
        <w:t>months (or for such shorter period that the Registrant was required to file such reports), and (2)</w:t>
      </w:r>
      <w:r>
        <w:rPr>
          <w:rFonts w:ascii="times new roman;times" w:hAnsi="times new roman;times"/>
          <w:sz w:val="20"/>
        </w:rPr>
        <w:t> </w:t>
      </w:r>
      <w:r>
        <w:rPr>
          <w:rFonts w:ascii="Times New Roman" w:hAnsi="Times New Roman"/>
          <w:sz w:val="20"/>
        </w:rPr>
        <w:t>has been subject to such filing requirements for the past 90</w:t>
      </w:r>
      <w:r>
        <w:rPr>
          <w:rFonts w:ascii="times new roman;times" w:hAnsi="times new roman;times"/>
          <w:sz w:val="20"/>
        </w:rPr>
        <w:t> </w:t>
      </w:r>
      <w:r>
        <w:rPr>
          <w:rFonts w:ascii="Times New Roman" w:hAnsi="Times New Roman"/>
          <w:sz w:val="20"/>
        </w:rPr>
        <w:t>days.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w:t>
      </w:r>
      <w:r>
        <w:rPr>
          <w:rFonts w:ascii="times new roman;times" w:hAnsi="times new roman;times"/>
          <w:sz w:val="20"/>
        </w:rPr>
        <w:t xml:space="preserve"> </w:t>
      </w:r>
      <w:r>
        <w:rPr>
          <w:rFonts w:ascii="Times New Roman" w:hAnsi="Times New Roman"/>
          <w:sz w:val="20"/>
        </w:rPr>
        <w:t>mark whether the Registrant has submitted electronically every Interactive Data File required to be submitted pursuant to Rule</w:t>
      </w:r>
      <w:r>
        <w:rPr>
          <w:rFonts w:ascii="times new roman;times" w:hAnsi="times new roman;times"/>
          <w:sz w:val="20"/>
        </w:rPr>
        <w:t> </w:t>
      </w:r>
      <w:r>
        <w:rPr>
          <w:rFonts w:ascii="Times New Roman" w:hAnsi="Times New Roman"/>
          <w:sz w:val="20"/>
        </w:rPr>
        <w:t>405 of Regulation</w:t>
      </w:r>
      <w:r>
        <w:rPr>
          <w:rFonts w:ascii="times new roman;times" w:hAnsi="times new roman;times"/>
          <w:sz w:val="20"/>
        </w:rPr>
        <w:t> </w:t>
      </w:r>
      <w:r>
        <w:rPr>
          <w:rFonts w:ascii="Times New Roman" w:hAnsi="Times New Roman"/>
          <w:sz w:val="20"/>
        </w:rPr>
        <w:t>S-T (§232.405 of this chapter) during the preceding 12</w:t>
      </w:r>
      <w:r>
        <w:rPr>
          <w:rFonts w:ascii="times new roman;times" w:hAnsi="times new roman;times"/>
          <w:sz w:val="20"/>
        </w:rPr>
        <w:t> </w:t>
      </w:r>
      <w:r>
        <w:rPr>
          <w:rFonts w:ascii="Times New Roman" w:hAnsi="Times New Roman"/>
          <w:sz w:val="20"/>
        </w:rPr>
        <w:t>months (or for such shorter period that the Registrant was required to submit such files).</w:t>
      </w:r>
      <w:r>
        <w:rPr>
          <w:rFonts w:ascii="times new roman;times" w:hAnsi="times new roman;times"/>
          <w:sz w:val="20"/>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 </w:t>
      </w:r>
    </w:p>
    <w:p>
      <w:pPr>
        <w:pStyle w:val="TextBody"/>
        <w:bidi w:val="0"/>
        <w:spacing w:lineRule="auto" w:line="288" w:before="0" w:after="0"/>
        <w:ind w:left="0" w:right="0" w:hanging="0"/>
        <w:jc w:val="left"/>
        <w:rPr/>
      </w:pPr>
      <w:r>
        <w:rPr/>
        <w:t> </w:t>
      </w: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424"/>
        <w:gridCol w:w="562"/>
        <w:gridCol w:w="232"/>
        <w:gridCol w:w="4396"/>
        <w:gridCol w:w="591"/>
      </w:tblGrid>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Large, accelerated filer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Accelerated filer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pPr>
            <w:r>
              <w:rPr/>
              <w:t xml:space="preserve">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Non-accelerated filer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Smaller reporting company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pPr>
            <w:r>
              <w:rPr/>
              <w:t xml:space="preserve">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Emerging growth company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 </w:t>
      </w:r>
      <w:r>
        <w:rPr>
          <w:rFonts w:ascii="times new roman;times" w:hAnsi="times new roman;times"/>
          <w:caps w:val="false"/>
          <w:smallCaps w:val="false"/>
          <w:color w:val="000000"/>
          <w:spacing w:val="0"/>
          <w:sz w:val="20"/>
        </w:rPr>
        <w:t>☐</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w:t>
      </w:r>
      <w:r>
        <w:rPr>
          <w:rFonts w:ascii="times new roman;times" w:hAnsi="times new roman;times"/>
          <w:sz w:val="20"/>
        </w:rPr>
        <w:t>404</w:t>
      </w:r>
      <w:r>
        <w:rPr>
          <w:rFonts w:ascii="times new roman;times" w:hAnsi="times new roman;times"/>
          <w:sz w:val="20"/>
        </w:rPr>
        <w:t>(b) of the Sarbanes-Oxley Act by the registered public accounting firm that prepared or issued its audit report. </w:t>
      </w:r>
      <w:r>
        <w:rPr>
          <w:rFonts w:ascii="times new roman;times" w:hAnsi="times new roman;times"/>
          <w:caps w:val="false"/>
          <w:smallCaps w:val="false"/>
          <w:color w:val="000000"/>
          <w:spacing w:val="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serif" w:hAnsi="Times New Roman;serif"/>
          <w:color w:val="00000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serif" w:hAnsi="Times New Roman;serif"/>
          <w:color w:val="00000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whether the Registrant is a shell company (as defined in Rule</w:t>
      </w:r>
      <w:r>
        <w:rPr>
          <w:rFonts w:ascii="times new roman;times" w:hAnsi="times new roman;times"/>
          <w:sz w:val="20"/>
          <w:shd w:fill="FFFFFF" w:val="clear"/>
        </w:rPr>
        <w:t> </w:t>
      </w:r>
      <w:r>
        <w:rPr>
          <w:rFonts w:ascii="Times New Roman" w:hAnsi="Times New Roman"/>
          <w:sz w:val="20"/>
          <w:shd w:fill="FFFFFF" w:val="clear"/>
        </w:rPr>
        <w:t>12b-2 of the Exchange Act).</w:t>
      </w:r>
      <w:r>
        <w:rPr>
          <w:rFonts w:ascii="times new roman;times" w:hAnsi="times new roman;times"/>
          <w:sz w:val="20"/>
          <w:shd w:fill="FFFFFF" w:val="clear"/>
        </w:rPr>
        <w:t> </w:t>
      </w:r>
      <w:r>
        <w:rPr>
          <w:rFonts w:ascii="Times New Roman" w:hAnsi="Times New Roman"/>
          <w:sz w:val="20"/>
          <w:shd w:fill="FFFFFF" w:val="clear"/>
        </w:rPr>
        <w:t>YES</w:t>
      </w:r>
      <w:r>
        <w:rPr>
          <w:rFonts w:ascii="times new roman;times" w:hAnsi="times new roman;times"/>
          <w:sz w:val="20"/>
          <w:shd w:fill="FFFFFF" w:val="clear"/>
        </w:rPr>
        <w:t> ☐ </w:t>
      </w:r>
      <w:r>
        <w:rPr>
          <w:rFonts w:ascii="Times New Roman" w:hAnsi="Times New Roman"/>
          <w:sz w:val="20"/>
          <w:shd w:fill="FFFFFF" w:val="clear"/>
        </w:rPr>
        <w:t>NO</w:t>
      </w:r>
      <w:r>
        <w:rPr>
          <w:rFonts w:ascii="times new roman;times" w:hAnsi="times new roman;times"/>
          <w:sz w:val="20"/>
          <w:shd w:fill="FFFFFF" w:val="clear"/>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aggregate market value of the voting and non-voting common equity held by non-affiliates of the Registrant, based on the closing price of the shares of common stock on the Nasd</w:t>
      </w:r>
      <w:r>
        <w:rPr>
          <w:rFonts w:ascii="Times New Roman" w:hAnsi="Times New Roman"/>
          <w:color w:val="000000"/>
          <w:sz w:val="20"/>
        </w:rPr>
        <w:t>aq Capital Stock</w:t>
      </w:r>
      <w:r>
        <w:rPr>
          <w:rFonts w:ascii="Times New Roman" w:hAnsi="Times New Roman"/>
          <w:sz w:val="20"/>
        </w:rPr>
        <w:t xml:space="preserve"> Market on June 30, 2024 was $34,861,164.</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The number of shares of Registrant’s Common Stock outstanding </w:t>
      </w:r>
      <w:r>
        <w:rPr>
          <w:rFonts w:ascii="Times New Roman" w:hAnsi="Times New Roman"/>
          <w:sz w:val="20"/>
          <w:shd w:fill="FFFFFF" w:val="clear"/>
        </w:rPr>
        <w:t xml:space="preserve">as of </w:t>
      </w:r>
      <w:r>
        <w:rPr>
          <w:rFonts w:ascii="times new roman;times" w:hAnsi="times new roman;times"/>
          <w:sz w:val="20"/>
          <w:shd w:fill="FFFFFF" w:val="clear"/>
        </w:rPr>
        <w:t>March 6, 2025 </w:t>
      </w:r>
      <w:r>
        <w:rPr>
          <w:rFonts w:ascii="Times New Roman" w:hAnsi="Times New Roman"/>
          <w:sz w:val="20"/>
          <w:shd w:fill="FFFFFF" w:val="clear"/>
        </w:rPr>
        <w:t xml:space="preserve">was </w:t>
      </w:r>
      <w:r>
        <w:rPr>
          <w:rFonts w:ascii="times new roman;times" w:hAnsi="times new roman;times"/>
          <w:sz w:val="20"/>
          <w:shd w:fill="FFFFFF" w:val="clear"/>
        </w:rPr>
        <w:t>7,193,092</w:t>
      </w:r>
      <w:r>
        <w:rPr>
          <w:rFonts w:ascii="Times New Roman" w:hAnsi="Times New Roman"/>
          <w:sz w:val="20"/>
          <w:shd w:fill="FFFFFF" w:val="clear"/>
        </w:rPr>
        <w:t>.</w:t>
      </w:r>
    </w:p>
    <w:p>
      <w:pPr>
        <w:pStyle w:val="TextBody"/>
        <w:bidi w:val="0"/>
        <w:spacing w:lineRule="auto" w:line="288" w:before="0" w:after="0"/>
        <w:ind w:left="0" w:right="0" w:hanging="0"/>
        <w:jc w:val="left"/>
        <w:rPr/>
      </w:pPr>
      <w:r>
        <w:rPr/>
      </w:r>
    </w:p>
    <w:p>
      <w:pPr>
        <w:pStyle w:val="TextBody"/>
        <w:bidi w:val="0"/>
        <w:spacing w:lineRule="atLeast" w:line="142" w:before="0" w:after="0"/>
        <w:jc w:val="left"/>
        <w:rPr>
          <w:bdr w:val="single" w:sz="24" w:space="1" w:color="000000"/>
        </w:rPr>
      </w:pPr>
      <w:r>
        <w:rPr>
          <w:bdr w:val="single" w:sz="24" w:space="1" w:color="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center"/>
              <w:rPr/>
            </w:pPr>
            <w:r>
              <w:rPr/>
            </w:r>
          </w:p>
          <w:p>
            <w:pPr>
              <w:pStyle w:val="TableContents"/>
              <w:bidi w:val="0"/>
              <w:spacing w:before="0" w:after="0"/>
              <w:ind w:left="0" w:right="0" w:hanging="0"/>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Normal"/>
        <w:bidi w:val="0"/>
        <w:spacing w:before="0" w:after="0"/>
        <w:ind w:left="0" w:right="0" w:hanging="0"/>
        <w:jc w:val="left"/>
        <w:rPr>
          <w:sz w:val="4"/>
          <w:szCs w:val="4"/>
        </w:rPr>
      </w:pPr>
      <w:r>
        <w:rPr>
          <w:sz w:val="4"/>
          <w:szCs w:val="4"/>
        </w:rPr>
      </w:r>
      <w:bookmarkStart w:id="2" w:name="TOC"/>
      <w:bookmarkStart w:id="3" w:name="TOC"/>
      <w:bookmarkEnd w:id="3"/>
    </w:p>
    <w:tbl>
      <w:tblPr>
        <w:tblW w:w="10205" w:type="dxa"/>
        <w:jc w:val="left"/>
        <w:tblInd w:w="0" w:type="dxa"/>
        <w:tblLayout w:type="fixed"/>
        <w:tblCellMar>
          <w:top w:w="0" w:type="dxa"/>
          <w:left w:w="0" w:type="dxa"/>
          <w:bottom w:w="0" w:type="dxa"/>
          <w:right w:w="0" w:type="dxa"/>
        </w:tblCellMar>
      </w:tblPr>
      <w:tblGrid>
        <w:gridCol w:w="838"/>
        <w:gridCol w:w="8926"/>
        <w:gridCol w:w="441"/>
      </w:tblGrid>
      <w:tr>
        <w:trPr/>
        <w:tc>
          <w:tcPr>
            <w:tcW w:w="838" w:type="dxa"/>
            <w:tcBorders/>
            <w:vAlign w:val="center"/>
          </w:tcPr>
          <w:p>
            <w:pPr>
              <w:pStyle w:val="TableContents"/>
              <w:bidi w:val="0"/>
              <w:spacing w:before="0" w:after="283"/>
              <w:jc w:val="left"/>
              <w:rPr/>
            </w:pPr>
            <w:r>
              <w:rPr/>
            </w:r>
          </w:p>
        </w:tc>
        <w:tc>
          <w:tcPr>
            <w:tcW w:w="8926" w:type="dxa"/>
            <w:tcBorders/>
            <w:vAlign w:val="center"/>
          </w:tcPr>
          <w:p>
            <w:pPr>
              <w:pStyle w:val="Heading4"/>
              <w:bidi w:val="0"/>
              <w:spacing w:before="120" w:after="120"/>
              <w:jc w:val="center"/>
              <w:rPr>
                <w:rFonts w:ascii="times new roman;times" w:hAnsi="times new roman;times"/>
                <w:sz w:val="20"/>
              </w:rPr>
            </w:pPr>
            <w:r>
              <w:rPr>
                <w:rFonts w:ascii="times new roman;times" w:hAnsi="times new roman;times"/>
                <w:sz w:val="20"/>
              </w:rPr>
              <w:t>Table of Contents</w:t>
            </w:r>
          </w:p>
        </w:tc>
        <w:tc>
          <w:tcPr>
            <w:tcW w:w="441" w:type="dxa"/>
            <w:tcBorders/>
            <w:vAlign w:val="center"/>
          </w:tcPr>
          <w:p>
            <w:pPr>
              <w:pStyle w:val="Heading4"/>
              <w:bidi w:val="0"/>
              <w:spacing w:before="120" w:after="120"/>
              <w:jc w:val="center"/>
              <w:rPr>
                <w:rFonts w:ascii="times new roman;times" w:hAnsi="times new roman;times"/>
                <w:sz w:val="20"/>
              </w:rPr>
            </w:pPr>
            <w:r>
              <w:rPr>
                <w:rFonts w:ascii="times new roman;times" w:hAnsi="times new roman;times"/>
                <w:sz w:val="20"/>
              </w:rPr>
              <w:t>Page</w:t>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4" w:name="BM_BItem_1_7EB3CFLXVK0000000000000000000"/>
            <w:bookmarkEnd w:id="4"/>
          </w:p>
        </w:tc>
        <w:tc>
          <w:tcPr>
            <w:tcW w:w="8926" w:type="dxa"/>
            <w:tcBorders/>
            <w:vAlign w:val="center"/>
          </w:tcPr>
          <w:p>
            <w:pPr>
              <w:pStyle w:val="TableContents"/>
              <w:bidi w:val="0"/>
              <w:spacing w:before="0" w:after="283"/>
              <w:jc w:val="left"/>
              <w:rPr/>
            </w:pPr>
            <w:hyperlink w:anchor="BItem_1_7EB3CFLXVK00000000000000000000">
              <w:r>
                <w:rPr>
                  <w:rStyle w:val="InternetLink"/>
                  <w:rFonts w:ascii="times new roman;times" w:hAnsi="times new roman;times"/>
                  <w:sz w:val="20"/>
                </w:rPr>
                <w:t>Business</w:t>
              </w:r>
            </w:hyperlink>
            <w:bookmarkStart w:id="5" w:name="BMP_BItem_1_7EB3CFLXVK000000000000000000"/>
            <w:bookmarkEnd w:id="5"/>
          </w:p>
        </w:tc>
        <w:tc>
          <w:tcPr>
            <w:tcW w:w="441" w:type="dxa"/>
            <w:tcBorders/>
            <w:vAlign w:val="center"/>
          </w:tcPr>
          <w:p>
            <w:pPr>
              <w:pStyle w:val="TableContents"/>
              <w:bidi w:val="0"/>
              <w:spacing w:before="0" w:after="283"/>
              <w:jc w:val="center"/>
              <w:rPr/>
            </w:pPr>
            <w:r>
              <w:rPr/>
              <w:t>1</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6" w:name="BM_BRisk_Factors_DLDQ3JO1W00000000000000"/>
            <w:bookmarkEnd w:id="6"/>
          </w:p>
        </w:tc>
        <w:tc>
          <w:tcPr>
            <w:tcW w:w="8926" w:type="dxa"/>
            <w:tcBorders/>
            <w:vAlign w:val="center"/>
          </w:tcPr>
          <w:p>
            <w:pPr>
              <w:pStyle w:val="TableContents"/>
              <w:bidi w:val="0"/>
              <w:spacing w:before="0" w:after="283"/>
              <w:jc w:val="left"/>
              <w:rPr/>
            </w:pPr>
            <w:hyperlink w:anchor="BRisk_Factors_DLDQ3JO1W000000000000000000000">
              <w:r>
                <w:rPr>
                  <w:rStyle w:val="InternetLink"/>
                  <w:rFonts w:ascii="times new roman;times" w:hAnsi="times new roman;times"/>
                  <w:sz w:val="20"/>
                </w:rPr>
                <w:t>Risk Factors.</w:t>
              </w:r>
            </w:hyperlink>
            <w:bookmarkStart w:id="7" w:name="BMP_BRisk_Factors_DLDQ3JO1W0000000000000"/>
            <w:bookmarkEnd w:id="7"/>
          </w:p>
        </w:tc>
        <w:tc>
          <w:tcPr>
            <w:tcW w:w="441" w:type="dxa"/>
            <w:tcBorders/>
            <w:vAlign w:val="center"/>
          </w:tcPr>
          <w:p>
            <w:pPr>
              <w:pStyle w:val="TableContents"/>
              <w:bidi w:val="0"/>
              <w:spacing w:before="0" w:after="283"/>
              <w:jc w:val="center"/>
              <w:rPr/>
            </w:pPr>
            <w:r>
              <w:rPr/>
              <w:t>12</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1B.</w:t>
            </w:r>
            <w:bookmarkStart w:id="8" w:name="BM_BCUnresolved_7IYOOGSWOG00000000000000"/>
            <w:bookmarkEnd w:id="8"/>
          </w:p>
        </w:tc>
        <w:tc>
          <w:tcPr>
            <w:tcW w:w="8926" w:type="dxa"/>
            <w:tcBorders/>
            <w:vAlign w:val="center"/>
          </w:tcPr>
          <w:p>
            <w:pPr>
              <w:pStyle w:val="TableContents"/>
              <w:bidi w:val="0"/>
              <w:spacing w:before="0" w:after="283"/>
              <w:jc w:val="left"/>
              <w:rPr/>
            </w:pPr>
            <w:hyperlink w:anchor="BCUnresolved_7IYOOGSWOG00000000000000000000">
              <w:r>
                <w:rPr>
                  <w:rStyle w:val="InternetLink"/>
                  <w:rFonts w:ascii="times new roman;times" w:hAnsi="times new roman;times"/>
                  <w:sz w:val="20"/>
                </w:rPr>
                <w:t>Unresolved Staff Comments</w:t>
              </w:r>
            </w:hyperlink>
            <w:bookmarkStart w:id="9" w:name="BMP_BCUnresolved_7IYOOGSWOG0000000000000"/>
            <w:bookmarkEnd w:id="9"/>
          </w:p>
        </w:tc>
        <w:tc>
          <w:tcPr>
            <w:tcW w:w="441" w:type="dxa"/>
            <w:tcBorders/>
            <w:vAlign w:val="center"/>
          </w:tcPr>
          <w:p>
            <w:pPr>
              <w:pStyle w:val="TableContents"/>
              <w:bidi w:val="0"/>
              <w:spacing w:before="0" w:after="283"/>
              <w:jc w:val="center"/>
              <w:rPr/>
            </w:pPr>
            <w:r>
              <w:rPr/>
              <w:t>85</w:t>
            </w:r>
          </w:p>
        </w:tc>
      </w:tr>
      <w:tr>
        <w:trPr/>
        <w:tc>
          <w:tcPr>
            <w:tcW w:w="838" w:type="dxa"/>
            <w:tcBorders/>
            <w:vAlign w:val="center"/>
          </w:tcPr>
          <w:p>
            <w:pPr>
              <w:pStyle w:val="TableContents"/>
              <w:bidi w:val="0"/>
              <w:spacing w:before="0" w:after="283"/>
              <w:jc w:val="left"/>
              <w:rPr/>
            </w:pPr>
            <w:r>
              <w:rPr/>
              <w:t>Item 1C.</w:t>
            </w:r>
            <w:bookmarkStart w:id="10" w:name="BM_BCybersecurity_24120240756774"/>
            <w:bookmarkEnd w:id="10"/>
          </w:p>
        </w:tc>
        <w:tc>
          <w:tcPr>
            <w:tcW w:w="8926" w:type="dxa"/>
            <w:tcBorders/>
            <w:vAlign w:val="center"/>
          </w:tcPr>
          <w:p>
            <w:pPr>
              <w:pStyle w:val="TableContents"/>
              <w:bidi w:val="0"/>
              <w:spacing w:before="0" w:after="283"/>
              <w:jc w:val="left"/>
              <w:rPr/>
            </w:pPr>
            <w:hyperlink w:anchor="BCybersecurity_24120240756774">
              <w:r>
                <w:rPr>
                  <w:rStyle w:val="InternetLink"/>
                  <w:rFonts w:ascii="times new roman;times" w:hAnsi="times new roman;times"/>
                  <w:sz w:val="20"/>
                </w:rPr>
                <w:t>Cybersecurity</w:t>
              </w:r>
            </w:hyperlink>
            <w:bookmarkStart w:id="11" w:name="BMP_BCybersecurity_24120240756774"/>
            <w:bookmarkEnd w:id="11"/>
          </w:p>
        </w:tc>
        <w:tc>
          <w:tcPr>
            <w:tcW w:w="441" w:type="dxa"/>
            <w:tcBorders/>
            <w:vAlign w:val="center"/>
          </w:tcPr>
          <w:p>
            <w:pPr>
              <w:pStyle w:val="TableContents"/>
              <w:bidi w:val="0"/>
              <w:spacing w:before="0" w:after="283"/>
              <w:jc w:val="center"/>
              <w:rPr/>
            </w:pPr>
            <w:r>
              <w:rPr/>
              <w:t>85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Item 2.</w:t>
            </w:r>
            <w:bookmarkStart w:id="12" w:name="BM_BDProperties_VDNRGG34OG00000000000000"/>
            <w:bookmarkEnd w:id="12"/>
          </w:p>
        </w:tc>
        <w:tc>
          <w:tcPr>
            <w:tcW w:w="8926" w:type="dxa"/>
            <w:tcBorders/>
            <w:vAlign w:val="center"/>
          </w:tcPr>
          <w:p>
            <w:pPr>
              <w:pStyle w:val="TableContents"/>
              <w:bidi w:val="0"/>
              <w:spacing w:before="0" w:after="283"/>
              <w:jc w:val="left"/>
              <w:rPr/>
            </w:pPr>
            <w:hyperlink w:anchor="BDProperties_VDNRGG34OG00000000000000000000">
              <w:r>
                <w:rPr>
                  <w:rStyle w:val="InternetLink"/>
                  <w:rFonts w:ascii="times new roman;times" w:hAnsi="times new roman;times"/>
                  <w:sz w:val="20"/>
                </w:rPr>
                <w:t>Properties</w:t>
              </w:r>
            </w:hyperlink>
            <w:bookmarkStart w:id="13" w:name="BMP_BDProperties_VDNRGG34OG0000000000000"/>
            <w:bookmarkEnd w:id="13"/>
          </w:p>
        </w:tc>
        <w:tc>
          <w:tcPr>
            <w:tcW w:w="441" w:type="dxa"/>
            <w:tcBorders/>
            <w:vAlign w:val="center"/>
          </w:tcPr>
          <w:p>
            <w:pPr>
              <w:pStyle w:val="TableContents"/>
              <w:bidi w:val="0"/>
              <w:spacing w:before="0" w:after="283"/>
              <w:jc w:val="center"/>
              <w:rPr/>
            </w:pPr>
            <w:r>
              <w:rPr/>
              <w:t>86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14" w:name="BM_BELegal_WTNSU88PB40000000000000000000"/>
            <w:bookmarkEnd w:id="14"/>
          </w:p>
        </w:tc>
        <w:tc>
          <w:tcPr>
            <w:tcW w:w="8926" w:type="dxa"/>
            <w:tcBorders/>
            <w:vAlign w:val="center"/>
          </w:tcPr>
          <w:p>
            <w:pPr>
              <w:pStyle w:val="TableContents"/>
              <w:bidi w:val="0"/>
              <w:spacing w:before="0" w:after="283"/>
              <w:jc w:val="left"/>
              <w:rPr/>
            </w:pPr>
            <w:hyperlink w:anchor="BELegal_WTNSU88PB400000000000000000000">
              <w:r>
                <w:rPr>
                  <w:rStyle w:val="InternetLink"/>
                  <w:rFonts w:ascii="times new roman;times" w:hAnsi="times new roman;times"/>
                  <w:sz w:val="20"/>
                </w:rPr>
                <w:t>Legal Proceedings</w:t>
              </w:r>
            </w:hyperlink>
            <w:bookmarkStart w:id="15" w:name="BMP_BELegal_WTNSU88PB4000000000000000000"/>
            <w:bookmarkEnd w:id="15"/>
          </w:p>
        </w:tc>
        <w:tc>
          <w:tcPr>
            <w:tcW w:w="441" w:type="dxa"/>
            <w:tcBorders/>
            <w:vAlign w:val="center"/>
          </w:tcPr>
          <w:p>
            <w:pPr>
              <w:pStyle w:val="TableContents"/>
              <w:bidi w:val="0"/>
              <w:spacing w:before="0" w:after="283"/>
              <w:jc w:val="center"/>
              <w:rPr/>
            </w:pPr>
            <w:r>
              <w:rPr/>
              <w:t>86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16" w:name="BM_BFMneSafety_KCV7ZDZNSW000000000000000"/>
            <w:bookmarkEnd w:id="16"/>
          </w:p>
        </w:tc>
        <w:tc>
          <w:tcPr>
            <w:tcW w:w="8926" w:type="dxa"/>
            <w:tcBorders/>
            <w:vAlign w:val="center"/>
          </w:tcPr>
          <w:p>
            <w:pPr>
              <w:pStyle w:val="TableContents"/>
              <w:bidi w:val="0"/>
              <w:spacing w:before="0" w:after="283"/>
              <w:jc w:val="left"/>
              <w:rPr/>
            </w:pPr>
            <w:hyperlink w:anchor="BFMneSafety_KCV7ZDZNSW00000000000000000000">
              <w:r>
                <w:rPr>
                  <w:rStyle w:val="InternetLink"/>
                  <w:rFonts w:ascii="times new roman;times" w:hAnsi="times new roman;times"/>
                  <w:sz w:val="20"/>
                </w:rPr>
                <w:t>Mine Safety Disclosures</w:t>
              </w:r>
            </w:hyperlink>
            <w:bookmarkStart w:id="17" w:name="BMP_BFMneSafety_KCV7ZDZNSW00000000000000"/>
            <w:bookmarkEnd w:id="17"/>
          </w:p>
        </w:tc>
        <w:tc>
          <w:tcPr>
            <w:tcW w:w="441" w:type="dxa"/>
            <w:tcBorders/>
            <w:vAlign w:val="center"/>
          </w:tcPr>
          <w:p>
            <w:pPr>
              <w:pStyle w:val="TableContents"/>
              <w:bidi w:val="0"/>
              <w:spacing w:before="0" w:after="283"/>
              <w:jc w:val="center"/>
              <w:rPr/>
            </w:pPr>
            <w:r>
              <w:rPr/>
              <w:t>87</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II</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r>
          </w:p>
        </w:tc>
      </w:tr>
      <w:tr>
        <w:trPr/>
        <w:tc>
          <w:tcPr>
            <w:tcW w:w="838"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18" w:name="BM_BItem_5_TCLH1F2NFK0000000000000000000"/>
            <w:bookmarkEnd w:id="18"/>
          </w:p>
        </w:tc>
        <w:tc>
          <w:tcPr>
            <w:tcW w:w="8926" w:type="dxa"/>
            <w:tcBorders/>
            <w:vAlign w:val="center"/>
          </w:tcPr>
          <w:p>
            <w:pPr>
              <w:pStyle w:val="TableContents"/>
              <w:bidi w:val="0"/>
              <w:spacing w:before="0" w:after="283"/>
              <w:jc w:val="left"/>
              <w:rPr/>
            </w:pPr>
            <w:hyperlink w:anchor="BItem_5_TCLH1F2NFK00000000000000000000">
              <w:r>
                <w:rPr>
                  <w:rStyle w:val="InternetLink"/>
                  <w:rFonts w:ascii="times new roman;times" w:hAnsi="times new roman;times"/>
                  <w:sz w:val="20"/>
                </w:rPr>
                <w:t xml:space="preserve">Market for Registrant’s Common Equity, Related Stockholder Matters and Issuer Purchases of Equity Securities </w:t>
              </w:r>
            </w:hyperlink>
            <w:bookmarkStart w:id="19" w:name="BMP_BItem_5_TCLH1F2NFK000000000000000000"/>
            <w:bookmarkEnd w:id="19"/>
          </w:p>
        </w:tc>
        <w:tc>
          <w:tcPr>
            <w:tcW w:w="441" w:type="dxa"/>
            <w:tcBorders/>
            <w:vAlign w:val="center"/>
          </w:tcPr>
          <w:p>
            <w:pPr>
              <w:pStyle w:val="TableContents"/>
              <w:bidi w:val="0"/>
              <w:spacing w:before="0" w:after="283"/>
              <w:jc w:val="center"/>
              <w:rPr/>
            </w:pPr>
            <w:r>
              <w:rPr/>
              <w:t>88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20" w:name="BM_BI6_L58TN5C8WW00000000000000000000"/>
            <w:bookmarkEnd w:id="20"/>
          </w:p>
        </w:tc>
        <w:tc>
          <w:tcPr>
            <w:tcW w:w="8926" w:type="dxa"/>
            <w:tcBorders/>
            <w:vAlign w:val="center"/>
          </w:tcPr>
          <w:p>
            <w:pPr>
              <w:pStyle w:val="TableContents"/>
              <w:bidi w:val="0"/>
              <w:spacing w:before="0" w:after="283"/>
              <w:jc w:val="left"/>
              <w:rPr/>
            </w:pPr>
            <w:hyperlink w:anchor="BI6_L58TN5C8WW00000000000000000000">
              <w:r>
                <w:rPr>
                  <w:rStyle w:val="InternetLink"/>
                  <w:rFonts w:ascii="times new roman;times" w:hAnsi="times new roman;times"/>
                  <w:sz w:val="20"/>
                </w:rPr>
                <w:t>[Reserved]</w:t>
              </w:r>
            </w:hyperlink>
            <w:bookmarkStart w:id="21" w:name="BMP_BI6_L58TN5C8WW00000000000000000000"/>
            <w:bookmarkEnd w:id="21"/>
          </w:p>
        </w:tc>
        <w:tc>
          <w:tcPr>
            <w:tcW w:w="441" w:type="dxa"/>
            <w:tcBorders/>
            <w:vAlign w:val="center"/>
          </w:tcPr>
          <w:p>
            <w:pPr>
              <w:pStyle w:val="TableContents"/>
              <w:bidi w:val="0"/>
              <w:spacing w:before="0" w:after="283"/>
              <w:jc w:val="center"/>
              <w:rPr/>
            </w:pPr>
            <w:r>
              <w:rPr/>
              <w:t>88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w:t>
            </w:r>
            <w:bookmarkStart w:id="22" w:name="BM_BItem_7_D2E23159KW0000000000000000000"/>
            <w:bookmarkEnd w:id="22"/>
          </w:p>
        </w:tc>
        <w:tc>
          <w:tcPr>
            <w:tcW w:w="8926" w:type="dxa"/>
            <w:tcBorders/>
            <w:vAlign w:val="center"/>
          </w:tcPr>
          <w:p>
            <w:pPr>
              <w:pStyle w:val="TableContents"/>
              <w:bidi w:val="0"/>
              <w:spacing w:before="0" w:after="283"/>
              <w:jc w:val="left"/>
              <w:rPr/>
            </w:pPr>
            <w:hyperlink w:anchor="BItem_7_D2E23159KW00000000000000000000">
              <w:r>
                <w:rPr>
                  <w:rStyle w:val="InternetLink"/>
                  <w:rFonts w:ascii="times new roman;times" w:hAnsi="times new roman;times"/>
                  <w:sz w:val="20"/>
                </w:rPr>
                <w:t>Management’s Discussion and Analysis of Financial Condition and Results of Operations</w:t>
              </w:r>
            </w:hyperlink>
            <w:bookmarkStart w:id="23" w:name="BMP_BItem_7_D2E23159KW000000000000000000"/>
            <w:bookmarkEnd w:id="23"/>
          </w:p>
        </w:tc>
        <w:tc>
          <w:tcPr>
            <w:tcW w:w="441" w:type="dxa"/>
            <w:tcBorders/>
            <w:vAlign w:val="center"/>
          </w:tcPr>
          <w:p>
            <w:pPr>
              <w:pStyle w:val="TableContents"/>
              <w:bidi w:val="0"/>
              <w:spacing w:before="0" w:after="283"/>
              <w:jc w:val="center"/>
              <w:rPr/>
            </w:pPr>
            <w:r>
              <w:rPr/>
              <w:t>88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7A.</w:t>
            </w:r>
            <w:bookmarkStart w:id="24" w:name="BM_BItem_7A_MJM5L0AN8G000000000000000000"/>
            <w:bookmarkEnd w:id="24"/>
          </w:p>
        </w:tc>
        <w:tc>
          <w:tcPr>
            <w:tcW w:w="8926" w:type="dxa"/>
            <w:tcBorders/>
            <w:vAlign w:val="center"/>
          </w:tcPr>
          <w:p>
            <w:pPr>
              <w:pStyle w:val="TableContents"/>
              <w:bidi w:val="0"/>
              <w:spacing w:before="0" w:after="283"/>
              <w:jc w:val="left"/>
              <w:rPr/>
            </w:pPr>
            <w:hyperlink w:anchor="BItem_7A_MJM5L0AN8G00000000000000000000">
              <w:r>
                <w:rPr>
                  <w:rStyle w:val="InternetLink"/>
                  <w:rFonts w:ascii="times new roman;times" w:hAnsi="times new roman;times"/>
                  <w:sz w:val="20"/>
                </w:rPr>
                <w:t>Quantitative and Qualitative Disclosures About Market Risk</w:t>
              </w:r>
            </w:hyperlink>
            <w:bookmarkStart w:id="25" w:name="BMP_BItem_7A_MJM5L0AN8G00000000000000000"/>
            <w:bookmarkEnd w:id="25"/>
          </w:p>
        </w:tc>
        <w:tc>
          <w:tcPr>
            <w:tcW w:w="441" w:type="dxa"/>
            <w:tcBorders/>
            <w:vAlign w:val="center"/>
          </w:tcPr>
          <w:p>
            <w:pPr>
              <w:pStyle w:val="TableContents"/>
              <w:bidi w:val="0"/>
              <w:spacing w:before="0" w:after="283"/>
              <w:jc w:val="center"/>
              <w:rPr/>
            </w:pPr>
            <w:r>
              <w:rPr/>
              <w:t>96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8.</w:t>
            </w:r>
            <w:bookmarkStart w:id="26" w:name="BM_BItem_8_3USHIUWJM80000000000000000000"/>
            <w:bookmarkEnd w:id="26"/>
          </w:p>
        </w:tc>
        <w:tc>
          <w:tcPr>
            <w:tcW w:w="8926" w:type="dxa"/>
            <w:tcBorders/>
            <w:vAlign w:val="center"/>
          </w:tcPr>
          <w:p>
            <w:pPr>
              <w:pStyle w:val="TableContents"/>
              <w:bidi w:val="0"/>
              <w:spacing w:before="0" w:after="283"/>
              <w:jc w:val="left"/>
              <w:rPr/>
            </w:pPr>
            <w:hyperlink w:anchor="BItem_8_3USHIUWJM800000000000000000000">
              <w:r>
                <w:rPr>
                  <w:rStyle w:val="InternetLink"/>
                  <w:rFonts w:ascii="times new roman;times" w:hAnsi="times new roman;times"/>
                  <w:sz w:val="20"/>
                </w:rPr>
                <w:t>Financial Statements and Supplementary Data</w:t>
              </w:r>
            </w:hyperlink>
            <w:bookmarkStart w:id="27" w:name="BMP_BItem_8_3USHIUWJM8000000000000000000"/>
            <w:bookmarkEnd w:id="27"/>
          </w:p>
        </w:tc>
        <w:tc>
          <w:tcPr>
            <w:tcW w:w="441" w:type="dxa"/>
            <w:tcBorders/>
            <w:vAlign w:val="center"/>
          </w:tcPr>
          <w:p>
            <w:pPr>
              <w:pStyle w:val="TableContents"/>
              <w:bidi w:val="0"/>
              <w:spacing w:before="0" w:after="283"/>
              <w:jc w:val="center"/>
              <w:rPr/>
            </w:pPr>
            <w:r>
              <w:rPr/>
              <w:t>96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w:t>
            </w:r>
            <w:bookmarkStart w:id="28" w:name="BM_BItem_9_H0L656DCGG0000000000000000000"/>
            <w:bookmarkEnd w:id="28"/>
          </w:p>
        </w:tc>
        <w:tc>
          <w:tcPr>
            <w:tcW w:w="8926" w:type="dxa"/>
            <w:tcBorders/>
            <w:vAlign w:val="center"/>
          </w:tcPr>
          <w:p>
            <w:pPr>
              <w:pStyle w:val="TableContents"/>
              <w:bidi w:val="0"/>
              <w:spacing w:before="0" w:after="283"/>
              <w:jc w:val="left"/>
              <w:rPr/>
            </w:pPr>
            <w:hyperlink w:anchor="BItem_9_H0L656DCGG00000000000000000000">
              <w:r>
                <w:rPr>
                  <w:rStyle w:val="InternetLink"/>
                  <w:rFonts w:ascii="times new roman;times" w:hAnsi="times new roman;times"/>
                  <w:sz w:val="20"/>
                </w:rPr>
                <w:t>Changes in and Disagreements with Accountants on Accounting and Financial Disclosure</w:t>
              </w:r>
            </w:hyperlink>
            <w:bookmarkStart w:id="29" w:name="BMP_BItem_9_H0L656DCGG000000000000000000"/>
            <w:bookmarkEnd w:id="29"/>
          </w:p>
        </w:tc>
        <w:tc>
          <w:tcPr>
            <w:tcW w:w="441" w:type="dxa"/>
            <w:tcBorders/>
            <w:vAlign w:val="center"/>
          </w:tcPr>
          <w:p>
            <w:pPr>
              <w:pStyle w:val="TableContents"/>
              <w:bidi w:val="0"/>
              <w:spacing w:before="0" w:after="283"/>
              <w:jc w:val="center"/>
              <w:rPr/>
            </w:pPr>
            <w:r>
              <w:rPr/>
              <w:t>96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9A.</w:t>
            </w:r>
            <w:bookmarkStart w:id="30" w:name="BM_BControls_and_Procedures_MATHIIPD1S00"/>
            <w:bookmarkEnd w:id="30"/>
          </w:p>
        </w:tc>
        <w:tc>
          <w:tcPr>
            <w:tcW w:w="8926" w:type="dxa"/>
            <w:tcBorders/>
            <w:vAlign w:val="center"/>
          </w:tcPr>
          <w:p>
            <w:pPr>
              <w:pStyle w:val="TableContents"/>
              <w:bidi w:val="0"/>
              <w:spacing w:before="0" w:after="283"/>
              <w:jc w:val="left"/>
              <w:rPr/>
            </w:pPr>
            <w:hyperlink w:anchor="BControls_and_Procedures_MATHIIPD1S00000000000000000000">
              <w:r>
                <w:rPr>
                  <w:rStyle w:val="InternetLink"/>
                  <w:rFonts w:ascii="times new roman;times" w:hAnsi="times new roman;times"/>
                  <w:sz w:val="20"/>
                </w:rPr>
                <w:t>Controls and Procedures</w:t>
              </w:r>
            </w:hyperlink>
            <w:bookmarkStart w:id="31" w:name="BMP_BControls_and_Procedures_MATHIIPD1S0"/>
            <w:bookmarkEnd w:id="31"/>
          </w:p>
        </w:tc>
        <w:tc>
          <w:tcPr>
            <w:tcW w:w="441" w:type="dxa"/>
            <w:tcBorders/>
            <w:vAlign w:val="center"/>
          </w:tcPr>
          <w:p>
            <w:pPr>
              <w:pStyle w:val="TableContents"/>
              <w:bidi w:val="0"/>
              <w:spacing w:before="0" w:after="283"/>
              <w:jc w:val="center"/>
              <w:rPr/>
            </w:pPr>
            <w:r>
              <w:rPr/>
              <w:t>97</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9B.</w:t>
            </w:r>
            <w:bookmarkStart w:id="32" w:name="BM_BOther_Information_KGNKKMJFPS00000000"/>
            <w:bookmarkEnd w:id="32"/>
          </w:p>
        </w:tc>
        <w:tc>
          <w:tcPr>
            <w:tcW w:w="8926" w:type="dxa"/>
            <w:tcBorders/>
            <w:vAlign w:val="center"/>
          </w:tcPr>
          <w:p>
            <w:pPr>
              <w:pStyle w:val="TableContents"/>
              <w:bidi w:val="0"/>
              <w:spacing w:before="0" w:after="283"/>
              <w:jc w:val="left"/>
              <w:rPr/>
            </w:pPr>
            <w:hyperlink w:anchor="BOther_Information_KGNKKMJFPS00000000000000000000">
              <w:r>
                <w:rPr>
                  <w:rStyle w:val="InternetLink"/>
                  <w:rFonts w:ascii="times new roman;times" w:hAnsi="times new roman;times"/>
                  <w:sz w:val="20"/>
                </w:rPr>
                <w:t>Other Information</w:t>
              </w:r>
            </w:hyperlink>
            <w:bookmarkStart w:id="33" w:name="BMP_BOther_Information_KGNKKMJFPS0000000"/>
            <w:bookmarkEnd w:id="33"/>
          </w:p>
        </w:tc>
        <w:tc>
          <w:tcPr>
            <w:tcW w:w="441" w:type="dxa"/>
            <w:tcBorders/>
            <w:vAlign w:val="center"/>
          </w:tcPr>
          <w:p>
            <w:pPr>
              <w:pStyle w:val="TableContents"/>
              <w:bidi w:val="0"/>
              <w:spacing w:before="0" w:after="283"/>
              <w:jc w:val="center"/>
              <w:rPr/>
            </w:pPr>
            <w:r>
              <w:rPr/>
              <w:t>97</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9C.</w:t>
            </w:r>
            <w:bookmarkStart w:id="34" w:name="BM_BDRF_LOMZPL8JS000000000000000000000"/>
            <w:bookmarkEnd w:id="34"/>
          </w:p>
        </w:tc>
        <w:tc>
          <w:tcPr>
            <w:tcW w:w="8926" w:type="dxa"/>
            <w:tcBorders/>
            <w:vAlign w:val="center"/>
          </w:tcPr>
          <w:p>
            <w:pPr>
              <w:pStyle w:val="TableContents"/>
              <w:bidi w:val="0"/>
              <w:spacing w:before="0" w:after="283"/>
              <w:jc w:val="left"/>
              <w:rPr/>
            </w:pPr>
            <w:hyperlink w:anchor="BDRF_LOMZPL8JS000000000000000000000">
              <w:r>
                <w:rPr>
                  <w:rStyle w:val="InternetLink"/>
                  <w:rFonts w:ascii="times new roman;times" w:hAnsi="times new roman;times"/>
                  <w:sz w:val="20"/>
                </w:rPr>
                <w:t>Disclosure Regarding Foreign Jurisdictions that Prevent Inspections</w:t>
              </w:r>
            </w:hyperlink>
            <w:bookmarkStart w:id="35" w:name="BMP_BDRF_LOMZPL8JS000000000000000000000"/>
            <w:bookmarkEnd w:id="35"/>
          </w:p>
        </w:tc>
        <w:tc>
          <w:tcPr>
            <w:tcW w:w="441" w:type="dxa"/>
            <w:tcBorders/>
            <w:vAlign w:val="center"/>
          </w:tcPr>
          <w:p>
            <w:pPr>
              <w:pStyle w:val="TableContents"/>
              <w:bidi w:val="0"/>
              <w:spacing w:before="0" w:after="283"/>
              <w:jc w:val="center"/>
              <w:rPr/>
            </w:pPr>
            <w:r>
              <w:rPr/>
              <w:t>97</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III</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10.</w:t>
            </w:r>
            <w:bookmarkStart w:id="36" w:name="BM_BItem_10_FHUUNR12DS000000000000000000"/>
            <w:bookmarkEnd w:id="36"/>
          </w:p>
        </w:tc>
        <w:tc>
          <w:tcPr>
            <w:tcW w:w="8926" w:type="dxa"/>
            <w:tcBorders/>
            <w:vAlign w:val="center"/>
          </w:tcPr>
          <w:p>
            <w:pPr>
              <w:pStyle w:val="TableContents"/>
              <w:bidi w:val="0"/>
              <w:spacing w:before="0" w:after="283"/>
              <w:jc w:val="left"/>
              <w:rPr/>
            </w:pPr>
            <w:hyperlink w:anchor="BW123_171202465946115">
              <w:r>
                <w:rPr>
                  <w:rStyle w:val="InternetLink"/>
                  <w:rFonts w:ascii="times new roman;times" w:hAnsi="times new roman;times"/>
                  <w:sz w:val="20"/>
                </w:rPr>
                <w:t>Directors, Executive Officers and Corporate Governance</w:t>
              </w:r>
            </w:hyperlink>
            <w:bookmarkStart w:id="37" w:name="BMP_BW123_171202465946115"/>
            <w:bookmarkEnd w:id="37"/>
          </w:p>
        </w:tc>
        <w:tc>
          <w:tcPr>
            <w:tcW w:w="441" w:type="dxa"/>
            <w:tcBorders/>
            <w:vAlign w:val="center"/>
          </w:tcPr>
          <w:p>
            <w:pPr>
              <w:pStyle w:val="TableContents"/>
              <w:bidi w:val="0"/>
              <w:spacing w:before="0" w:after="283"/>
              <w:jc w:val="center"/>
              <w:rPr/>
            </w:pPr>
            <w:r>
              <w:rPr/>
              <w:t>98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11.</w:t>
            </w:r>
            <w:bookmarkStart w:id="38" w:name="BM_BExecutive_Compensation_YYKAQ7NI00000"/>
            <w:bookmarkEnd w:id="38"/>
          </w:p>
        </w:tc>
        <w:tc>
          <w:tcPr>
            <w:tcW w:w="8926" w:type="dxa"/>
            <w:tcBorders/>
            <w:vAlign w:val="center"/>
          </w:tcPr>
          <w:p>
            <w:pPr>
              <w:pStyle w:val="TableContents"/>
              <w:bidi w:val="0"/>
              <w:spacing w:before="0" w:after="283"/>
              <w:jc w:val="left"/>
              <w:rPr/>
            </w:pPr>
            <w:hyperlink w:anchor="BE123_17120247022498">
              <w:r>
                <w:rPr>
                  <w:rStyle w:val="InternetLink"/>
                  <w:rFonts w:ascii="times new roman;times" w:hAnsi="times new roman;times"/>
                  <w:sz w:val="20"/>
                </w:rPr>
                <w:t>Executive Compensation</w:t>
              </w:r>
            </w:hyperlink>
            <w:bookmarkStart w:id="39" w:name="BMP_BE123_17120247022498"/>
            <w:bookmarkEnd w:id="39"/>
          </w:p>
        </w:tc>
        <w:tc>
          <w:tcPr>
            <w:tcW w:w="441" w:type="dxa"/>
            <w:tcBorders/>
            <w:vAlign w:val="center"/>
          </w:tcPr>
          <w:p>
            <w:pPr>
              <w:pStyle w:val="TableContents"/>
              <w:bidi w:val="0"/>
              <w:spacing w:before="0" w:after="283"/>
              <w:jc w:val="center"/>
              <w:rPr/>
            </w:pPr>
            <w:r>
              <w:rPr/>
              <w:t>108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12.</w:t>
            </w:r>
            <w:bookmarkStart w:id="40" w:name="BM_BItem_12_1PMX7I4UKG000000000000000000"/>
            <w:bookmarkEnd w:id="40"/>
          </w:p>
        </w:tc>
        <w:tc>
          <w:tcPr>
            <w:tcW w:w="8926" w:type="dxa"/>
            <w:tcBorders/>
            <w:vAlign w:val="center"/>
          </w:tcPr>
          <w:p>
            <w:pPr>
              <w:pStyle w:val="TableContents"/>
              <w:bidi w:val="0"/>
              <w:spacing w:before="0" w:after="283"/>
              <w:jc w:val="left"/>
              <w:rPr/>
            </w:pPr>
            <w:hyperlink w:anchor="BR123_1712024714671">
              <w:r>
                <w:rPr>
                  <w:rStyle w:val="InternetLink"/>
                  <w:rFonts w:ascii="times new roman;times" w:hAnsi="times new roman;times"/>
                  <w:sz w:val="20"/>
                </w:rPr>
                <w:t>Security Ownership of Certain Beneficial Owners and Management and Related Stockholder Matters</w:t>
              </w:r>
            </w:hyperlink>
            <w:bookmarkStart w:id="41" w:name="BMP_BR123_1712024714671"/>
            <w:bookmarkEnd w:id="41"/>
          </w:p>
        </w:tc>
        <w:tc>
          <w:tcPr>
            <w:tcW w:w="441" w:type="dxa"/>
            <w:tcBorders/>
            <w:vAlign w:val="center"/>
          </w:tcPr>
          <w:p>
            <w:pPr>
              <w:pStyle w:val="TableContents"/>
              <w:bidi w:val="0"/>
              <w:spacing w:before="0" w:after="283"/>
              <w:jc w:val="center"/>
              <w:rPr/>
            </w:pPr>
            <w:r>
              <w:rPr/>
              <w:t>117</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13.</w:t>
            </w:r>
            <w:bookmarkStart w:id="42" w:name="BM_Bi13_231202414328481"/>
            <w:bookmarkEnd w:id="42"/>
          </w:p>
        </w:tc>
        <w:tc>
          <w:tcPr>
            <w:tcW w:w="8926" w:type="dxa"/>
            <w:tcBorders/>
            <w:vAlign w:val="center"/>
          </w:tcPr>
          <w:p>
            <w:pPr>
              <w:pStyle w:val="TableContents"/>
              <w:bidi w:val="0"/>
              <w:spacing w:before="0" w:after="283"/>
              <w:jc w:val="left"/>
              <w:rPr/>
            </w:pPr>
            <w:hyperlink w:anchor="Bi13_231202414328481">
              <w:r>
                <w:rPr>
                  <w:rStyle w:val="InternetLink"/>
                  <w:rFonts w:ascii="times new roman;times" w:hAnsi="times new roman;times"/>
                  <w:sz w:val="20"/>
                </w:rPr>
                <w:t>Certain Relationships and Related Transactions, and Director Independence</w:t>
              </w:r>
            </w:hyperlink>
            <w:bookmarkStart w:id="43" w:name="BMP_Bi13_231202414328481"/>
            <w:bookmarkEnd w:id="43"/>
          </w:p>
        </w:tc>
        <w:tc>
          <w:tcPr>
            <w:tcW w:w="441" w:type="dxa"/>
            <w:tcBorders/>
            <w:vAlign w:val="center"/>
          </w:tcPr>
          <w:p>
            <w:pPr>
              <w:pStyle w:val="TableContents"/>
              <w:bidi w:val="0"/>
              <w:spacing w:before="0" w:after="283"/>
              <w:jc w:val="center"/>
              <w:rPr/>
            </w:pPr>
            <w:r>
              <w:rPr/>
              <w:t>119</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14.</w:t>
            </w:r>
            <w:bookmarkStart w:id="44" w:name="BM_BItem_14_CHJ4CXVDZK000000000000000000"/>
            <w:bookmarkEnd w:id="44"/>
          </w:p>
        </w:tc>
        <w:tc>
          <w:tcPr>
            <w:tcW w:w="8926" w:type="dxa"/>
            <w:tcBorders/>
            <w:vAlign w:val="center"/>
          </w:tcPr>
          <w:p>
            <w:pPr>
              <w:pStyle w:val="TableContents"/>
              <w:bidi w:val="0"/>
              <w:spacing w:before="0" w:after="283"/>
              <w:jc w:val="left"/>
              <w:rPr/>
            </w:pPr>
            <w:hyperlink w:anchor="BT123_17120247354636">
              <w:r>
                <w:rPr>
                  <w:rStyle w:val="InternetLink"/>
                  <w:rFonts w:ascii="times new roman;times" w:hAnsi="times new roman;times"/>
                  <w:sz w:val="20"/>
                </w:rPr>
                <w:t>Principal Accountant Fees and Services</w:t>
              </w:r>
            </w:hyperlink>
            <w:bookmarkStart w:id="45" w:name="BMP_BT123_17120247354636"/>
            <w:bookmarkEnd w:id="45"/>
          </w:p>
        </w:tc>
        <w:tc>
          <w:tcPr>
            <w:tcW w:w="441" w:type="dxa"/>
            <w:tcBorders/>
            <w:vAlign w:val="center"/>
          </w:tcPr>
          <w:p>
            <w:pPr>
              <w:pStyle w:val="TableContents"/>
              <w:bidi w:val="0"/>
              <w:spacing w:before="0" w:after="283"/>
              <w:jc w:val="center"/>
              <w:rPr/>
            </w:pPr>
            <w:r>
              <w:rPr/>
              <w:t>121</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IV</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15.</w:t>
            </w:r>
            <w:bookmarkStart w:id="46" w:name="BM_BItem_15_FCG9897JNK000000000000000000"/>
            <w:bookmarkEnd w:id="46"/>
          </w:p>
        </w:tc>
        <w:tc>
          <w:tcPr>
            <w:tcW w:w="8926" w:type="dxa"/>
            <w:tcBorders/>
            <w:vAlign w:val="center"/>
          </w:tcPr>
          <w:p>
            <w:pPr>
              <w:pStyle w:val="TableContents"/>
              <w:bidi w:val="0"/>
              <w:spacing w:before="0" w:after="283"/>
              <w:jc w:val="left"/>
              <w:rPr/>
            </w:pPr>
            <w:hyperlink w:anchor="BItem_15_FCG9897JNK00000000000000000000">
              <w:r>
                <w:rPr>
                  <w:rStyle w:val="InternetLink"/>
                  <w:rFonts w:ascii="times new roman;times" w:hAnsi="times new roman;times"/>
                  <w:sz w:val="20"/>
                </w:rPr>
                <w:t>Exhibits and Financial Statement Schedules</w:t>
              </w:r>
            </w:hyperlink>
            <w:bookmarkStart w:id="47" w:name="BMP_BItem_15_FCG9897JNK00000000000000000"/>
            <w:bookmarkEnd w:id="47"/>
          </w:p>
        </w:tc>
        <w:tc>
          <w:tcPr>
            <w:tcW w:w="441" w:type="dxa"/>
            <w:tcBorders/>
            <w:vAlign w:val="center"/>
          </w:tcPr>
          <w:p>
            <w:pPr>
              <w:pStyle w:val="TableContents"/>
              <w:bidi w:val="0"/>
              <w:spacing w:before="0" w:after="283"/>
              <w:jc w:val="center"/>
              <w:rPr/>
            </w:pPr>
            <w:r>
              <w:rPr/>
              <w:t>122</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16.</w:t>
            </w:r>
            <w:bookmarkStart w:id="48" w:name="BM_BForm_10-K_Summary_SX9MRBQM4W00000000"/>
            <w:bookmarkEnd w:id="48"/>
          </w:p>
        </w:tc>
        <w:tc>
          <w:tcPr>
            <w:tcW w:w="8926" w:type="dxa"/>
            <w:tcBorders/>
            <w:vAlign w:val="center"/>
          </w:tcPr>
          <w:p>
            <w:pPr>
              <w:pStyle w:val="TableContents"/>
              <w:bidi w:val="0"/>
              <w:spacing w:before="0" w:after="283"/>
              <w:jc w:val="left"/>
              <w:rPr/>
            </w:pPr>
            <w:hyperlink w:anchor="BForm_10-K_Summary_SX9MRBQM4W00000000000000000000">
              <w:r>
                <w:rPr>
                  <w:rStyle w:val="InternetLink"/>
                  <w:rFonts w:ascii="times new roman;times" w:hAnsi="times new roman;times"/>
                  <w:sz w:val="20"/>
                </w:rPr>
                <w:t>Form 10-K Summary</w:t>
              </w:r>
            </w:hyperlink>
            <w:bookmarkStart w:id="49" w:name="BMP_BForm_10-K_Summary_SX9MRBQM4W0000000"/>
            <w:bookmarkEnd w:id="49"/>
          </w:p>
        </w:tc>
        <w:tc>
          <w:tcPr>
            <w:tcW w:w="441" w:type="dxa"/>
            <w:tcBorders/>
            <w:vAlign w:val="center"/>
          </w:tcPr>
          <w:p>
            <w:pPr>
              <w:pStyle w:val="TableContents"/>
              <w:bidi w:val="0"/>
              <w:spacing w:before="0" w:after="283"/>
              <w:jc w:val="center"/>
              <w:rPr/>
            </w:pPr>
            <w:r>
              <w:rPr/>
              <w:t>122</w:t>
            </w:r>
          </w:p>
        </w:tc>
      </w:tr>
    </w:tbl>
    <w:p>
      <w:pPr>
        <w:pStyle w:val="TextBody"/>
        <w:bidi w:val="0"/>
        <w:spacing w:lineRule="auto" w:line="288" w:before="0" w:after="0"/>
        <w:jc w:val="left"/>
        <w:rPr/>
      </w:pPr>
      <w:r>
        <w:rPr/>
        <w:t xml:space="preserve">​​ </w:t>
      </w:r>
    </w:p>
    <w:tbl>
      <w:tblPr>
        <w:tblW w:w="226" w:type="dxa"/>
        <w:jc w:val="left"/>
        <w:tblInd w:w="0" w:type="dxa"/>
        <w:tblLayout w:type="fixed"/>
        <w:tblCellMar>
          <w:top w:w="0" w:type="dxa"/>
          <w:left w:w="0" w:type="dxa"/>
          <w:bottom w:w="0" w:type="dxa"/>
          <w:right w:w="0" w:type="dxa"/>
        </w:tblCellMar>
      </w:tblPr>
      <w:tblGrid>
        <w:gridCol w:w="226"/>
      </w:tblGrid>
      <w:tr>
        <w:trPr/>
        <w:tc>
          <w:tcPr>
            <w:tcW w:w="22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i</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Cautionary Note Regarding Forward-Looking Statements</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 </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References to electroCore</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In this Annual Report, unless otherwise stated or the context otherwise indicates, references to “ECOR,” “electroCore,” “the Company,” “we,” “us,” “our” and similar references refer to electroCore, Inc., a Delaware corporation.</w:t>
      </w:r>
    </w:p>
    <w:p>
      <w:pPr>
        <w:pStyle w:val="TextBody"/>
        <w:bidi w:val="0"/>
        <w:spacing w:lineRule="auto" w:line="288" w:before="0" w:after="0"/>
        <w:ind w:left="0" w:right="0" w:hanging="0"/>
        <w:jc w:val="left"/>
        <w:rPr>
          <w:rFonts w:ascii="times new roman;times" w:hAnsi="times new roman;times"/>
          <w:b/>
          <w:i w:val="false"/>
          <w:caps w:val="false"/>
          <w:smallCaps w:val="false"/>
          <w:strike w:val="false"/>
          <w:dstrike w:val="false"/>
          <w:color w:val="000000"/>
          <w:spacing w:val="0"/>
          <w:sz w:val="20"/>
          <w:u w:val="none"/>
          <w:effect w:val="none"/>
        </w:rPr>
      </w:pPr>
      <w:r>
        <w:rPr>
          <w:rFonts w:ascii="times new roman;times" w:hAnsi="times new roman;times"/>
          <w:b/>
          <w:i w:val="false"/>
          <w:caps w:val="false"/>
          <w:smallCaps w:val="false"/>
          <w:strike w:val="false"/>
          <w:dstrike w:val="false"/>
          <w:color w:val="000000"/>
          <w:spacing w:val="0"/>
          <w:sz w:val="20"/>
          <w:u w:val="none"/>
          <w:effect w:val="none"/>
        </w:rPr>
        <w:t>Risk Factor Summary</w:t>
      </w:r>
    </w:p>
    <w:p>
      <w:pPr>
        <w:pStyle w:val="TextBody"/>
        <w:bidi w:val="0"/>
        <w:spacing w:lineRule="auto" w:line="288" w:before="0" w:after="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The following is a summary of certain important factors that may make an investment in our Company speculative or risky. You should carefully consider the full risk factor disclosure set forth in Item 1A of this Annual Report, in addition to the other information herein, including the section of this report titled “Management’s Discussion and Analysis of Financial Condition and Results of Operations” and our financial statements and related notes.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may be required to obtain additional funds in the future, and these funds may not be available on acceptable terms or at all.</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limited history commercializing our nVNS platform technology, including cash pay initiates such as our gConcierge and gCDirect programs, as well as through direct-to-consumer channels, and commercial success is uncertain.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limited history commercializing our general wellness and human performance products in the United States for which market acceptance and commercial success are uncertain.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recently launched our next generation app-enabled consumer wellness product under the brand Truvaga, and there can be no assurance that the new product will be well received or adopted, which may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Our next generation app-enabled consumer wellness product may require modifications and improvements, which may cause added expense and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generate sales of TAC-STIM branded products through active-duty military and budgetary cuts or government strikes could negatively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Unfavorable global economic conditions and government regulations, initiatives or policies could adversely affect our business, financial condition or results of operations.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history of significant losses. If we do not achieve and sustain profitability, our financial condition could suffer. Our failure to become and remain profitable could negatively impact the results of our operations and your investment.</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We derive a material portion of our revenue pursuant to our qualifying contract under the Federal Supply Schedule, or FSS, as well as open market sales to individual facilities within the government channels. While we have submitted a follow-up offer application to replace our FSS contract expiring June 14, 2025, there can be no assurance our application will be accepted which could adversely impact our business, results of operations, and financial condition.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derive a material portion of our revenue from a limited number of customers, and the loss of one or more of these customers could adversely impact our business, results of operations, and financial condition.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lineRule="auto"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Our potential revenue in the United Kingdom is substantially dependent on government funding arrangements and changes in governmental policy for such arrangements could cause material harm to our business.</w:t>
            </w:r>
          </w:p>
        </w:tc>
      </w:tr>
      <w:tr>
        <w:trPr/>
        <w:tc>
          <w:tcPr>
            <w:tcW w:w="140"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i w:val="false"/>
                <w:caps w:val="false"/>
                <w:smallCaps w:val="false"/>
                <w:color w:val="000000"/>
                <w:spacing w:val="0"/>
                <w:sz w:val="20"/>
              </w:rPr>
              <w:t>We must demonstrate to patients, physicians and third-party payers the medical and economic benefits of our prescription </w:t>
            </w:r>
            <w:r>
              <w:rPr>
                <w:rFonts w:ascii="times new roman;times" w:hAnsi="times new roman;times"/>
                <w:sz w:val="20"/>
              </w:rPr>
              <w:t>gammaCore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therapy compared to those of our competitors or other available therapies and such comparisons may not be realizable.</w:t>
            </w:r>
          </w:p>
        </w:tc>
      </w:tr>
      <w:tr>
        <w:trPr/>
        <w:tc>
          <w:tcPr>
            <w:tcW w:w="140"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tcPr>
          <w:p>
            <w:pPr>
              <w:pStyle w:val="TableContents"/>
              <w:bidi w:val="0"/>
              <w:spacing w:before="0" w:after="0"/>
              <w:jc w:val="left"/>
              <w:rPr>
                <w:rFonts w:ascii="times new roman;times" w:hAnsi="times new roman;times"/>
                <w:color w:val="000000"/>
                <w:sz w:val="20"/>
              </w:rPr>
            </w:pPr>
            <w:r>
              <w:rPr>
                <w:rFonts w:ascii="times new roman;times" w:hAnsi="times new roman;times"/>
                <w:color w:val="000000"/>
                <w:sz w:val="20"/>
              </w:rPr>
              <w:t xml:space="preserve">Our operating results may vary significantly from quarter to quarter because of seasonality, bulk orders, shipments to distributors or otherwise. </w:t>
            </w:r>
          </w:p>
        </w:tc>
      </w:tr>
    </w:tbl>
    <w:p>
      <w:pPr>
        <w:pStyle w:val="TextBody"/>
        <w:bidi w:val="0"/>
        <w:spacing w:lineRule="auto" w:line="288" w:before="0" w:after="0"/>
        <w:ind w:left="0" w:right="0" w:hanging="0"/>
        <w:jc w:val="left"/>
        <w:rPr/>
      </w:pPr>
      <w:r>
        <w:rPr/>
      </w:r>
    </w:p>
    <w:p>
      <w:pPr>
        <w:pStyle w:val="HorizontalLine"/>
        <w:bidi w:val="0"/>
        <w:spacing w:lineRule="auto" w:line="288" w:before="0" w:after="0"/>
        <w:jc w:val="left"/>
        <w:rPr/>
      </w:pPr>
      <w:r>
        <w:rPr/>
      </w:r>
    </w:p>
    <w:p>
      <w:pPr>
        <w:pStyle w:val="TextBody"/>
        <w:bidi w:val="0"/>
        <w:spacing w:lineRule="auto" w:line="288"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center"/>
              <w:rPr/>
            </w:pPr>
            <w:r>
              <w:rPr/>
              <w:t>•</w:t>
            </w:r>
          </w:p>
        </w:tc>
        <w:tc>
          <w:tcPr>
            <w:tcW w:w="100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If our competitors are better able to develop and market primary headache treatments that are safer, more effective, less costly, easier to use, or otherwise more attractive than our prescription gammaCore therapy, our business and business prospects will be adversely impacted.</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Many of our competitors are large, well-established companies with substantially greater resources than us and have a long history of competing in the migraine or general wellness markets.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Our international operations subject us to certain operating and compliance risks, which could adversely impact our results of operations and financial condition.</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may not be able to establish or strengthen our brands.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If we are unable to retain independent contractors in our sales force or attract additional independent contractors, our sales efforts may be adversely impacted.</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may be held responsible for certain taxes or assessments and other obligations relating to the activities of our independent consultants, which could harm our financial condition and operating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If we fail to develop and retain an effective sales force, our business could suffer.</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Our new app-enabled consumer product relies on third-party vendor for application development and management which puts a significant dependency on the third-party vendor.</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limited experience with the supply chain of our next generation app-enabled consumer wellness product under the brand Truvaga, and are dependent on third parties for related software development.</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If our competitors are better able to develop and market general wellness products which are more effective, less costly, easier to use, or otherwise more attractive than our Truvaga products, our business and business prospects will be adversely impacted.</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Outside the United States, we rely on a single third-party distributor to effectively distribute the majority of our products.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The regulatory environment governing information, cybersecurity, and privacy is increasingly demanding and continues to evolve.</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Cybersecurity risks and cyber incidents could result in the compromise of confidential data or critical data systems and give rise to potential harm to customers, remediation and other expenses, expose us to liability under HIPAA, consumer protection laws, or other common law theories, subject us to litigation and federal and state governmental inquiries, damage our reputation, and otherwise be disruptive to our business and operations.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Failure to protect our information technology infrastructure against cyberattacks, network security breaches, service interruptions, or data corruption could significantly disrupt our operations and adversely affect our business and operating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Our business is subject to extensive governmental regulation that makes it expensive and time consuming for us to bring our prescription gammaCore therapy and our general wellness products, Truvaga and TAC-STIM to market in the United States and to expand the use of our prescription gammaCore therapy to additional therapeutic indications, and to expand the reach of our general wellness initiatives. </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market, and sell these products could suffer, and, if our general wellness products no longer fall under the scope of applicable FDA guidance, such products may be subject to additional and more comprehensive regulation and/or greater regulatory uncertainty, affecting our ability to commercially distribute, market, and sell such products in the ordinary course of business.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are currently subject to securities class action lawsuits against us, which could result in adverse outcomes.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do not currently intend to pay dividends on our common stock, and, consequently, your ability to achieve a return on your investment will depend on appreciation in the price of our common stock.</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Our stock price may be volatile, and you may not be able to resell shares of our common stock at or above the price you paid. </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Sales of a substantial number of shares of our common stock in the public market could cause our stock price to fall.</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The use of our At-the-Market ("ATM") facility may result in additional dilution to the shareholders.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jc w:val="left"/>
              <w:rPr/>
            </w:pPr>
            <w:r>
              <w:rPr/>
              <w:t>The closing of our acquisition of NeuroMetrix, Inc. (“NURO”) is subject to customary closing conditions, and there can be no assurance that NURO will meet the closing conditions, and failure to close the transaction may harm our business and cause our stock price to fall.</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64" w:before="200" w:after="200"/>
        <w:ind w:left="0" w:right="0" w:hanging="0"/>
        <w:jc w:val="left"/>
        <w:rPr>
          <w:rFonts w:ascii="times new roman;times" w:hAnsi="times new roman;times"/>
          <w:b/>
          <w:sz w:val="20"/>
        </w:rPr>
      </w:pPr>
      <w:r>
        <w:rPr>
          <w:rFonts w:ascii="times new roman;times" w:hAnsi="times new roman;times"/>
          <w:b/>
          <w:sz w:val="20"/>
        </w:rPr>
        <w:t>Trademarks and Tradenames</w:t>
      </w:r>
    </w:p>
    <w:p>
      <w:pPr>
        <w:pStyle w:val="TextBody"/>
        <w:bidi w:val="0"/>
        <w:spacing w:lineRule="auto" w:line="264" w:before="120" w:after="0"/>
        <w:ind w:left="0" w:right="0" w:hanging="0"/>
        <w:jc w:val="left"/>
        <w:rPr>
          <w:rFonts w:ascii="times new roman;times" w:hAnsi="times new roman;times"/>
          <w:spacing w:val="-2"/>
          <w:sz w:val="20"/>
        </w:rPr>
      </w:pPr>
      <w:r>
        <w:rPr>
          <w:rFonts w:ascii="times new roman;times" w:hAnsi="times new roman;times"/>
          <w:spacing w:val="-2"/>
          <w:sz w:val="20"/>
        </w:rPr>
        <w:t>The electroCore, gammaCore, Truvaga, TAC-STIM names, logos,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pStyle w:val="TextBody"/>
        <w:bidi w:val="0"/>
        <w:spacing w:lineRule="auto" w:line="264" w:before="200" w:after="0"/>
        <w:ind w:left="0" w:right="0" w:hanging="0"/>
        <w:jc w:val="left"/>
        <w:rPr>
          <w:rFonts w:ascii="times new roman;times" w:hAnsi="times new roman;times"/>
          <w:b/>
          <w:sz w:val="20"/>
        </w:rPr>
      </w:pPr>
      <w:r>
        <w:rPr>
          <w:rFonts w:ascii="times new roman;times" w:hAnsi="times new roman;times"/>
          <w:b/>
          <w:sz w:val="20"/>
        </w:rPr>
        <w:t>Market Data and Forecasts</w:t>
      </w:r>
    </w:p>
    <w:p>
      <w:pPr>
        <w:pStyle w:val="TextBody"/>
        <w:bidi w:val="0"/>
        <w:spacing w:lineRule="auto" w:line="264" w:before="120" w:after="0"/>
        <w:ind w:left="0" w:right="0" w:hanging="0"/>
        <w:jc w:val="left"/>
        <w:rPr>
          <w:rFonts w:ascii="times new roman;times" w:hAnsi="times new roman;times"/>
          <w:spacing w:val="-2"/>
          <w:sz w:val="20"/>
        </w:rPr>
      </w:pPr>
      <w:r>
        <w:rPr>
          <w:rFonts w:ascii="times new roman;times" w:hAnsi="times new roman;times"/>
          <w:spacing w:val="-2"/>
          <w:sz w:val="20"/>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and/or our own estimates and research.</w:t>
      </w:r>
    </w:p>
    <w:p>
      <w:pPr>
        <w:pStyle w:val="TextBody"/>
        <w:bidi w:val="0"/>
        <w:spacing w:lineRule="auto" w:line="264" w:before="120" w:after="0"/>
        <w:ind w:left="0" w:right="0" w:hanging="0"/>
        <w:jc w:val="left"/>
        <w:rPr>
          <w:rFonts w:ascii="times new roman;times" w:hAnsi="times new roman;times"/>
          <w:spacing w:val="-2"/>
          <w:sz w:val="20"/>
        </w:rPr>
      </w:pPr>
      <w:r>
        <w:rPr>
          <w:rFonts w:ascii="times new roman;times" w:hAnsi="times new roman;times"/>
          <w:spacing w:val="-2"/>
          <w:sz w:val="20"/>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pStyle w:val="TextBody"/>
        <w:bidi w:val="0"/>
        <w:spacing w:lineRule="auto" w:line="240" w:before="0" w:after="0"/>
        <w:ind w:left="0" w:right="0" w:hanging="0"/>
        <w:jc w:val="left"/>
        <w:rPr/>
      </w:pPr>
      <w:r>
        <w:rPr/>
      </w:r>
    </w:p>
    <w:p>
      <w:pPr>
        <w:pStyle w:val="HorizontalLine"/>
        <w:bidi w:val="0"/>
        <w:spacing w:lineRule="auto" w:line="288"/>
        <w:jc w:val="left"/>
        <w:rPr/>
      </w:pPr>
      <w:r>
        <w:rPr/>
      </w:r>
    </w:p>
    <w:p>
      <w:pPr>
        <w:pStyle w:val="TextBody"/>
        <w:bidi w:val="0"/>
        <w:spacing w:lineRule="auto" w:line="288"/>
        <w:jc w:val="left"/>
        <w:rPr/>
      </w:pPr>
      <w:r>
        <w:rPr/>
      </w:r>
    </w:p>
    <w:p>
      <w:pPr>
        <w:pStyle w:val="TextBody"/>
        <w:bidi w:val="0"/>
        <w:spacing w:before="0" w:after="0"/>
        <w:ind w:left="0" w:right="0" w:hanging="0"/>
        <w:jc w:val="left"/>
        <w:rPr/>
      </w:pPr>
      <w:r>
        <w:rPr/>
      </w:r>
    </w:p>
    <w:p>
      <w:pPr>
        <w:pStyle w:val="TextBody"/>
        <w:widowControl/>
        <w:bidi w:val="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w:t>
      </w:r>
    </w:p>
    <w:p>
      <w:pPr>
        <w:pStyle w:val="TextBody"/>
        <w:widowControl/>
        <w:bidi w:val="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jc w:val="left"/>
        <w:rPr/>
      </w:pPr>
      <w:r>
        <w:rPr>
          <w:rFonts w:ascii="times new roman;times" w:hAnsi="times new roman;times"/>
          <w:b/>
          <w:i w:val="false"/>
          <w:caps w:val="false"/>
          <w:smallCaps w:val="false"/>
          <w:color w:val="000000"/>
          <w:spacing w:val="0"/>
          <w:sz w:val="20"/>
        </w:rPr>
        <w:t xml:space="preserve">Item 1. </w:t>
      </w:r>
      <w:hyperlink w:anchor="TOC">
        <w:bookmarkStart w:id="50" w:name="BItem_1_7EB3CFLXVK00000000000000000000"/>
        <w:bookmarkEnd w:id="50"/>
        <w:r>
          <w:rPr>
            <w:rStyle w:val="InternetLink"/>
            <w:rFonts w:ascii="times new roman;times" w:hAnsi="times new roman;times"/>
            <w:b/>
            <w:i w:val="false"/>
            <w:caps w:val="false"/>
            <w:smallCaps w:val="false"/>
            <w:strike w:val="false"/>
            <w:dstrike w:val="false"/>
            <w:color w:val="000000"/>
            <w:spacing w:val="0"/>
            <w:sz w:val="20"/>
            <w:u w:val="none"/>
            <w:effect w:val="none"/>
          </w:rPr>
          <w:t>Business</w:t>
        </w:r>
      </w:hyperlink>
    </w:p>
    <w:p>
      <w:pPr>
        <w:pStyle w:val="TextBody"/>
        <w:widowControl/>
        <w:bidi w:val="0"/>
        <w:spacing w:before="0" w:after="0"/>
        <w:ind w:left="0" w:right="0" w:hanging="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Our Business</w:t>
      </w:r>
    </w:p>
    <w:p>
      <w:pPr>
        <w:pStyle w:val="TextBody"/>
        <w:widowControl/>
        <w:bidi w:val="0"/>
        <w:spacing w:before="0" w:after="0"/>
        <w:ind w:left="0" w:right="0" w:hanging="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An Overview</w:t>
      </w:r>
    </w:p>
    <w:p>
      <w:pPr>
        <w:pStyle w:val="TextBody"/>
        <w:widowControl/>
        <w:bidi w:val="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ElectroCore is a bioelectronic medicine and general wellness company dedicated to improving health and quality of life through our proprietary non-invasive vagus nerve stimulation (“nVNS”) technology platform and related product offerings.</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nVNS modulates neurotransmitters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nVNS works through a variety of mechanistic pathways including the modulation of neurotransmitters.</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Historically, vagus nerve stimulation or VNS, required an invasive surgical procedure to implant a costly medical device. This generally limited VNS from being used by anyone other than the most severe patients. Our non-invasive medical devices and general wellness products are self-administered and intended for regular or intermittent use over many years.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capabilities include product development, regulatory affairs and compliance, sales and marketing, product testing, </w:t>
      </w:r>
      <w:r>
        <w:rPr>
          <w:rFonts w:ascii="Times New Roman;serif" w:hAnsi="Times New Roman;serif"/>
          <w:sz w:val="20"/>
        </w:rPr>
        <w:t>electromechanical</w:t>
      </w:r>
      <w:r>
        <w:rPr>
          <w:rFonts w:ascii="times new roman;times" w:hAnsi="times new roman;times"/>
          <w:sz w:val="20"/>
        </w:rPr>
        <w:t xml:space="preserve"> assembly, fulfillment, and customer support. We derive revenues from the sale of products in the United States and select overseas markets. We have two principal product categories: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Handheld, personal use medical devices for the management and treatment of certain medical conditions such as primary headache; and</w:t>
            </w:r>
          </w:p>
        </w:tc>
      </w:tr>
      <w:tr>
        <w:trPr/>
        <w:tc>
          <w:tcPr>
            <w:tcW w:w="211" w:type="dxa"/>
            <w:tcBorders/>
            <w:tcMar>
              <w:top w:w="28" w:type="dxa"/>
              <w:left w:w="28" w:type="dxa"/>
              <w:bottom w:w="28" w:type="dxa"/>
              <w:right w:w="28" w:type="dxa"/>
            </w:tcMar>
          </w:tcPr>
          <w:p>
            <w:pPr>
              <w:pStyle w:val="TableContents"/>
              <w:bidi w:val="0"/>
              <w:spacing w:before="0" w:after="0"/>
              <w:ind w:left="0" w:right="0" w:hanging="0"/>
              <w:jc w:val="center"/>
              <w:rPr/>
            </w:pPr>
            <w:r>
              <w:rPr/>
              <w:t>•</w:t>
            </w:r>
          </w:p>
        </w:tc>
        <w:tc>
          <w:tcPr>
            <w:tcW w:w="9994" w:type="dxa"/>
            <w:tcBorders/>
            <w:tcMar>
              <w:top w:w="28" w:type="dxa"/>
              <w:left w:w="28" w:type="dxa"/>
              <w:bottom w:w="28" w:type="dxa"/>
              <w:right w:w="28" w:type="dxa"/>
            </w:tcMar>
          </w:tcPr>
          <w:p>
            <w:pPr>
              <w:pStyle w:val="TableContents"/>
              <w:widowControl/>
              <w:bidi w:val="0"/>
              <w:spacing w:before="0" w:after="0"/>
              <w:ind w:left="0" w:right="0" w:hanging="360"/>
              <w:jc w:val="left"/>
              <w:rPr>
                <w:rFonts w:ascii="times new roman;times" w:hAnsi="times new roman;times"/>
                <w:sz w:val="20"/>
              </w:rPr>
            </w:pPr>
            <w:r>
              <w:rPr>
                <w:rFonts w:ascii="times new roman;times" w:hAnsi="times new roman;times"/>
                <w:b w:val="false"/>
                <w:color w:val="000000"/>
                <w:spacing w:val="0"/>
                <w:sz w:val="20"/>
              </w:rPr>
              <w:t>Handheld, personal use consumer products utilizing </w:t>
            </w:r>
            <w:r>
              <w:rPr>
                <w:rFonts w:ascii="times new roman;times" w:hAnsi="times new roman;times"/>
                <w:sz w:val="20"/>
              </w:rPr>
              <w:t>nVNS</w:t>
            </w:r>
            <w:r>
              <w:rPr>
                <w:rFonts w:ascii="times new roman;times" w:hAnsi="times new roman;times"/>
                <w:color w:val="000000"/>
                <w:spacing w:val="0"/>
                <w:sz w:val="20"/>
              </w:rPr>
              <w:t> </w:t>
            </w:r>
            <w:r>
              <w:rPr>
                <w:rFonts w:ascii="times new roman;times" w:hAnsi="times new roman;times"/>
                <w:b w:val="false"/>
                <w:color w:val="000000"/>
                <w:spacing w:val="0"/>
                <w:sz w:val="20"/>
              </w:rPr>
              <w:t>technology to promote general wellness and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believe our nVNS products may be used in the future to effectively treat additional medical conditions.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Primary Marketed Products and Business Strategy</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goal is to be a leader in non-invasive neuromodulation to deliver better health. To achieve this, we offer multiple propositions: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center"/>
              <w:rPr/>
            </w:pPr>
            <w:r>
              <w:rPr/>
              <w:t>•</w:t>
            </w:r>
          </w:p>
        </w:tc>
        <w:tc>
          <w:tcPr>
            <w:tcW w:w="9994"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Prescription gammaCore for the treatment of certain </w:t>
            </w:r>
            <w:r>
              <w:rPr>
                <w:rFonts w:ascii="Times New Roman;serif" w:hAnsi="Times New Roman;serif"/>
                <w:b w:val="false"/>
                <w:color w:val="000000"/>
                <w:spacing w:val="0"/>
                <w:sz w:val="20"/>
              </w:rPr>
              <w:t xml:space="preserve">prescription FDA cleared </w:t>
            </w:r>
            <w:r>
              <w:rPr>
                <w:rFonts w:ascii="times new roman;times" w:hAnsi="times new roman;times"/>
                <w:b w:val="false"/>
                <w:color w:val="000000"/>
                <w:spacing w:val="0"/>
                <w:sz w:val="20"/>
              </w:rPr>
              <w:t>medical conditions such as primary headache;</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for the support of general health and wellbeing; and</w:t>
            </w:r>
          </w:p>
        </w:tc>
      </w:tr>
      <w:tr>
        <w:trPr/>
        <w:tc>
          <w:tcPr>
            <w:tcW w:w="211" w:type="dxa"/>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9994" w:type="dxa"/>
            <w:tcBorders/>
            <w:tcMar>
              <w:top w:w="28" w:type="dxa"/>
              <w:left w:w="28" w:type="dxa"/>
              <w:bottom w:w="28" w:type="dxa"/>
              <w:right w:w="28" w:type="dxa"/>
            </w:tcMar>
            <w:vAlign w:val="center"/>
          </w:tcPr>
          <w:p>
            <w:pPr>
              <w:pStyle w:val="TableContents"/>
              <w:widowControl/>
              <w:bidi w:val="0"/>
              <w:spacing w:before="0" w:after="0"/>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TAC-STIM for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flagship gammaCore Sapphire, is a prescription medical device that is FDA cleared for a variety of primary headache conditions. gammaCore is available by prescription only and Sapphire is a portable, reusable, rechargeable and reloadable personal use option for patients to use at home or on the go. Prescriptions are written by a health care provider and dispensed from a specialty pharmacy, through the patient’s healthcare system, or shipped to certain patients in the United States from our facility in Rockaway, NJ. After the initial prescription is filled, access to additional therapy can be refilled for certain of our gammaCore products through the input of a prescription-only authorization.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left"/>
        <w:rPr>
          <w:rFonts w:ascii="Times New Roman;serif" w:hAnsi="Times New Roman;serif"/>
          <w:sz w:val="20"/>
        </w:rPr>
      </w:pPr>
      <w:r>
        <w:rPr>
          <w:rFonts w:ascii="Times New Roman;serif" w:hAnsi="Times New Roman;serif"/>
          <w:sz w:val="20"/>
        </w:rPr>
        <w:t>We offer two versions of our Truvaga products for the support of general health and wellbeing. Truvaga 350 is a personal use consumer electronics general wellness product and Truvaga Plus, which was launched in April 2024, is our next generation, app-enabled general wellness product. Neither product requires a prescription and is available direct-to-consumer from electroCore at www.truvaga.com, or through online retailers, such as Amazon.com. TAC-STIM handset is a form of nVNS for human performance and has been developed in collaboration with the United States Department of Defense Biotech Optimized for Operational Solutions and Tactics, or BOOST program. TAC-STIM handsets are available as a Commercial Off the Shelf (COtS) solution to professional organizations and are the subject of ongoing research and evaluation within the United States Air Force Special Operations Command, the United States Army Special Operations Command and at the United States Air Force Research Laboratory.</w:t>
      </w:r>
    </w:p>
    <w:p>
      <w:pPr>
        <w:pStyle w:val="TextBody"/>
        <w:bidi w:val="0"/>
        <w:spacing w:lineRule="atLeast" w:line="240" w:before="0" w:after="0"/>
        <w:ind w:left="0" w:right="0" w:hanging="0"/>
        <w:jc w:val="left"/>
        <w:rPr>
          <w:sz w:val="20"/>
        </w:rPr>
      </w:pPr>
      <w:r>
        <w:rPr>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tLeast" w:line="240" w:before="0" w:after="0"/>
        <w:ind w:left="0" w:right="0" w:hanging="0"/>
        <w:jc w:val="left"/>
        <w:rPr>
          <w:sz w:val="20"/>
        </w:rPr>
      </w:pPr>
      <w:r>
        <w:rPr>
          <w:sz w:val="20"/>
        </w:rPr>
      </w:r>
    </w:p>
    <w:p>
      <w:pPr>
        <w:pStyle w:val="TextBody"/>
        <w:widowControl/>
        <w:bidi w:val="0"/>
        <w:spacing w:lineRule="atLeast" w:line="240"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Truvaga and TAC-STIM are intended for general wellness in compliance with the FDA guidance document entitled “General Wellness: Policy for Low-Risk Devices; Guidance for Industry and FDA Staff, issued on September 27, 2019.” </w:t>
      </w:r>
      <w:r>
        <w:rPr>
          <w:rFonts w:ascii="times new roman;times" w:hAnsi="times new roman;times"/>
          <w:sz w:val="20"/>
        </w:rPr>
        <w:t>Truvaga and TAC-STIM handsets are not intended to diagnose, treat, cure, or prevent any disease or medical condition.</w:t>
      </w:r>
    </w:p>
    <w:p>
      <w:pPr>
        <w:pStyle w:val="TextBody"/>
        <w:bidi w:val="0"/>
        <w:spacing w:lineRule="atLeast" w:line="240"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 xml:space="preserve">Our two largest customers by revenue are the United States Department of Veterans Affairs and United States Department of Defense, or VA, and the United Kingdom National Health Service or NHS utilizing our FDA cleared and CE marked product, </w:t>
      </w:r>
      <w:r>
        <w:rPr>
          <w:rFonts w:ascii="Times New Roman;serif" w:hAnsi="Times New Roman;serif"/>
          <w:sz w:val="20"/>
        </w:rPr>
        <w:t>gammaCore</w:t>
      </w:r>
      <w:r>
        <w:rPr>
          <w:rFonts w:ascii="times new roman;times" w:hAnsi="times new roman;times"/>
          <w:sz w:val="20"/>
        </w:rPr>
        <w: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t>The United States Department of Veteran Affairs comprised 70.6% of our revenue during the year ended December 31, 2024. The majority of our 2024 sales were made pursuant to our qualifying contract under the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 and subsequently extended the term to June 14, 2025, while the U.S. Department of Veteran Affairs VA Federal Supply Schedule Service reviews our follow-on offer application for a replacement contract. Although we continue to work with the appropriate government personnel to replace our FSS contract, there can be no assurance that the VA will accept our follow-on application to replace our contract which may limit or eliminate our ability to sell certain gammaCore products into the government channel pursuant to our qualifying FSS contract or individual facilities that utilize our FSS contract number for open market purchases.</w:t>
      </w:r>
    </w:p>
    <w:p>
      <w:pPr>
        <w:pStyle w:val="TextBody"/>
        <w:bidi w:val="0"/>
        <w:spacing w:lineRule="atLeast" w:line="240" w:before="0" w:after="0"/>
        <w:ind w:left="0" w:right="0" w:hanging="0"/>
        <w:jc w:val="left"/>
        <w:rPr/>
      </w:pPr>
      <w:r>
        <w:rPr/>
      </w:r>
    </w:p>
    <w:p>
      <w:pPr>
        <w:pStyle w:val="TextBody"/>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t>In August 2023, we signed a non-exclusive distribution agreement with Lovell Government Services, or Lovell, providing Lovell the right to list and distribute certain gammaCore products into the federal market. Lovell is a Service-Disabled Veteran-Owned Small Business (SDVOSB) offering medical and pharmaceutical goods and services to federal healthcare providers. Listing products with Lovell is intended to streamline the sales process to a variety of government procurement channels through Lovell’s compliance with contracting regulations and its provision of logistical solutions connected directly into government contracting portals, all of which are intended to help government agencies meet their SDVOSB procurement goals. Customers for these vehicles are federal healthcare systems such as the Veterans Health Administration (VHA, which includes the VA), the Military Health System (MHS), and Indian Health Services (IHS), which we believe serve up to approximately 21 million patients combined.</w:t>
      </w:r>
    </w:p>
    <w:p>
      <w:pPr>
        <w:pStyle w:val="TextBody"/>
        <w:bidi w:val="0"/>
        <w:spacing w:lineRule="atLeast" w:line="240" w:before="0" w:after="0"/>
        <w:ind w:left="0" w:right="0" w:hanging="0"/>
        <w:jc w:val="left"/>
        <w:rPr>
          <w:rFonts w:ascii="Times New Roman;serif" w:hAnsi="Times New Roman;serif"/>
          <w:sz w:val="20"/>
        </w:rPr>
      </w:pPr>
      <w:r>
        <w:rPr>
          <w:rFonts w:ascii="Times New Roman;serif" w:hAnsi="Times New Roman;serif"/>
          <w:sz w:val="20"/>
        </w:rPr>
      </w:r>
    </w:p>
    <w:p>
      <w:pPr>
        <w:pStyle w:val="TextBody"/>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t>Between November 2023 and January 2024, certain gammaCore products were added to the FSS, the VA’s Distribution and Pricing Agreement or DAPA, GSA Advantage, and Defense Logistics Agency’s ECAT system procurement portals through the Lovell contract vehicles, enabling the purchase of gammaCore products within the government channel and throughout the federal markets, including, but not limited to, the VA. The gammaCore products offered through Lovell provide government customers with similar product configuration options to those currently sold through our existing FSS contract and open market sales made directly to individual VA facilities. We expect a significant portion of our 2025 sales to continue in the government channel broadly, and to our largest customer the VA, specifically, pursuant to our FSS contract if replaced and / or through our relationship with Lovell and its qualifying FSS, GSA, DAPA, and ECAT contracts for which gammaCore has been added.</w:t>
      </w:r>
    </w:p>
    <w:p>
      <w:pPr>
        <w:pStyle w:val="TextBody"/>
        <w:bidi w:val="0"/>
        <w:spacing w:lineRule="auto" w:line="288" w:before="0" w:after="0"/>
        <w:ind w:left="0" w:right="0" w:hanging="0"/>
        <w:jc w:val="left"/>
        <w:rPr/>
      </w:pPr>
      <w:r>
        <w:rPr/>
      </w:r>
    </w:p>
    <w:p>
      <w:pPr>
        <w:pStyle w:val="TextBody"/>
        <w:widowControl/>
        <w:bidi w:val="0"/>
        <w:spacing w:lineRule="auto" w:line="288" w:before="120" w:after="0"/>
        <w:ind w:left="0" w:right="0" w:hanging="0"/>
        <w:jc w:val="left"/>
        <w:rPr>
          <w:rFonts w:ascii="Times New Roman;serif" w:hAnsi="Times New Roman;serif"/>
          <w:sz w:val="20"/>
        </w:rPr>
      </w:pPr>
      <w:r>
        <w:rPr>
          <w:rFonts w:ascii="times new roman;times" w:hAnsi="times new roman;times"/>
          <w:sz w:val="20"/>
        </w:rPr>
        <w:t>Sales under the </w:t>
      </w:r>
      <w:r>
        <w:rPr>
          <w:rFonts w:ascii="Times New Roman;serif" w:hAnsi="Times New Roman;serif"/>
          <w:sz w:val="20"/>
        </w:rPr>
        <w:t>UK MedTech Funding Mandate, or MTFM, for cluster headache (CH) in the UK compris</w:t>
      </w:r>
      <w:r>
        <w:rPr>
          <w:rFonts w:ascii="Times New Roman;serif" w:hAnsi="Times New Roman;serif"/>
          <w:color w:val="000000"/>
          <w:sz w:val="20"/>
        </w:rPr>
        <w:t>ed 6.6</w:t>
      </w:r>
      <w:r>
        <w:rPr>
          <w:rFonts w:ascii="Times New Roman;serif" w:hAnsi="Times New Roman;serif"/>
          <w:b w:val="false"/>
          <w:i w:val="false"/>
          <w:caps w:val="false"/>
          <w:smallCaps w:val="false"/>
          <w:color w:val="000000"/>
          <w:spacing w:val="0"/>
          <w:sz w:val="20"/>
        </w:rPr>
        <w:t>%</w:t>
      </w:r>
      <w:r>
        <w:rPr>
          <w:rFonts w:ascii="Times New Roman;serif" w:hAnsi="Times New Roman;serif"/>
          <w:color w:val="000000"/>
          <w:sz w:val="20"/>
        </w:rPr>
        <w:t xml:space="preserve"> of our re</w:t>
      </w:r>
      <w:r>
        <w:rPr>
          <w:rFonts w:ascii="Times New Roman;serif" w:hAnsi="Times New Roman;serif"/>
          <w:sz w:val="20"/>
        </w:rPr>
        <w:t xml:space="preserve">venue during the year ended December 31, 2024. In 2025, we plan on continued use of this program. In 2023, NHS granted a two-year extension in which our </w:t>
      </w:r>
      <w:r>
        <w:rPr>
          <w:rFonts w:ascii="times new roman;times" w:hAnsi="times new roman;times"/>
          <w:b w:val="false"/>
          <w:color w:val="000000"/>
          <w:spacing w:val="0"/>
          <w:sz w:val="20"/>
        </w:rPr>
        <w:t>prescription </w:t>
      </w:r>
      <w:r>
        <w:rPr>
          <w:rFonts w:ascii="Times New Roman;serif" w:hAnsi="Times New Roman;serif"/>
          <w:sz w:val="20"/>
        </w:rPr>
        <w:t>gammaCore therapy will continue to be listed in the NHS catalogue. This extension is through March 17, 2026, with an option for us to extend an additional two years. In 2025, we expect the National Institute for Health and Care Excellence, or NICE, to review the guidance document and any changes in recommendation or pricing may adversely impact our ability to work with NHS, England on the MTFM program and could have an adverse impact on our financial results. We continue to utilize distribution partners to commercialize our nVNS technology in selected territories outside the United States and United Kingdom.</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December 17, 2024, we entered into a definitive agreement to acquire NURO. NURO is a commercial stage healthcare company that develops and commercializes neurotechnology devices to address unmet needs in the chronic pain market through its Quell® platform: a wearable, app and cloud-enabled neuromodulation platform that is indicated for the treatment of fibromyalgia symptoms (Quell Fibromyalgia) and lower-extremity chronic pain (Quell 2.0). The transaction does not include NURO’s Japan-related DPNCheck® technology and business, which are expected to be divested by NURO prior to closing of the transaction. Consummation of the transaction is subject to approval by holders of at least a majority of the outstanding shares of NURO common stock entitled to vote on the merger, and the filing with the SEC of NURO’s Form 10-K with respect to the fiscal year ended December 31, 2024, in addition to other closing conditions.</w:t>
      </w:r>
    </w:p>
    <w:p>
      <w:pPr>
        <w:pStyle w:val="TextBody"/>
        <w:bidi w:val="0"/>
        <w:spacing w:lineRule="atLeast" w:line="240"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Primary Headache Market and Competition for our gammaCore Products’</w:t>
      </w:r>
    </w:p>
    <w:p>
      <w:pPr>
        <w:pStyle w:val="TextBody"/>
        <w:bidi w:val="0"/>
        <w:spacing w:lineRule="auto" w:line="288" w:before="0" w:after="0"/>
        <w:ind w:left="0" w:right="0" w:hanging="0"/>
        <w:jc w:val="left"/>
        <w:rPr>
          <w:sz w:val="20"/>
        </w:rPr>
      </w:pPr>
      <w:r>
        <w:rPr>
          <w:sz w:val="20"/>
        </w:rPr>
        <w:t>In the United States, 39 million patients are affected by migraine, with more than 28 million being adult women. Approximately 8 million Americans are seeing a professional about headache and approximately 2.5 million Americans have a prescription for migraine therapy. Migraine attacks can be extremely disabling and more than 90% of migraine sufferers are unable to work or function normally while experiencing migraine. According to an analysis cited in The American Journal of Managed Care, published in 2020, the annual economic burden of migraine in the United States is approximately $78 billion. The analysis further provides an estimate of annual total direct and indirect costs of all migraine-related health services between $8,500 and $9,500 for an individual patient with chronic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sz w:val="20"/>
        </w:rPr>
      </w:pPr>
      <w:r>
        <w:rPr>
          <w:rFonts w:ascii="times new roman;times" w:hAnsi="times new roman;times"/>
          <w:sz w:val="20"/>
        </w:rPr>
        <w:t>The market f</w:t>
      </w:r>
      <w:r>
        <w:rPr>
          <w:sz w:val="20"/>
        </w:rPr>
        <w:t>or the treatment and prevention of migraine is highly competitive with most migraine patients managing their conditions with over-the-counter therapies. The prescription triptan drug class is generally considered first line therapy for the acute treatment of migraine. There are many additional pharmaceutical approaches currently marketed and under development by third parties. In particular, injectables such as Botulinum toxin (Botox) and calcitonin gene-related peptides antagonists or CGRPs have gained significant adoption and market share, with oral CGRPs gaining more market share.</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 xml:space="preserve">There are several neuromodulation devices that have been marketed for the treatment of migraine, including CEFALY (sold by CEFALY Technologies sprl), Nerivio (sold by Theranica Bioelectronics), </w:t>
      </w:r>
      <w:r>
        <w:rPr>
          <w:rFonts w:ascii="Times New Roman;serif" w:hAnsi="Times New Roman;serif"/>
          <w:sz w:val="20"/>
        </w:rPr>
        <w:t xml:space="preserve">and Savi Dual (sold by eNeura, Inc.) </w:t>
      </w:r>
      <w:r>
        <w:rPr>
          <w:rFonts w:ascii="times new roman;times" w:hAnsi="times new roman;times"/>
          <w:sz w:val="20"/>
        </w:rPr>
        <w:t>as well as other neuromodulation devices that may be marketed for use in treating pain associated with primary headache. Cefaly has been granted OTC clearance allowing its product to be sold without a prescription and the impact of this clearance on the competitive landscape remains to be seen.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estimated prevalence of CH (Cluster Headache) in the United States ranges from 0.1% to 0.2% of the total population, with an estimated 400,000 patients. CH is a condition in which patients experience extremely painful headaches. CH predominantly affects males in their prime earning ages of 20 to 50, and the attacks of pain occur in bouts, known as cluster periods, during which attacks are experienced at a frequency ranging from every other day to as often as eight times per day.</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Injectable sumatriptan (Imitrex) is an FDA-approved commercially available therapy for the acute treatment for CH. The side effect profile and cost of Imitrex, however, limits patients to treating only a small fraction of their attacks each month and has to be subcutaneously injected, which may be particularly difficult to do during an active CH attack. The most frequently used acute treatments for CH attacks are subcutaneous sumatriptan and high flow rate inhaled oxygen. Alternative treatments include intranasal triptans and intravenous dihydroergotamine, or DHE. Galcanezumab, a calcitonin gene-related peptide was recently approved by the FDA for the treatment of episodic CH. Additional medications that are used by patients off-label include verapamil, lithium, and valproate.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w:t>
      </w:r>
      <w:r>
        <w:rPr>
          <w:rFonts w:ascii="times new roman;times" w:hAnsi="times new roman;times"/>
          <w:b w:val="false"/>
          <w:color w:val="000000"/>
          <w:spacing w:val="0"/>
          <w:sz w:val="20"/>
        </w:rPr>
        <w:t>prescription </w:t>
      </w:r>
      <w:r>
        <w:rPr>
          <w:rFonts w:ascii="times new roman;times" w:hAnsi="times new roman;times"/>
          <w:sz w:val="20"/>
        </w:rPr>
        <w:t xml:space="preserve">gammaCore therapy competes with numerous existing therapies from many different sources, including pharmaceutical, biotechnology, medical device and other healthcare companies, and therapies that may become available in the future. </w:t>
      </w:r>
      <w:r>
        <w:rPr>
          <w:rFonts w:ascii="times new roman;times" w:hAnsi="times new roman;times"/>
          <w:color w:val="000000"/>
          <w:sz w:val="20"/>
        </w:rPr>
        <w:t>We believe the key competitive factors affecting the potential success of our therapy are safety, efficacy, side effect profile, convenience, price, the availability of generic drugs and the availability of coverage and reimbursement from government and certain other third-party payers.</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Market and Competition for our General Wellness Products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In January 2024, McKinsey &amp; Company estimated the global general wellness market to be more than $1.8 trillion with the US market, spanning health, fitness, appearance, sleep, nutrition, and mindfulness, to be more than $480 billion and growing at greater than 5% annually</w:t>
      </w:r>
      <w:r>
        <w:rPr>
          <w:rFonts w:ascii="times new roman;times" w:hAnsi="times new roman;times"/>
          <w:color w:val="FF0000"/>
          <w:sz w:val="20"/>
        </w:rPr>
        <w:t>.</w:t>
      </w:r>
    </w:p>
    <w:p>
      <w:pPr>
        <w:pStyle w:val="TextBody"/>
        <w:bidi w:val="0"/>
        <w:spacing w:lineRule="auto" w:line="288" w:before="0" w:after="0"/>
        <w:ind w:left="0" w:right="0" w:hanging="0"/>
        <w:jc w:val="left"/>
        <w:rPr>
          <w:rFonts w:ascii="times new roman;times" w:hAnsi="times new roman;times"/>
          <w:color w:val="FF0000"/>
          <w:sz w:val="20"/>
        </w:rPr>
      </w:pPr>
      <w:r>
        <w:rPr>
          <w:rFonts w:ascii="times new roman;times" w:hAnsi="times new roman;times"/>
          <w:color w:val="FF0000"/>
          <w:sz w:val="20"/>
        </w:rPr>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According to Grand View Research, the global stress management treatment market is expected to reach approximately $20 billion by 2024, with the US stress management market size valued at $2.4 billion in 2022 and expected to grow at a compound annual growth rate (CAGR) of 5.3% from 2023 to 2030.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Research and Development</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sz w:val="20"/>
        </w:rPr>
      </w:pPr>
      <w:r>
        <w:rPr>
          <w:rFonts w:ascii="times new roman;times" w:hAnsi="times new roman;times"/>
          <w:sz w:val="20"/>
        </w:rPr>
        <w:t>We are developing future iterations of nVNS technology, including the use of our intellectual property around the delivery of smartphone-integrated and smartphone-connected non-invasive therapies. In</w:t>
      </w:r>
      <w:r>
        <w:rPr>
          <w:sz w:val="20"/>
        </w:rPr>
        <w:t> 2024, we launched our next generation app-enabled consumer device under the Truvaga brand.</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cooperating with a variety of Investigator Initiated Trials (“IIT”) to evaluate additional indications and/or markets for our products. If successful, we believe these trials will provide marketing support for future expansion of our business into new indications and markets.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Regulatory Clearances</w:t>
      </w:r>
    </w:p>
    <w:p>
      <w:pPr>
        <w:pStyle w:val="TextBody"/>
        <w:widowControl/>
        <w:bidi w:val="0"/>
        <w:spacing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b/>
          <w:i/>
          <w:sz w:val="20"/>
          <w:u w:val="single"/>
        </w:rPr>
      </w:pPr>
      <w:r>
        <w:rPr>
          <w:rFonts w:ascii="times new roman;times" w:hAnsi="times new roman;times"/>
          <w:b/>
          <w:i/>
          <w:sz w:val="20"/>
          <w:u w:val="single"/>
        </w:rPr>
        <w:t>Prescription</w:t>
      </w:r>
    </w:p>
    <w:p>
      <w:pPr>
        <w:pStyle w:val="TextBody"/>
        <w:bidi w:val="0"/>
        <w:spacing w:lineRule="auto" w:line="288" w:before="0" w:after="0"/>
        <w:ind w:left="0" w:right="0" w:hanging="0"/>
        <w:jc w:val="left"/>
        <w:rPr>
          <w:rFonts w:ascii="times new roman;times" w:hAnsi="times new roman;times"/>
          <w:b/>
          <w:i/>
          <w:sz w:val="20"/>
          <w:u w:val="single"/>
        </w:rPr>
      </w:pPr>
      <w:r>
        <w:rPr>
          <w:rFonts w:ascii="times new roman;times" w:hAnsi="times new roman;times"/>
          <w:b/>
          <w:i/>
          <w:sz w:val="20"/>
          <w:u w:val="single"/>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gammaCore, which is our prescription only, handheld device intended for regular or intermittent use over many years, is cleared by the FDA for use in the following indications: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7187" w:type="dxa"/>
        <w:jc w:val="left"/>
        <w:tblInd w:w="0" w:type="dxa"/>
        <w:tblLayout w:type="fixed"/>
        <w:tblCellMar>
          <w:top w:w="0" w:type="dxa"/>
          <w:left w:w="0" w:type="dxa"/>
          <w:bottom w:w="0" w:type="dxa"/>
          <w:right w:w="0" w:type="dxa"/>
        </w:tblCellMar>
      </w:tblPr>
      <w:tblGrid>
        <w:gridCol w:w="211"/>
        <w:gridCol w:w="6976"/>
      </w:tblGrid>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acute treatment of pain associated with episodic cluster headache;</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acute treatment of pain associated with migraine headache;</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Adjunctive use for the preventive treatment of cluster headache in adult patients;</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The preventive treatment of migraine headache in adult patients;</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The use of gammaCore by adolescent patients (between 12 and 17 years of age); and</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Mar>
              <w:top w:w="28" w:type="dxa"/>
              <w:left w:w="28" w:type="dxa"/>
              <w:bottom w:w="28" w:type="dxa"/>
              <w:right w:w="28" w:type="dxa"/>
            </w:tcMar>
          </w:tcPr>
          <w:p>
            <w:pPr>
              <w:pStyle w:val="TableContents"/>
              <w:widowControl/>
              <w:bidi w:val="0"/>
              <w:spacing w:before="0" w:after="283"/>
              <w:ind w:left="0" w:right="0" w:hanging="0"/>
              <w:jc w:val="left"/>
              <w:rPr>
                <w:sz w:val="20"/>
              </w:rPr>
            </w:pPr>
            <w:r>
              <w:rPr>
                <w:rFonts w:ascii="times new roman;times" w:hAnsi="times new roman;times"/>
                <w:b w:val="false"/>
                <w:color w:val="000000"/>
                <w:spacing w:val="0"/>
                <w:sz w:val="20"/>
              </w:rPr>
              <w:t>Treatment of h</w:t>
            </w:r>
            <w:r>
              <w:rPr>
                <w:sz w:val="20"/>
              </w:rPr>
              <w:t>emicrania c</w:t>
            </w:r>
            <w:r>
              <w:rPr>
                <w:rFonts w:ascii="times new roman;times" w:hAnsi="times new roman;times"/>
                <w:b w:val="false"/>
                <w:color w:val="000000"/>
                <w:spacing w:val="0"/>
                <w:sz w:val="20"/>
              </w:rPr>
              <w:t>ontinua and paroxysmal hemicrania in adult patients.</w:t>
            </w:r>
          </w:p>
        </w:tc>
      </w:tr>
    </w:tbl>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The FDA clearances of our </w:t>
      </w:r>
      <w:r>
        <w:rPr>
          <w:rFonts w:ascii="times new roman;times" w:hAnsi="times new roman;times"/>
          <w:b w:val="false"/>
          <w:color w:val="000000"/>
          <w:spacing w:val="0"/>
          <w:sz w:val="20"/>
        </w:rPr>
        <w:t>prescription </w:t>
      </w:r>
      <w:r>
        <w:rPr>
          <w:rFonts w:ascii="times new roman;times" w:hAnsi="times new roman;times"/>
          <w:color w:val="000000"/>
          <w:sz w:val="20"/>
        </w:rPr>
        <w:t>gammaCore therapy to treat headache were facilitated by the FDA's creation of a new regulatory category: External Vagus Nerve Stimulator for Headache (21 CFR 882-5892). Based on this category’s description, we anticipate that some additional label expansions may be possible through the pathway under Section 510(k) of the Federal Drug and Cosmetic Act </w:t>
      </w:r>
      <w:r>
        <w:rPr>
          <w:rFonts w:ascii="Times New Roman;serif" w:hAnsi="Times New Roman;serif"/>
          <w:color w:val="000000"/>
          <w:sz w:val="20"/>
        </w:rPr>
        <w:t>or through de novo classifications relating to uses of External Vagus Nerve Stimulators.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In January 2022, the FDA granted gammaCore Sapphire “Breakthrough Device designation for the treatment of post-traumatic stress disorder or PTSD.” PTSD is a highly prevalent and disabling disorder with limited approved treatment options. The FDA’s Breakthrough Device designation is designed to expedite the development and regulatory review of medical devices that hold the potential for more effective treatment or diagnosis of life-threatening or irreversibly debilitating disease or condition. </w:t>
      </w:r>
      <w:r>
        <w:rPr>
          <w:rFonts w:ascii="Times New Roman;serif" w:hAnsi="Times New Roman;serif"/>
          <w:sz w:val="20"/>
        </w:rPr>
        <w:t>The Company is currently discussing the pathway for obtaining FDA clearance for treatment of PTSD by using gammaCore Sapphire.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considering additional medical indications for our nVNS technology which are being studied in several investigator-initiated trials, or IITs. These indications include, post-traumatic stress disorder, opioid use disorders, symptoms of Parkinson's disease, stroke, concussion, attention, sleep, mood, fatigue and memory retention among others.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We received a CE Certificate of Conformity for gammaCore for the treatment of primary headache from the British Standards Institution, which was at the time a European Union notified body. This CE Certificate of Conformity allowed us to affix the CE Mark on gammaCore and to commercialize it in the European Economic Area and other countries that recognize the CE Mark. In addition, we received CE Certificates of Conformity on gammaCore covering four other indications for use, including reactive airway disease and gastric motility disorders. Post-Brexit, these CE Certificates of Conformity remain valid in the UK and EU. BSI has established a Netherlands entity, which remains a notified body, and BSI in the UK has equivalent status as a “UK approved body”. Under current guidance, CE marked medical devices may be placed on the UK market up until the sooner of the expiry of the CE Certificate of Conformity or June 30, 2028. After that date, we will need to obtain UKCA marking (the UK replacement for CE marking) for commercialization of our gammaCore products in the UK.</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2019, NICE published a Medical Technology Guidance document recommending the use of gammaCore for CH within NHS of England and Wales. We expect NICE to review the Medical Technology Guidance </w:t>
      </w:r>
      <w:r>
        <w:rPr>
          <w:rFonts w:ascii="Times New Roman;serif" w:hAnsi="Times New Roman;serif"/>
          <w:sz w:val="20"/>
        </w:rPr>
        <w:t>in 2025. </w:t>
      </w:r>
      <w:r>
        <w:rPr>
          <w:rFonts w:ascii="times new roman;times" w:hAnsi="times new roman;times"/>
          <w:sz w:val="20"/>
        </w:rPr>
        <w:t>In January 2021, NHS Scotland adopted the NICE recommendation and recommended gammaCore for use in treatment of CH in Scotland.</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NHS England awarded gammaCore a place on the Innovation Technology Payment, or ITP, program for treatment of patients with refractory (severe) cluster headache, a reimbursement pathway that opened in April 2019. Effective April 1, 2021, gammaCore was listed on the MTFM Policy. gammaCore is still listed in the policy, which requires commissioners to fund the therapy from their existing allocations.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b/>
          <w:i/>
          <w:color w:val="000000"/>
          <w:sz w:val="20"/>
        </w:rPr>
        <w:t>General Wellness</w:t>
      </w:r>
      <w:r>
        <w:rPr>
          <w:rFonts w:ascii="times new roman;times" w:hAnsi="times new roman;times"/>
          <w:sz w:val="20"/>
        </w:rPr>
        <w:t xml:space="preserve"> </w:t>
      </w:r>
    </w:p>
    <w:p>
      <w:pPr>
        <w:pStyle w:val="TextBody"/>
        <w:widowControl/>
        <w:bidi w:val="0"/>
        <w:spacing w:lineRule="auto" w:line="288"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r>
    </w:p>
    <w:p>
      <w:pPr>
        <w:pStyle w:val="TextBody"/>
        <w:bidi w:val="0"/>
        <w:spacing w:lineRule="auto" w:line="288" w:before="0" w:after="120"/>
        <w:ind w:left="0" w:right="0" w:hanging="0"/>
        <w:jc w:val="left"/>
        <w:rPr>
          <w:rFonts w:ascii="Times New Roman;serif" w:hAnsi="Times New Roman;serif"/>
          <w:sz w:val="20"/>
        </w:rPr>
      </w:pPr>
      <w:r>
        <w:rPr>
          <w:rFonts w:ascii="times new roman;times" w:hAnsi="times new roman;times"/>
          <w:sz w:val="20"/>
        </w:rPr>
        <w:t>Truvaga and TAC-STIM are being marketed in the United States as general wellness and human performance</w:t>
      </w:r>
      <w:r>
        <w:rPr>
          <w:rFonts w:ascii="Times New Roman;serif" w:hAnsi="Times New Roman;serif"/>
          <w:sz w:val="20"/>
        </w:rPr>
        <w:t> </w:t>
      </w:r>
      <w:r>
        <w:rPr>
          <w:rFonts w:ascii="times new roman;times" w:hAnsi="times new roman;times"/>
          <w:sz w:val="20"/>
        </w:rPr>
        <w:t>devices pursuant to the FDA guidance document entitled </w:t>
      </w:r>
      <w:r>
        <w:rPr>
          <w:rFonts w:ascii="Times New Roman;serif" w:hAnsi="Times New Roman;serif"/>
          <w:color w:val="1F497D"/>
          <w:sz w:val="20"/>
        </w:rPr>
        <w:t>“</w:t>
      </w:r>
      <w:r>
        <w:rPr>
          <w:rFonts w:ascii="times new roman;times" w:hAnsi="times new roman;times"/>
          <w:sz w:val="20"/>
        </w:rPr>
        <w:t>General Wellness: Policy for Low-Risk Devices; Guidance for Industry and FDA Staff, issued on September 27, 2019.” They are not intended to diagnose, treat, cure, or prevent any disease or medical condition.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Manufacturing</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We are the FDA-registered and ISO registered legal manufacturer of our nVNS products. We rely upon third-party contract manufacturers and suppliers, located both within and outside the United States, for substantially all the components of our nVNS products. In order to protect against risk of supply chain disruption, we seek to maintain adequate inventory and, if necessary, there is adequate safety stock to qualify a secondary contract manufacturer when any supply chain disruption is identified. Additionally, we retain the internal expertise and capabilities to perform all assembly aspects of our commercial product. These measures include purchasing what we consider to be sufficient advanced supply of key components to reasonably assure that no component shortages will interrupt our ability to manufacture and deliver our products to patients on a timely basis. All the electronic components used in our products are either high-volume, non-custom commodity components, or alternate components are available. The majority of these components have multiple sources, and the few with single sources have been purchased with sufficient reserves to permit continued production while simple product design modifications can be made. We rely upon certain qualified third parties, from time to time, for engineering, design and validation of new and modified devices.</w:t>
      </w:r>
    </w:p>
    <w:p>
      <w:pPr>
        <w:pStyle w:val="TextBody"/>
        <w:widowControl/>
        <w:bidi w:val="0"/>
        <w:spacing w:lineRule="auto" w:line="288" w:before="24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At our facility in Rockaway, NJ, we inspect inbound component parts to ensure they meet our design and manufacturing specifications prior to assembly. This quality process involves physical inspection and electrical performance testing. After successful completion of this inspection, each unit is then assembled, programmed, and packaged, along with appropriate labeling and accessories.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Intellectual Property</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Patents and Patent Applications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of February 1, 2025, we held more than 215 patents and patent applications, including 145 issued U.S. patents, 32 U.S. patent applications, and 36 international patents and applications. All of our current issued patents are projected to expire between 2026 and 2037.</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Copyrights, Trademarks and Trade Secrets</w:t>
      </w:r>
    </w:p>
    <w:p>
      <w:pPr>
        <w:pStyle w:val="TextBody"/>
        <w:bidi w:val="0"/>
        <w:spacing w:lineRule="auto" w:line="288" w:before="12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As </w:t>
      </w:r>
      <w:r>
        <w:rPr>
          <w:rFonts w:ascii="times new roman;times" w:hAnsi="times new roman;times"/>
          <w:color w:val="000000"/>
          <w:sz w:val="20"/>
        </w:rPr>
        <w:t>of February 1, 2025, our trademark portfolio consisted of 12 US trademark registrations, including electroCore, gammaCore, gammaCore Sapphire, gammaCore Emerald and TAC-STIM, 23 international trademark registrations, and 13 pending US and international trademark applications.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pStyle w:val="TextBody"/>
        <w:bidi w:val="0"/>
        <w:spacing w:lineRule="auto" w:line="288" w:before="0" w:after="0"/>
        <w:ind w:left="0" w:right="0" w:hanging="0"/>
        <w:jc w:val="left"/>
        <w:rPr/>
      </w:pPr>
      <w:r>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Some of the software related to our Truvaga Plus product which was launched in 2024 is licensed from third-parties, and we rely entirely on third-party software developers for the design of the software for this product.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U.S. Food and Drug Administration (FDA) Regulation</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of our products are medical devices that are subject to extensive regulation by the U.S. FDA under the Federal Food, Drug, and Cosmetic Act, or FDCA, and the regulations promulgated thereunder, as well as by other regulatory bodies in the United States and abroad. The FDA classifies medical devices into one of three classes based on the risks associated with the medical device and the controls deemed necessary to reasonably ensure the device’s safety and effectiveness. These three classes are: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Class I, the lowest risk products, which require compliance with medical device general controls, including labeling, establishment registration, device product listing, adverse event reporting and, for some products, adherence to good manufacturing practices through the FDA’s quality system regulations;</w:t>
            </w:r>
          </w:p>
        </w:tc>
      </w:tr>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Class II, comprising moderate-risk devices, which also require compliance with general controls and in some cases, so-called special controls that may include performance standards, particular labeling requirements, or post-market surveillance obligations; typically a Class II device also requires pre-market review and clearance by FDA of a pre-market notification (also referred to as a “510(k) application”) as well as adherence to the quality system regulations/good manufacturing practices for devices; and</w:t>
            </w:r>
          </w:p>
        </w:tc>
      </w:tr>
      <w:tr>
        <w:trPr/>
        <w:tc>
          <w:tcPr>
            <w:tcW w:w="211" w:type="dxa"/>
            <w:tcBorders/>
            <w:tcMar>
              <w:top w:w="28" w:type="dxa"/>
              <w:left w:w="28" w:type="dxa"/>
              <w:bottom w:w="28" w:type="dxa"/>
              <w:right w:w="28" w:type="dxa"/>
            </w:tcMar>
          </w:tcPr>
          <w:p>
            <w:pPr>
              <w:pStyle w:val="TableContents"/>
              <w:bidi w:val="0"/>
              <w:spacing w:before="0" w:after="283"/>
              <w:jc w:val="center"/>
              <w:rPr/>
            </w:pPr>
            <w:r>
              <w:rPr/>
              <w:t>•</w:t>
            </w:r>
          </w:p>
        </w:tc>
        <w:tc>
          <w:tcPr>
            <w:tcW w:w="9994" w:type="dxa"/>
            <w:tcBorders/>
            <w:tcMar>
              <w:top w:w="28" w:type="dxa"/>
              <w:left w:w="28" w:type="dxa"/>
              <w:bottom w:w="28" w:type="dxa"/>
              <w:right w:w="28" w:type="dxa"/>
            </w:tcMar>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Class III, high-risk devices that are often implantable or life-sustaining, which also require compliance with the medical device general controls and quality system regulations, but which generally must be approved by FDA before entering the market, through a more-lengthy pre-market approval (PMA) application. Approved </w:t>
            </w:r>
            <w:r>
              <w:rPr>
                <w:rFonts w:ascii="times new roman;times" w:hAnsi="times new roman;times"/>
                <w:sz w:val="20"/>
              </w:rPr>
              <w:t>PMAs</w:t>
            </w:r>
            <w:r>
              <w:rPr>
                <w:rFonts w:ascii="times new roman;times" w:hAnsi="times new roman;times"/>
                <w:color w:val="000000"/>
                <w:spacing w:val="0"/>
                <w:sz w:val="20"/>
              </w:rPr>
              <w:t> </w:t>
            </w:r>
            <w:r>
              <w:rPr>
                <w:rFonts w:ascii="times new roman;times" w:hAnsi="times new roman;times"/>
                <w:b w:val="false"/>
                <w:color w:val="000000"/>
                <w:spacing w:val="0"/>
                <w:sz w:val="20"/>
              </w:rPr>
              <w:t>can include post-approval conditions and post-market surveillance requirements, analogous to some of the special controls that may be imposed on Class II devices.</w:t>
            </w:r>
          </w:p>
        </w:tc>
      </w:tr>
    </w:tbl>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Before being introduced into the U.S. market, our medical devices must obtain marketing clearance or approval from FDA through the 510(k) pre-market notification process, the de novo classification process (summarized below under De Novo Classification Process), or the PMA process, unless they are determined to be Class I devices or to otherwise qualify for an exemption from one of these available forms of pre-market review and authorization by the FDA. To date, our products have all been classified as Class II, moderate-risk medical devices and have been subject to the 510(k) review and clearance process.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t</w:t>
      </w:r>
      <w:r>
        <w:rPr>
          <w:rFonts w:ascii="Times New Roman;serif" w:hAnsi="Times New Roman;serif"/>
          <w:color w:val="000000"/>
          <w:sz w:val="20"/>
        </w:rPr>
        <w:t xml:space="preserve">he FDA also has a policy, </w:t>
      </w:r>
      <w:r>
        <w:rPr>
          <w:rFonts w:ascii="Times New Roman;serif" w:hAnsi="Times New Roman;serif"/>
          <w:i/>
          <w:color w:val="000000"/>
          <w:sz w:val="20"/>
        </w:rPr>
        <w:t>General Wellness: Policy for Low-Risk Devices</w:t>
      </w:r>
      <w:r>
        <w:rPr>
          <w:rFonts w:ascii="Times New Roman;serif" w:hAnsi="Times New Roman;serif"/>
          <w:color w:val="000000"/>
          <w:sz w:val="20"/>
        </w:rPr>
        <w:t>, regarding general wellness products. Under this policy, the FDA does not intend to examine low risk general wellness products to determine whether they are devices within the meaning of the FDCA or, if they are devices, whether they comply with the relevant regulatory requirements for devices (e.g., establishment registration, pre-market review). The policy defines general wellness products as products that meet the following two factors: (1) are intended for only general wellness use, as defined in the policy, and (2) present a low risk to the safety of users and other persons. We market Truvaga and TAC-STIM as general wellness products pursuant to this policy.</w:t>
      </w:r>
      <w:r>
        <w:rPr>
          <w:rFonts w:ascii="times new roman;times" w:hAnsi="times new roman;times"/>
          <w:color w:val="000000"/>
          <w:sz w:val="20"/>
        </w:rPr>
        <w:t xml:space="preserve"> </w:t>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510(k) Pre-Market Notification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Class II devices typically require pre-market review and clearance by the FDA, which is accomplished through the submission of a 510(k) pre-market notification before the device may be marketed. To obtain 510(k) clearance, we must demonstrate that a new device is substantially equivalent to another device with 510(k) clearance or grandfathered status, or to a device that was reclassified from Class III to Class II or Class I - this device to which the new device is compared is called the “predicate device.” In some cases, we may be required to perform clinical trials to support a claim of substantial equivalence. If clinical trials are required, we may be required to submit an application for an investigational device exemption, or IDE, which must be cleared by the FDA prior to the start of a clinical investigation, unless the device and clinical investigation are considered non-significant risk by the FDA or are exempt from the IDE requirements. Whether or not an IDE is required for a clinical study involving a medical device, an appropriate Institutional Review Board (IRB) must review and approve the study protocol before it is initiated. It generally takes three months from the date of the pre-market notification submission to obtain a final 510(k) clearance decision from the FDA, but it can be significantly longer.</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After a medical device receives a 510(k) clearance letter, which authorizes commercial marketing of the new device for one or more specific indications for use, any modification that could significantly affect its safety or effectiveness, or that would constitute a major change in its intended use, requires the submission of a new 510(k) notification or could require de novo classification or a PMA. The FDA allows each company to make this determination, but the FDA can review the decision as part of routine compliance audits of the company. If the FDA disagrees with a company’s decision not to seek prior FDA authorization, the FDA may require the company to seek additional 510(k) clearance or pre-market approval. The FDA also can require the company to cease marketing and/or recall the medical device in question until its regulatory status is resolved.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De Novo Classification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the FDA determines that a new, previously unclassified medical device or its intended use is not substantially equivalent to a predicate device, the device is automatically placed into Class III, requiring the submission of a PMA. Devices that cannot be cleared through the 510(k) process due to lack of a predicate device but would be considered low or moderate risk (in other words, they do not rise to the level of requiring the approval of a PMA because any risks associated with the device could be mitigated through general controls and/or special controls) may be eligible for the 510(k) De Novo classification process. If a product is classified as Class II through the De Novo classification process, then that device may serve as a predicate device for subsequent 510(k) pre-market notifications.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FDA has issued a Guidance document that formally codifies requirements for the medical device De Novo process and the procedures and criteria for product developers to file a De Novo classification request.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PMA Application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a medical device does not qualify for the 510(k)-pre-market notification process and is not eligible for classification as a low or moderate-risk device through the De Novo process, the device is deemed to be Class III and a company must submit a PMA application to seek authorization for its commercial sale. A PMA requires more extensive pre-filing testing than is required in the 510(k) application and is more costly, lengthy and uncertain. The PMA review and approval process can take one to three years or longer, from the time the PMA application is filed with the FDA. Under a PMA, the company must demonstrate to the FDA that the new medical device is safe and effective for its intended purpose. A PMA typically includes extensive pre-clinical and clinical trial data, and information about the device, its design, manufacture, labeling and components. Before approving a PMA, the FDA generally also performs an on-site inspection of manufacturing facilities for the product to ensure compliance with the FDA’s quality system regulation, or QSR.</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FDA approves the PMA, the approved indications may be more limited than those originally sought. In addition, FDA’s approval order may include post-approval conditions that the FDA believes necessary to ensure the safety and effectiveness of the device, including, among other things, restrictions on labeling, promotion, sale and distribution and post-market study requirements. Failure to comply with the post-approval conditions can result in adverse enforcement or administrative actions, including the withdrawal of the approval. Approval of a new PMA application or a PMA supplement may be required before making certain types of modifications to the device, including to its labeling, intended use or indication, or manufacturing process, especially when such modifications have the potential to affect safety and effectiveness.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Post-Marketing Compliance Obligations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Regardless of which pre-market pathway a medical device uses to reach the U.S. market, after a device is placed on the market, numerous regulatory requirements continue to apply. These include: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correction and removal reporting regulations, which require that manufacturers report to the FDA field corrections and device recalls or removals if undertaken to reduce a risk to health by the device or to remedy a violation of the FDA caused by the device that may present a risk to health;</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post-market surveillance regulations, which apply to Class II or III devices if the FDA has issued a post-market surveillance order and the failure of the device would be reasonably likely to have serious adverse health consequences, the device is expected to have significant use in the pediatric population, the device is intended to be implanted in the human body for more than one year, or the device is intended to be used to support or sustain life and to be used outside a user facility;</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regular and for-cause inspections by FDA to review a manufacturer’s facility and its compliance with applicable FDA requirements;</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w:t>
            </w:r>
            <w:r>
              <w:rPr>
                <w:rFonts w:ascii="times new roman;times" w:hAnsi="times new roman;times"/>
                <w:sz w:val="20"/>
              </w:rPr>
              <w:t>FDA’s</w:t>
            </w:r>
            <w:r>
              <w:rPr>
                <w:rFonts w:ascii="times new roman;times" w:hAnsi="times new roman;times"/>
                <w:color w:val="000000"/>
                <w:spacing w:val="0"/>
                <w:sz w:val="20"/>
              </w:rPr>
              <w:t> </w:t>
            </w:r>
            <w:r>
              <w:rPr>
                <w:rFonts w:ascii="times new roman;times" w:hAnsi="times new roman;times"/>
                <w:b w:val="false"/>
                <w:color w:val="000000"/>
                <w:spacing w:val="0"/>
                <w:sz w:val="20"/>
              </w:rPr>
              <w:t>recall authority, whereby it can ask, or order, device manufacturers to recall from the market a product that is in violation of applicable laws and regulations; and</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the guidance document entitled </w:t>
            </w:r>
            <w:r>
              <w:rPr>
                <w:rFonts w:ascii="times new roman;times" w:hAnsi="times new roman;times"/>
                <w:spacing w:val="0"/>
                <w:sz w:val="20"/>
              </w:rPr>
              <w:t>“</w:t>
            </w:r>
            <w:r>
              <w:rPr>
                <w:rFonts w:ascii="times new roman;times" w:hAnsi="times new roman;times"/>
                <w:b w:val="false"/>
                <w:color w:val="000000"/>
                <w:spacing w:val="0"/>
                <w:sz w:val="20"/>
              </w:rPr>
              <w:t>General Wellness: Policy for Low-Risk Devices; Guidance for Industry and FDA Staff, issued on September 27, 2019” under which </w:t>
            </w: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and TAC-STIM are marketed under as general wellness devices.</w:t>
            </w:r>
          </w:p>
        </w:tc>
      </w:tr>
    </w:tbl>
    <w:p>
      <w:pPr>
        <w:pStyle w:val="TextBody"/>
        <w:bidi w:val="0"/>
        <w:spacing w:lineRule="auto" w:line="288" w:before="80" w:after="0"/>
        <w:ind w:left="0" w:right="0" w:hanging="0"/>
        <w:jc w:val="left"/>
        <w:rPr>
          <w:rFonts w:ascii="times new roman;times" w:hAnsi="times new roman;times"/>
          <w:color w:val="000000"/>
          <w:sz w:val="20"/>
        </w:rPr>
      </w:pPr>
      <w:r>
        <w:rPr>
          <w:rFonts w:ascii="times new roman;times" w:hAnsi="times new roman;times"/>
          <w:color w:val="000000"/>
          <w:sz w:val="20"/>
        </w:rPr>
        <w:t>Our international sales are subject to regulatory requirements in the countries in which our products are sold. The regulatory review process varies from country to country and may in some cases require the submission of clinical data.</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In 2014, we received CE Certificate of Conformity in the European Economic Area, or EEA, for our </w:t>
      </w:r>
      <w:r>
        <w:rPr>
          <w:rFonts w:ascii="times new roman;times" w:hAnsi="times new roman;times"/>
          <w:b w:val="false"/>
          <w:color w:val="000000"/>
          <w:spacing w:val="0"/>
          <w:sz w:val="20"/>
        </w:rPr>
        <w:t>prescription </w:t>
      </w:r>
      <w:r>
        <w:rPr>
          <w:rFonts w:ascii="times new roman;times" w:hAnsi="times new roman;times"/>
          <w:color w:val="000000"/>
          <w:sz w:val="20"/>
        </w:rPr>
        <w:t>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EEA and UK, gammaCore must currently comply with the essential requirements in Annex I to Directive 93/42/EEC, or the Essential Requirements, relating to the approximation of the laws of the member states concerning medical devices or the EU Medical Devices Directive (UK law, implemented through the Medical Devices Regulations 2002, continues to be based on these requirements).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 Certificate of Conformity entitles the manufacturer to affix the CE mark to its medical devices after having prepared and signed a related EC Declaration of Conformity.</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color w:val="000000"/>
        </w:rPr>
      </w:pPr>
      <w:r>
        <w:rPr>
          <w:color w:val="000000"/>
        </w:rPr>
        <w:t> </w:t>
      </w:r>
      <w:r>
        <w:rPr>
          <w:rFonts w:ascii="times new roman;times" w:hAnsi="times new roman;times"/>
          <w:color w:val="000000"/>
          <w:sz w:val="20"/>
        </w:rPr>
        <w:t>Under current guidance, CE marked medical devices may be placed on the UK market up until the sooner of the expiry of the CE Certificate of Conformity or June 30, 2028. After that date, we will need to obtain UKCA marking (the UK replacement for CE marking) from a UK approved body (the new equivalent of an EU notified body) for commercialization of our gammaCore products in the UK. See “Item 1 – Business – Regulatory Clearances” for additional information.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Moreover, in May 2017, the EU Medical Devices Regulation </w:t>
      </w:r>
      <w:r>
        <w:rPr>
          <w:rFonts w:ascii="times new roman;times" w:hAnsi="times new roman;times"/>
          <w:sz w:val="20"/>
        </w:rPr>
        <w:t>2017</w:t>
      </w:r>
      <w:r>
        <w:rPr>
          <w:rFonts w:ascii="times new roman;times" w:hAnsi="times new roman;times"/>
          <w:color w:val="000000"/>
          <w:sz w:val="20"/>
        </w:rPr>
        <w:t>/</w:t>
      </w:r>
      <w:r>
        <w:rPr>
          <w:rFonts w:ascii="times new roman;times" w:hAnsi="times new roman;times"/>
          <w:sz w:val="20"/>
        </w:rPr>
        <w:t>745</w:t>
      </w:r>
      <w:r>
        <w:rPr>
          <w:rFonts w:ascii="times new roman;times" w:hAnsi="times new roman;times"/>
          <w:color w:val="000000"/>
          <w:sz w:val="20"/>
        </w:rPr>
        <w:t>,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MDR, a European Commission proposal published on January 6, 2023, stated that the overall number and capacity of conformity assessment or notified bodies remains insufficient to carry out the tasks required of them. In addition, many manufacturers are not sufficiently prepared to meet the strengthened requirements of the MDR by the end of the transition period. This was threatening the availability of medical devices on the EU market. The European Commission extended the transition period from May 26, 2024 until December 31, 2028 for Class IIa devices, which includes the gammaCore products (gammaCore Sapphire, gammaCore-S). Once applicable, the new regulations will among other things: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strengthen the rules on placing devices on the market and reinforce surveillance once they are available;</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establish explicit provisions on manufacturers’ responsibilities for the follow-up of the quality, performance and safety of devices placed on the market;</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994" w:type="dxa"/>
            <w:tcBorders/>
          </w:tcPr>
          <w:p>
            <w:pPr>
              <w:pStyle w:val="TableContents"/>
              <w:widowControl/>
              <w:bidi w:val="0"/>
              <w:spacing w:before="0" w:after="283"/>
              <w:ind w:left="0" w:right="0" w:hanging="0"/>
              <w:jc w:val="left"/>
              <w:rPr>
                <w:sz w:val="20"/>
              </w:rPr>
            </w:pPr>
            <w:r>
              <w:rPr>
                <w:sz w:val="20"/>
              </w:rPr>
              <w:t>i</w:t>
            </w:r>
            <w:r>
              <w:rPr>
                <w:rFonts w:ascii="times new roman;times" w:hAnsi="times new roman;times"/>
                <w:b w:val="false"/>
                <w:i w:val="false"/>
                <w:caps w:val="false"/>
                <w:smallCaps w:val="false"/>
                <w:color w:val="000000"/>
                <w:spacing w:val="0"/>
                <w:sz w:val="20"/>
              </w:rPr>
              <w:t>mprove the traceability of medical devices throughout the supply chain to the end-user or patient through a unique identification number;</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set up a central database to provide patients, healthcare professionals and the public with comprehensive information on products available in the EU; and</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strengthened rules for the assessment of certain high-risk devices which may have to undergo an additional check by experts before they are placed on the market.</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It was necessary for notified bodies to be accredited by the EU Member States’ accreditation bodies to conduct assessment procedures for medical devices in accordance with the Regulation. We have the necessary certificates for the MDR.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On March 29, 2017, the United Kingdom formally notified the EU of its intention to withdraw from the Union pursuant to Article 50 of the Lisbon Treaty, commonly referred to as Brexit, and completed a transitional period on December 31, 2020.  Following Brexit, EU law and the EU Court of Justice no longer have supremacy over British laws or its Supreme Court. The United Kingdom's European Union (Withdrawal) Act 2018 retains relevant EU law as domestic law, which can be amended or repealed. For medical devices, the key changes are that: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tLeast" w:line="240" w:before="0" w:after="0"/>
        <w:ind w:left="720" w:right="0" w:hanging="360"/>
        <w:jc w:val="left"/>
        <w:rPr>
          <w:rFonts w:ascii="Times New Roman;serif" w:hAnsi="Times New Roman;serif"/>
          <w:sz w:val="24"/>
        </w:rPr>
      </w:pPr>
      <w:r>
        <w:rPr>
          <w:rFonts w:ascii="Times New Roman;serif" w:hAnsi="Times New Roman;serif"/>
          <w:color w:val="000000"/>
          <w:sz w:val="20"/>
        </w:rPr>
        <w:t>-</w:t>
      </w:r>
      <w:r>
        <w:rPr>
          <w:rFonts w:ascii="Times New Roman;serif" w:hAnsi="Times New Roman;serif"/>
          <w:caps w:val="false"/>
          <w:smallCaps w:val="false"/>
          <w:color w:val="000000"/>
          <w:sz w:val="20"/>
        </w:rPr>
        <w:t xml:space="preserve">        </w:t>
      </w:r>
      <w:r>
        <w:rPr>
          <w:rFonts w:ascii="Times New Roman;serif" w:hAnsi="Times New Roman;serif"/>
          <w:color w:val="000000"/>
          <w:sz w:val="20"/>
        </w:rPr>
        <w:t>UK “notified bodies” have lost this status, and are no longer able to issue CE certificates. Some, including BSI, have set up an EU entity as a new notified body to issue CE certificates.</w:t>
      </w:r>
    </w:p>
    <w:p>
      <w:pPr>
        <w:pStyle w:val="TextBody"/>
        <w:bidi w:val="0"/>
        <w:spacing w:lineRule="atLeast" w:line="240" w:before="0" w:after="0"/>
        <w:ind w:left="720" w:right="0" w:hanging="360"/>
        <w:jc w:val="left"/>
        <w:rPr>
          <w:rFonts w:ascii="Times New Roman;serif" w:hAnsi="Times New Roman;serif"/>
          <w:sz w:val="24"/>
        </w:rPr>
      </w:pPr>
      <w:r>
        <w:rPr>
          <w:rFonts w:ascii="Times New Roman;serif" w:hAnsi="Times New Roman;serif"/>
          <w:color w:val="000000"/>
          <w:sz w:val="20"/>
        </w:rPr>
        <w:t>-</w:t>
      </w:r>
      <w:r>
        <w:rPr>
          <w:rFonts w:ascii="Times New Roman;serif" w:hAnsi="Times New Roman;serif"/>
          <w:caps w:val="false"/>
          <w:smallCaps w:val="false"/>
          <w:color w:val="000000"/>
          <w:sz w:val="20"/>
        </w:rPr>
        <w:t xml:space="preserve">        </w:t>
      </w:r>
      <w:r>
        <w:rPr>
          <w:rFonts w:ascii="Times New Roman;serif" w:hAnsi="Times New Roman;serif"/>
          <w:color w:val="000000"/>
          <w:sz w:val="20"/>
        </w:rPr>
        <w:t xml:space="preserve">the UK is replacing the EU CE marking system with “UKCA” marking. The transition period has been extended, and currently </w:t>
      </w:r>
      <w:r>
        <w:rPr>
          <w:rFonts w:ascii="Times New Roman;serif" w:hAnsi="Times New Roman;serif"/>
          <w:sz w:val="20"/>
        </w:rPr>
        <w:t xml:space="preserve">CE marked medical devices may be placed on the UK market up until the sooner of the expiry of the </w:t>
      </w:r>
      <w:r>
        <w:rPr>
          <w:rFonts w:ascii="Times New Roman;serif" w:hAnsi="Times New Roman;serif"/>
          <w:color w:val="000000"/>
          <w:sz w:val="20"/>
        </w:rPr>
        <w:t xml:space="preserve">Certificate of Conformity </w:t>
      </w:r>
      <w:r>
        <w:rPr>
          <w:rFonts w:ascii="Times New Roman;serif" w:hAnsi="Times New Roman;serif"/>
          <w:sz w:val="20"/>
        </w:rPr>
        <w:t xml:space="preserve">or June 30, 2028. After this date, manufacturers will need UKCA marking to place medical devices on the UK market. Medical devices sold in the UK and EU will need both CE and UKCA marking.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The United Kingdom’s national laws and regulations for medical devices are currently based on retained EU legislation, but may diverge in future. Potentially changing regulatory schemes and tariffs engendered by Brexit may add additional complexity, cost and delays to our UK operations, and in marketing or selling our products in both the United Kingdom and the EEA. Our revenue and profit, supply and demand for our products, and customer retention and acquisition in both the long term and short term could be adversely affected. </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Federal Trade Commission</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We are subject to Federal Trade Commission, or FTC, regulatory oversight.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or injunctions affecting the manner in which Truvaga could be marketed in the future</w:t>
      </w:r>
      <w:r>
        <w:rPr>
          <w:rFonts w:ascii="times new roman;times" w:hAnsi="times new roman;times"/>
          <w:sz w:val="20"/>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Other Regulations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also be subject to healthcare fraud and abuse regulation in the jurisdictions in which we conduct our business. These laws include, without limitation, applicable anti-kickback, false claims, transparency and patient privacy and security laws and regulations.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Advertising and Promotion</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Advertising and promotion of medical devices, in addition to being regulated by the FDA, are also regulated by the FTC and by federal and state regulatory and enforcement authorities, including the Department of Justice, the Office of Inspector General of the Department of Health and Human Services, and various state attorneys general. Although physicians are permitted to use their medical judgment to use medical devices for indications other than those cleared or approved by the FDA, we may not promote our products for such “off-label” uses and can only market our products for cleared or approved uses. Other companies’ promotional activities for their FDA-regulated products have been the subject of FTC enforcement actions brought under healthcare reimbursement laws and consumer protection statutes. FTC enforcement actions often result in consent decrees that constrain future actions. In addition, under the federal Lanham Act and similar state laws, competitors and others can initiate litigation relating to advertising claims.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Import and Export Requirements</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To import a device, the importer must file an entry notice and bond with the United States Bureau of Customs and Border Protection (CBP). All devices are subject to FDA examination before release from CBP. Any article that appears to be in violation of the FDCA may be refused admission and a notice of detention and hearing may be issued. If the FDA ultimately refuses admission, the CBP may issue a notice for redelivery and, if a company fails to redeliver the goods or otherwise satisfy CBP and the FDA with respect to their disposition, may assess liquidated damages for up to three times the value of the lot. The CBP also imposes its own regulatory requirements on the import of our products, including inspection and possible sanctions for noncompliance.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Human Capital Resources</w:t>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As of February 1, 2025, we emplo</w:t>
      </w:r>
      <w:r>
        <w:rPr>
          <w:rFonts w:ascii="times new roman;times" w:hAnsi="times new roman;times"/>
          <w:color w:val="000000"/>
          <w:sz w:val="20"/>
          <w:shd w:fill="FFFFFF" w:val="clear"/>
        </w:rPr>
        <w:t>yed</w:t>
      </w:r>
      <w:r>
        <w:rPr>
          <w:rFonts w:ascii="times new roman;times" w:hAnsi="times new roman;times"/>
          <w:sz w:val="20"/>
          <w:shd w:fill="FFFFFF" w:val="clear"/>
        </w:rPr>
        <w:t> 73 </w:t>
      </w:r>
      <w:r>
        <w:rPr>
          <w:rFonts w:ascii="times new roman;times" w:hAnsi="times new roman;times"/>
          <w:color w:val="000000"/>
          <w:sz w:val="20"/>
          <w:shd w:fill="FFFFFF" w:val="clear"/>
        </w:rPr>
        <w:t>full</w:t>
      </w:r>
      <w:r>
        <w:rPr>
          <w:rFonts w:ascii="times new roman;times" w:hAnsi="times new roman;times"/>
          <w:color w:val="000000"/>
          <w:sz w:val="20"/>
        </w:rPr>
        <w:t>-time employees in the US and abroad. None of our employees are represented by a labor union or covered by a collective bargaining agreement. We consider our relationship with our employees to be good.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believe our success depends on our ability to attract, develop and retain key personnel. The skills, experience and industry knowledge of key employees significantly benefit our operations and performance. Our board of directors and management oversee various employee initiatives. New employees are provided industry-relevant compliance training and are introduced to our Code of Business Conduct and Ethics to which all employees are required to annually confirm compliance.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Employee health and safety in the workplace is one of our core values.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Company History</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electroCore, Inc. was founded in 2005 as a limited liability company, which converted into a Delaware corporation pursuant to a statutory conversion effective June 21, 2018. The Company is</w:t>
      </w:r>
      <w:r>
        <w:rPr>
          <w:rFonts w:ascii="times new roman;times" w:hAnsi="times new roman;times"/>
          <w:color w:val="000000"/>
          <w:spacing w:val="-1"/>
          <w:sz w:val="20"/>
        </w:rPr>
        <w:t xml:space="preserve"> headquartered in New Jersey and has two wholly owned subsidiaries: electroCore UK Ltd. and electroCore Germany GmbH. The Company has ceased its operations in Germany, although sales to Germany are still supported by electroCore UK Ltd.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Our primary Internet website address is www.electrocore.com. We also maintain websites at </w:t>
      </w:r>
      <w:r>
        <w:rPr>
          <w:rFonts w:ascii="times new roman;times" w:hAnsi="times new roman;times"/>
          <w:sz w:val="20"/>
        </w:rPr>
        <w:t>www.gammacore.com</w:t>
      </w:r>
      <w:r>
        <w:rPr>
          <w:rFonts w:ascii="times new roman;times" w:hAnsi="times new roman;times"/>
          <w:color w:val="000000"/>
          <w:sz w:val="20"/>
        </w:rPr>
        <w:t>, www.gammacore.co.uk, </w:t>
      </w:r>
      <w:r>
        <w:rPr>
          <w:rFonts w:ascii="times new roman;times" w:hAnsi="times new roman;times"/>
          <w:sz w:val="20"/>
        </w:rPr>
        <w:t>www.truvaga.com, and www.tac-stim.com</w:t>
      </w:r>
      <w:r>
        <w:rPr>
          <w:rFonts w:ascii="times new roman;times" w:hAnsi="times new roman;times"/>
          <w:color w:val="000000"/>
          <w:sz w:val="20"/>
        </w:rPr>
        <w:t>. The content reflected on our websites is not incorporated by reference herein unless expressly noted.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Available Information</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annual reports on Form 10-K, quarterly reports on Form 10-Q and current reports on Form 8-K and proxy statements, and all amendments thereto, are available free of charge on our Internet website. These reports are posted on our website as soon as reasonably practicable after such reports are electronically filed with the SEC. The public may read and copy any materials that we file with the SEC electronically through the SEC website (www.sec.gov). The information contained on the SEC’s website is not incorporated by reference into this Form 10-K and should not be considered to be part of this Form 10-K. Within the Investors section of our website, we provide information concerning corporate governance, including our Corporate Governance Guidelines, board committee charters, Code of Conduct and other information. A copy of the Code of Conduct may be provided to any person without charge upon written request to: electroCore, Inc., Attn: Corporate Secretary, 200 Forge Way, Suite 205, Rockaway, NJ 07866. The content reflected on any website reflected in this Form 10-K is not incorporated by reference herein unless expressly noted.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120" w:after="283"/>
        <w:ind w:left="0" w:right="0" w:hanging="0"/>
        <w:jc w:val="left"/>
        <w:rPr/>
      </w:pPr>
      <w:r>
        <w:rPr>
          <w:rFonts w:ascii="times new roman;times" w:hAnsi="times new roman;times"/>
          <w:b/>
          <w:sz w:val="20"/>
        </w:rPr>
        <w:t xml:space="preserve">Item </w:t>
      </w:r>
      <w:r>
        <w:rPr>
          <w:rFonts w:ascii="times new roman;times" w:hAnsi="times new roman;times"/>
          <w:sz w:val="20"/>
        </w:rPr>
        <w:t>1</w:t>
      </w:r>
      <w:r>
        <w:rPr>
          <w:rFonts w:ascii="times new roman;times" w:hAnsi="times new roman;times"/>
          <w:b/>
          <w:sz w:val="20"/>
        </w:rPr>
        <w:t xml:space="preserve">A. </w:t>
      </w:r>
      <w:hyperlink w:anchor="TOC">
        <w:bookmarkStart w:id="51" w:name="BRisk_Factors_DLDQ3JO1W00000000000000000"/>
        <w:bookmarkEnd w:id="51"/>
        <w:r>
          <w:rPr>
            <w:rStyle w:val="InternetLink"/>
            <w:rFonts w:ascii="times new roman;times" w:hAnsi="times new roman;times"/>
            <w:b/>
            <w:strike w:val="false"/>
            <w:dstrike w:val="false"/>
            <w:color w:val="000000"/>
            <w:sz w:val="20"/>
            <w:u w:val="none"/>
            <w:effect w:val="none"/>
          </w:rPr>
          <w:t>Risk Factors.</w:t>
        </w:r>
      </w:hyperlink>
    </w:p>
    <w:p>
      <w:pPr>
        <w:pStyle w:val="TextBody"/>
        <w:bidi w:val="0"/>
        <w:spacing w:lineRule="auto" w:line="288"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RISK FACTORS</w:t>
      </w:r>
    </w:p>
    <w:p>
      <w:pPr>
        <w:pStyle w:val="TextBody"/>
        <w:bidi w:val="0"/>
        <w:spacing w:lineRule="auto" w:line="288" w:before="0" w:after="0"/>
        <w:ind w:left="0" w:right="0" w:hanging="0"/>
        <w:jc w:val="left"/>
        <w:rPr>
          <w:color w:val="000000"/>
        </w:rPr>
      </w:pPr>
      <w:r>
        <w:rPr>
          <w:color w:val="000000"/>
        </w:rPr>
        <w:t>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You should carefully consider the following risk factors, in addition to the other information in this Annual Report, including the section of this Annual Report titled “Management’s Discussion and Analysis of Financial Condition and Results of Operations” and our financial statements and related notes. If any of the events described in the following risk factors and the risks described elsewhere in this Annual Report occur, our business, operating results, and financial condition could be seriously harmed. This Annual Report also contains forward-looking statements that involve risks and uncertainties. Our actual results could differ materially from those anticipated in the forward-looking statements as a result of factors that are described below and elsewhere in this Annual Report.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 Related to our Financial Position, Operating Results and Need for Additional Capital</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be required to obtain additional funds in the future, and these funds may not be available on acceptable terms or at all.</w:t>
      </w:r>
    </w:p>
    <w:p>
      <w:pPr>
        <w:pStyle w:val="TextBody"/>
        <w:bidi w:val="0"/>
        <w:spacing w:lineRule="auto" w:line="288" w:before="240" w:after="240"/>
        <w:ind w:left="0" w:right="0" w:hanging="0"/>
        <w:jc w:val="left"/>
        <w:rPr>
          <w:rFonts w:ascii="times new roman;times" w:hAnsi="times new roman;times"/>
          <w:sz w:val="20"/>
        </w:rPr>
      </w:pPr>
      <w:r>
        <w:rPr>
          <w:rFonts w:ascii="Times New Roman;serif" w:hAnsi="Times New Roman;serif"/>
          <w:sz w:val="20"/>
        </w:rPr>
        <w:t xml:space="preserve">Our operations have consumed substantial amounts of cash since inception. We believe that our growth will depend, in part, on our ability to fund our commercial efforts for our </w:t>
      </w:r>
      <w:r>
        <w:rPr>
          <w:rFonts w:ascii="times new roman;times" w:hAnsi="times new roman;times"/>
          <w:sz w:val="20"/>
        </w:rPr>
        <w:t xml:space="preserve">nVNS </w:t>
      </w:r>
      <w:r>
        <w:rPr>
          <w:rFonts w:ascii="Times New Roman;serif" w:hAnsi="Times New Roman;serif"/>
          <w:sz w:val="20"/>
        </w:rPr>
        <w:t xml:space="preserve">platform technology, including opportunistically pursuing research and development activities for additional indications for our </w:t>
      </w:r>
      <w:r>
        <w:rPr>
          <w:rFonts w:ascii="times new roman;times" w:hAnsi="times new roman;times"/>
          <w:sz w:val="20"/>
        </w:rPr>
        <w:t xml:space="preserve">gammaCore </w:t>
      </w:r>
      <w:r>
        <w:rPr>
          <w:rFonts w:ascii="Times New Roman;serif" w:hAnsi="Times New Roman;serif"/>
          <w:sz w:val="20"/>
        </w:rPr>
        <w:t xml:space="preserve">therapy, as well as our ability to invest in programs to commercialize our general wellness and human performance products. If our revenue continues to grow, it is likely we will have increased working capital needs in connection with increased inventory purchases and accounts receivable. Our ability to collect our accounts receivable on a timely basis is dependent on the intent and ability of our customers to pay on a timely basis. There is no assurance that we will have sufficient cash flow and liquidity to fund our planned activities. As a result, we may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Changes, including those relating to the </w:t>
      </w:r>
      <w:r>
        <w:rPr>
          <w:rFonts w:ascii="times new roman;times" w:hAnsi="times new roman;times"/>
          <w:sz w:val="20"/>
        </w:rPr>
        <w:t xml:space="preserve">payor </w:t>
      </w:r>
      <w:r>
        <w:rPr>
          <w:rFonts w:ascii="Times New Roman;serif" w:hAnsi="Times New Roman;serif"/>
          <w:sz w:val="20"/>
        </w:rPr>
        <w:t>and competitive landscape, our commercialization strategy, our development activities, our government contracting mechanisms, and regulatory matters, may occur beyond our control that would cause us to consume our available capital more quickly. Our future capital requirements will depend on many factors, including:</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outcome, timing of, and costs involved with negotiating, obtaining, maintaining, and enhancing </w:t>
            </w:r>
            <w:r>
              <w:rPr>
                <w:rFonts w:ascii="times new roman;times" w:hAnsi="times new roman;times"/>
                <w:sz w:val="20"/>
              </w:rPr>
              <w:t>payor</w:t>
            </w:r>
            <w:r>
              <w:rPr>
                <w:rFonts w:ascii="times new roman;times" w:hAnsi="times new roman;times"/>
                <w:color w:val="000000"/>
                <w:spacing w:val="0"/>
                <w:sz w:val="20"/>
              </w:rPr>
              <w:t> </w:t>
            </w:r>
            <w:r>
              <w:rPr>
                <w:rFonts w:ascii="times new roman;times" w:hAnsi="times new roman;times"/>
                <w:b w:val="false"/>
                <w:color w:val="000000"/>
                <w:spacing w:val="0"/>
                <w:sz w:val="20"/>
              </w:rPr>
              <w:t>coverage;</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bidi w:val="0"/>
              <w:spacing w:before="0" w:after="283"/>
              <w:jc w:val="left"/>
              <w:rPr/>
            </w:pPr>
            <w:r>
              <w:rPr/>
              <w:t>the outcome, timing of, and costs involved with negotiating, obtaining, maintaining government procurement mechanisms;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outcome, timing of, and costs involved with our plan to potentially expand our direct-to-consumer, cash-pay business channel;</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scope and timing of our investment in our U.S. and UK commercial infrastructure and sales force;</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of commercialization activities including sales, marketing, manufacturing and distribution;</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incurred in defending against pending securities class-action litigations and other potential litigation, as well as the costs of any potential judgements or settlements;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degree and rate of </w:t>
            </w:r>
            <w:r>
              <w:rPr>
                <w:rFonts w:ascii="times new roman;times" w:hAnsi="times new roman;times"/>
                <w:sz w:val="20"/>
              </w:rPr>
              <w:t>payor</w:t>
            </w:r>
            <w:r>
              <w:rPr>
                <w:rFonts w:ascii="times new roman;times" w:hAnsi="times new roman;times"/>
                <w:b w:val="false"/>
                <w:color w:val="000000"/>
                <w:spacing w:val="0"/>
                <w:sz w:val="20"/>
              </w:rPr>
              <w:t>, physician, patient, and market acceptance of our 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degree and rate of consumer adoption of our non-prescription, general wellness product offerings;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sz w:val="20"/>
              </w:rPr>
            </w:pPr>
            <w:r>
              <w:rPr>
                <w:rFonts w:ascii="times new roman;times" w:hAnsi="times new roman;times"/>
                <w:b w:val="false"/>
                <w:color w:val="000000"/>
                <w:spacing w:val="0"/>
                <w:sz w:val="20"/>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w:t>
            </w:r>
            <w:r>
              <w:rPr>
                <w:rFonts w:ascii="times new roman;times" w:hAnsi="times new roman;times"/>
                <w:color w:val="000000"/>
                <w:spacing w:val="0"/>
                <w:sz w:val="20"/>
              </w:rPr>
              <w:t> </w:t>
            </w:r>
            <w:r>
              <w:rPr>
                <w:rFonts w:ascii="times new roman;times" w:hAnsi="times new roman;times"/>
                <w:b w:val="false"/>
                <w:color w:val="000000"/>
                <w:spacing w:val="0"/>
                <w:sz w:val="20"/>
              </w:rPr>
              <w:t>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 than we currently expect;</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research and development activities we may undertake to expand our headache indications and enhancements to our 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of filing, prosecuting, defending, and enforcing any patent claims and other intellectual property rights;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need for us and third parties, including </w:t>
            </w:r>
            <w:r>
              <w:rPr>
                <w:rFonts w:ascii="times new roman;times" w:hAnsi="times new roman;times"/>
                <w:sz w:val="20"/>
              </w:rPr>
              <w:t>payors</w:t>
            </w:r>
            <w:r>
              <w:rPr>
                <w:rFonts w:ascii="times new roman;times" w:hAnsi="times new roman;times"/>
                <w:color w:val="000000"/>
                <w:spacing w:val="0"/>
                <w:sz w:val="20"/>
              </w:rPr>
              <w:t> </w:t>
            </w:r>
            <w:r>
              <w:rPr>
                <w:rFonts w:ascii="times new roman;times" w:hAnsi="times new roman;times"/>
                <w:b w:val="false"/>
                <w:color w:val="000000"/>
                <w:spacing w:val="0"/>
                <w:sz w:val="20"/>
              </w:rPr>
              <w:t>and service providers, to potentially implement new or revised policies, infrastructure, and internal systems;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lead times, order quantities, and payment terms needed to purchase inventory;</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our ability to collect accounts receivable on a timely basis;</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our ability to hire additional personnel to support our various functions and operations; and</w:t>
            </w:r>
          </w:p>
        </w:tc>
      </w:tr>
      <w:tr>
        <w:trPr/>
        <w:tc>
          <w:tcPr>
            <w:tcW w:w="110"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009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emergence and acceptance of competing therapies or other adverse market developments.</w:t>
            </w:r>
          </w:p>
        </w:tc>
      </w:tr>
    </w:tbl>
    <w:p>
      <w:pPr>
        <w:pStyle w:val="TextBody"/>
        <w:bidi w:val="0"/>
        <w:spacing w:lineRule="auto" w:line="288" w:before="0" w:after="0"/>
        <w:ind w:left="0" w:right="0" w:hanging="0"/>
        <w:jc w:val="left"/>
        <w:rPr>
          <w:sz w:val="20"/>
        </w:rPr>
      </w:pPr>
      <w:r>
        <w:rPr>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200" w:after="0"/>
        <w:ind w:left="0" w:right="0" w:hanging="0"/>
        <w:jc w:val="left"/>
        <w:rPr>
          <w:color w:val="000000"/>
          <w:shd w:fill="FFFFFF" w:val="clear"/>
        </w:rPr>
      </w:pPr>
      <w:r>
        <w:rPr>
          <w:color w:val="000000"/>
          <w:shd w:fill="FFFFFF" w:val="clear"/>
        </w:rPr>
        <w:t> </w:t>
      </w:r>
    </w:p>
    <w:p>
      <w:pPr>
        <w:pStyle w:val="TextBody"/>
        <w:widowControl/>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b w:val="false"/>
          <w:i w:val="false"/>
          <w:caps w:val="false"/>
          <w:smallCaps w:val="false"/>
          <w:color w:val="000000"/>
          <w:spacing w:val="0"/>
          <w:sz w:val="20"/>
          <w:shd w:fill="FFFFFF" w:val="clear"/>
        </w:rPr>
        <w:t>To finance our activities, we may seek funds through borrowings or through additional rounds of financing, including public or private equity or debt offerings and collaborative arrangements with corporate partners. We may be unable to raise funds on favorable terms, if at all. On November 29, 2024, we entered into an At The Market Offering Agreement (the "Sales Agreement") with H.C. Wainwright &amp; Co., LLC ("Wainwright") under which we may offer and sell shares of our common stock from time to time having an aggregate offering price of up to $20,000,000. Our stock price,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w:t>
      </w:r>
      <w:r>
        <w:rPr>
          <w:rFonts w:ascii="times new roman;times" w:hAnsi="times new roman;times"/>
          <w:caps w:val="false"/>
          <w:smallCaps w:val="false"/>
          <w:color w:val="000000"/>
          <w:spacing w:val="0"/>
          <w:sz w:val="20"/>
          <w:shd w:fill="FFFFFF" w:val="clear"/>
        </w:rPr>
        <w:t> </w:t>
      </w:r>
      <w:r>
        <w:rPr>
          <w:rFonts w:ascii="times new roman;times" w:hAnsi="times new roman;times"/>
          <w:b w:val="false"/>
          <w:i w:val="false"/>
          <w:caps w:val="false"/>
          <w:smallCaps w:val="false"/>
          <w:color w:val="000000"/>
          <w:spacing w:val="0"/>
          <w:sz w:val="20"/>
          <w:shd w:fill="FFFFFF" w:val="clear"/>
        </w:rPr>
        <w:t>Nasdaq</w:t>
      </w:r>
      <w:r>
        <w:rPr>
          <w:rFonts w:ascii="times new roman;times" w:hAnsi="times new roman;times"/>
          <w:caps w:val="false"/>
          <w:smallCaps w:val="false"/>
          <w:color w:val="000000"/>
          <w:spacing w:val="0"/>
          <w:sz w:val="20"/>
          <w:shd w:fill="FFFFFF" w:val="clear"/>
        </w:rPr>
        <w:t> </w:t>
      </w:r>
      <w:r>
        <w:rPr>
          <w:rFonts w:ascii="times new roman;times" w:hAnsi="times new roman;times"/>
          <w:b w:val="false"/>
          <w:i w:val="false"/>
          <w:caps w:val="false"/>
          <w:smallCaps w:val="false"/>
          <w:color w:val="000000"/>
          <w:spacing w:val="0"/>
          <w:sz w:val="20"/>
          <w:shd w:fill="FFFFFF" w:val="clear"/>
        </w:rPr>
        <w:t>Stock Market.</w:t>
      </w:r>
    </w:p>
    <w:p>
      <w:pPr>
        <w:pStyle w:val="TextBody"/>
        <w:widowControl/>
        <w:shd w:fill="FFFFFF" w:val="clear"/>
        <w:bidi w:val="0"/>
        <w:spacing w:lineRule="auto" w:line="288" w:before="200" w:after="0"/>
        <w:ind w:left="0" w:right="0" w:hanging="0"/>
        <w:jc w:val="left"/>
        <w:rPr>
          <w:rFonts w:ascii="times new roman;times" w:hAnsi="times new roman;times"/>
          <w:b w:val="false"/>
          <w:i w:val="false"/>
          <w:caps w:val="false"/>
          <w:smallCaps w:val="false"/>
          <w:color w:val="000000"/>
          <w:spacing w:val="0"/>
          <w:sz w:val="20"/>
          <w:shd w:fill="FFFFFF" w:val="clear"/>
        </w:rPr>
      </w:pPr>
      <w:r>
        <w:rPr>
          <w:rFonts w:ascii="times new roman;times" w:hAnsi="times new roman;times"/>
          <w:b w:val="false"/>
          <w:i w:val="false"/>
          <w:caps w:val="false"/>
          <w:smallCaps w:val="false"/>
          <w:color w:val="000000"/>
          <w:spacing w:val="0"/>
          <w:sz w:val="20"/>
          <w:shd w:fill="FFFFFF" w:val="clear"/>
        </w:rPr>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Our lack of consistent sufficient liquidity could make it more difficult for us to secure additional financing terms acceptable to us, if at all, and may materially and adversely affect the terms of any financing that we may obtain and our stock price generally. Our ability to continue our operations depends upon, among other things, our ability to increase revenue, reduce operating expenses, and obtain additional funding through the sale of equity and/or debt securities, debt financing, strategic transactions, or otherwise. However, there are significant risks and uncertainties as to our ability to achieve these goals or to obtain required funding on commercially reasonable terms or at all, including as a result of the potential adverse impact on our business from macro-economic conditions. There can be no assurance that we will have sufficient cash flow and liquidity to fund our planned activities, which could force us to significantly reduce or curtail our activities and ultimately potentially cease operations.</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and we may be unable to compete effectively, and the growth of our business would be materially and adversely harmed.</w:t>
      </w:r>
    </w:p>
    <w:p>
      <w:pPr>
        <w:pStyle w:val="TextBody"/>
        <w:shd w:fill="FFFFFF" w:val="clear"/>
        <w:bidi w:val="0"/>
        <w:spacing w:lineRule="auto" w:line="288" w:before="24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launched new cash pay initiatives, including our gConcierge and gCDirect programs, as well as our direct-to-consumer business channel and patients, providers or consumers may be slow to adopt these programs or their pricing which could adversely impact our business and financial results.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We currently have a cash-pay business channel for our prescription gConcierge and gCDirect programs and direct-to-consumer business channel through our ecommerce websites. We intend to expand our direct-to-consumer business channel by continuing to increase our advertising and promotional activities in 2025. This will require significant investment and expansion of our sales and marketing capabilities and further development by us relating to this business channel. We have limited experience with scaling and commercializing a direct-to-consumer cash-pay business channel in the United States and abroad, which may impact our ability to rely on this channel as a positive source of revenue. If we are unsuccessful in executing our commercialization efforts in our direct-to consumer business channel and do not achieve the sales levels that we reasonably anticipate to materialize in light of current planning and forecasting, we will be unable to recover the investments described above. Additionally, there is a risk that potentially lower pricing of our therapy in the direct-to-consumer cash-pay business channel could lead to lower pricing and reimbursement in our legacy business channels and, therefore, this risk could have an adverse impact on our financial position and results of operations as well as heighten our need to obtain additional financial capital to support our business projects.</w:t>
      </w:r>
      <w:r>
        <w:rPr>
          <w:rFonts w:ascii="Times New Roman;serif" w:hAnsi="Times New Roman;serif"/>
          <w:color w:val="000000"/>
          <w:sz w:val="20"/>
          <w:shd w:fill="FFFFFF" w:val="clear"/>
        </w:rPr>
        <w:t> </w:t>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third-party payors do not provide adequate coverage and reimbursement for the use of gammaCore, it may affect our ability to generate significant revenues.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Some of our success in marketing and commercializing gammaCore depends, and will continue to depend, on whether U.S. and international government health administrative authorities, private health insurers, and other payor organizations provide adequate coverage and reimbursement for the cost of our products. Many third-party payors do not currently cover nVNS for any indications other than epilepsy because they have determined all other nVNS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data observed in our existing clinical studies, and we cannot provide similar assurance that our current or future published clinical evidence will be sufficient to obtain adequate coverage and reimbursement for gammaCore. Moreover, if we cannot obtain adequate coverage for and reimbursement of the cost of gammaCore, we cannot provide assurance that patients will be willing to incur the full cost of our </w:t>
      </w:r>
      <w:r>
        <w:rPr>
          <w:rFonts w:ascii="times new roman;times" w:hAnsi="times new roman;times"/>
          <w:b w:val="false"/>
          <w:i w:val="false"/>
          <w:caps w:val="false"/>
          <w:smallCaps w:val="false"/>
          <w:color w:val="000000"/>
          <w:spacing w:val="0"/>
          <w:sz w:val="20"/>
          <w:shd w:fill="FFFFFF" w:val="clear"/>
        </w:rPr>
        <w:t>prescription </w:t>
      </w:r>
      <w:r>
        <w:rPr>
          <w:rFonts w:ascii="times new roman;times" w:hAnsi="times new roman;times"/>
          <w:color w:val="000000"/>
          <w:sz w:val="20"/>
          <w:shd w:fill="FFFFFF" w:val="clear"/>
        </w:rPr>
        <w:t xml:space="preserve">gammaCore therapy. Access to adequate coverage and reimbursement by third-party payors for our </w:t>
      </w:r>
      <w:r>
        <w:rPr>
          <w:rFonts w:ascii="times new roman;times" w:hAnsi="times new roman;times"/>
          <w:b w:val="false"/>
          <w:i w:val="false"/>
          <w:caps w:val="false"/>
          <w:smallCaps w:val="false"/>
          <w:color w:val="000000"/>
          <w:spacing w:val="0"/>
          <w:sz w:val="20"/>
          <w:shd w:fill="FFFFFF" w:val="clear"/>
        </w:rPr>
        <w:t>prescription </w:t>
      </w:r>
      <w:r>
        <w:rPr>
          <w:rFonts w:ascii="times new roman;times" w:hAnsi="times new roman;times"/>
          <w:color w:val="000000"/>
          <w:sz w:val="20"/>
          <w:shd w:fill="FFFFFF" w:val="clear"/>
        </w:rPr>
        <w:t>gammaCore therapy or the willingness of patients to bear the entire cost of our therapy is essential in the acceptance of our gammaCore by physicians, patients, and other customers for our therapy.</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widowControl/>
        <w:shd w:fill="FFFFFF" w:val="clear"/>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shd w:fill="FFFFFF" w:val="clear"/>
        </w:rPr>
        <w:t>Third-party payors, whether foreign or domestic, or governmental or commerci</w:t>
      </w:r>
      <w:r>
        <w:rPr>
          <w:rFonts w:ascii="times new roman;times" w:hAnsi="times new roman;times"/>
          <w:color w:val="000000"/>
          <w:sz w:val="20"/>
        </w:rPr>
        <w:t xml:space="preserve">al, are developing increasingly sophisticated methods of controlling healthcare costs. In addition, in the United States, no uniform policy of coverage and reimbursement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 xml:space="preserve">gammaCore therapy exists among third-party payors. Therefore, coverage and reimbursement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 xml:space="preserve">gammaCore therapy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to each payor separately, with no assurance that coverage and adequate reimbursement will be obtained or maintained if obtained.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w:t>
      </w:r>
    </w:p>
    <w:p>
      <w:pPr>
        <w:pStyle w:val="TextBody"/>
        <w:shd w:fill="FFFFFF" w:val="clear"/>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most markets, there are private insurance systems and government-managed systems. </w:t>
      </w:r>
      <w:r>
        <w:rPr>
          <w:rFonts w:ascii="times new roman;times" w:hAnsi="times new roman;times"/>
          <w:color w:val="000000"/>
          <w:sz w:val="20"/>
        </w:rPr>
        <w:t>If sufficient and timely coverage and reimbursement are not available for our current or future gammaCore products, or if reimbursement rates change, in either the United States or internationally, the demand for our gammaCore product and our revenues would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t>We have a limited history commercializing our nVNS platform technology, including through direct-to-consumer channels, and commercial success is uncertain.</w:t>
      </w:r>
    </w:p>
    <w:p>
      <w:pPr>
        <w:pStyle w:val="TextBody"/>
        <w:widowControl/>
        <w:shd w:fill="FFFFFF" w:val="clear"/>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limited experience engaging in direct-to-consumer commercial activities and limited established relationships with marketing agencies, analytic platforms, and social media following, all of which are becoming increasingly important to direct-to-consumer initiatives. We may be unable to gain broader market acceptance for our nVNS platform technology in our sales channels and markets, including direct-to-consumer channels in the United States or abroad, for a number of reasons, including: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5000" w:type="pct"/>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widowControl/>
              <w:pBdr/>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established competitors with strong relationships with customers, including ecommerce and telehealth platforms, systems, marketing agencies and a critical mass of existing patients;</w:t>
            </w:r>
          </w:p>
        </w:tc>
      </w:tr>
      <w:tr>
        <w:trPr/>
        <w:tc>
          <w:tcPr>
            <w:tcW w:w="210" w:type="dxa"/>
            <w:tcBorders/>
          </w:tcPr>
          <w:p>
            <w:pPr>
              <w:pStyle w:val="TableContents"/>
              <w:widowControl/>
              <w:pBdr/>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limitations in our ability to demonstrate differentiation and advantages of our product compared to our own products and competing products and the relative safety, efficacy and ease of use of our product;</w:t>
            </w:r>
          </w:p>
        </w:tc>
      </w:tr>
      <w:tr>
        <w:trPr/>
        <w:tc>
          <w:tcPr>
            <w:tcW w:w="210" w:type="dxa"/>
            <w:tcBorders/>
          </w:tcPr>
          <w:p>
            <w:pPr>
              <w:pStyle w:val="TableContents"/>
              <w:widowControl/>
              <w:pBdr/>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the limited size of our marketing team and the learning curve required to gain experience selling our product direct-to-consumer;</w:t>
            </w:r>
          </w:p>
        </w:tc>
      </w:tr>
      <w:tr>
        <w:trPr/>
        <w:tc>
          <w:tcPr>
            <w:tcW w:w="210"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limited brand awareness</w:t>
            </w:r>
          </w:p>
        </w:tc>
      </w:tr>
      <w:tr>
        <w:trPr/>
        <w:tc>
          <w:tcPr>
            <w:tcW w:w="210"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insufficient financial or other resources to support our commercialization efforts necessary to reach profitability; and</w:t>
            </w:r>
          </w:p>
        </w:tc>
      </w:tr>
      <w:tr>
        <w:trPr/>
        <w:tc>
          <w:tcPr>
            <w:tcW w:w="210"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995" w:type="dxa"/>
            <w:tcBorders/>
          </w:tcPr>
          <w:p>
            <w:pPr>
              <w:pStyle w:val="TableContents"/>
              <w:bidi w:val="0"/>
              <w:spacing w:before="0" w:after="0"/>
              <w:jc w:val="left"/>
              <w:rPr>
                <w:rFonts w:ascii="times new roman;times" w:hAnsi="times new roman;times"/>
                <w:sz w:val="20"/>
              </w:rPr>
            </w:pPr>
            <w:r>
              <w:rPr>
                <w:rFonts w:ascii="times new roman;times" w:hAnsi="times new roman;times"/>
                <w:sz w:val="20"/>
              </w:rPr>
              <w:t>the introduction and market acceptance of new, more effective or less expensive competing products and technologies in relevant geographic and product markets.</w:t>
            </w:r>
          </w:p>
        </w:tc>
      </w:tr>
    </w:tbl>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We have a limited history commercializing our general wellness and human performance</w:t>
      </w:r>
      <w:r>
        <w:rPr>
          <w:rFonts w:ascii="times new roman;times" w:hAnsi="times new roman;times"/>
          <w:color w:val="000000"/>
          <w:sz w:val="20"/>
        </w:rPr>
        <w:t xml:space="preserve"> </w:t>
      </w:r>
      <w:r>
        <w:rPr>
          <w:rFonts w:ascii="times new roman;times" w:hAnsi="times new roman;times"/>
          <w:b/>
          <w:i/>
          <w:color w:val="000000"/>
          <w:sz w:val="20"/>
        </w:rPr>
        <w:t>products in the United States for which market acceptance and commercial success are uncertain.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small company with a limited history of selling our general wellness and human performance products, we have limited experience engaging in commercial activities and limited established relationships and experience with direct-to-consumer channels and third-party suppliers on whom we depend for the manufacture of our product components. In addition, as a general matter, we may fail to adapt our existing or future technology to patient and customer requirements or emerging treatment standards in our relevant geographic and product markets. New industry standards for the development, manufacture, and marketing of medical devices and general wellness products may evolve in separate ways, and we may not be able to conform to the changes, meet new standards in a timely fashion, or maintain a competitive position in our target marketplace. Moreover, if we face material delays in introducing our products and new technology, we may fail to attract new customers in part due to diminished brand awareness and ineffective implementation of marketing and promotion strategy. Specifically, we may be unable to successfully commercialize our general wellness and human performance products in the United States for a number of reasons, including: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29"/>
        <w:gridCol w:w="184"/>
        <w:gridCol w:w="9892"/>
      </w:tblGrid>
      <w:tr>
        <w:trPr/>
        <w:tc>
          <w:tcPr>
            <w:tcW w:w="129" w:type="dxa"/>
            <w:tcBorders/>
          </w:tcPr>
          <w:p>
            <w:pPr>
              <w:pStyle w:val="TableContents"/>
              <w:pBdr/>
              <w:bidi w:val="0"/>
              <w:spacing w:before="0" w:after="0"/>
              <w:ind w:left="0" w:right="0" w:hanging="0"/>
              <w:jc w:val="both"/>
              <w:rPr/>
            </w:pPr>
            <w:r>
              <w:rPr/>
              <w:t xml:space="preserve">  </w:t>
            </w:r>
          </w:p>
        </w:tc>
        <w:tc>
          <w:tcPr>
            <w:tcW w:w="184" w:type="dxa"/>
            <w:tcBorders/>
          </w:tcPr>
          <w:p>
            <w:pPr>
              <w:pStyle w:val="TableContents"/>
              <w:pBdr/>
              <w:bidi w:val="0"/>
              <w:spacing w:before="0" w:after="0"/>
              <w:ind w:left="0" w:right="0" w:hanging="0"/>
              <w:jc w:val="left"/>
              <w:rPr/>
            </w:pPr>
            <w:r>
              <w:rPr/>
              <w:t xml:space="preserve">• </w:t>
            </w:r>
          </w:p>
        </w:tc>
        <w:tc>
          <w:tcPr>
            <w:tcW w:w="9892" w:type="dxa"/>
            <w:tcBorders/>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established competitors with relatively more mature relationships with their customers and third-party suppliers;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5"/>
        <w:gridCol w:w="146"/>
        <w:gridCol w:w="9964"/>
      </w:tblGrid>
      <w:tr>
        <w:trPr/>
        <w:tc>
          <w:tcPr>
            <w:tcW w:w="95" w:type="dxa"/>
            <w:tcBorders/>
          </w:tcPr>
          <w:p>
            <w:pPr>
              <w:pStyle w:val="TableContents"/>
              <w:bidi w:val="0"/>
              <w:spacing w:before="0" w:after="0"/>
              <w:ind w:left="0" w:right="0" w:hanging="0"/>
              <w:jc w:val="both"/>
              <w:rPr/>
            </w:pPr>
            <w:r>
              <w:rPr/>
              <w:t xml:space="preserve">  </w:t>
            </w:r>
          </w:p>
        </w:tc>
        <w:tc>
          <w:tcPr>
            <w:tcW w:w="146" w:type="dxa"/>
            <w:tcBorders/>
          </w:tcPr>
          <w:p>
            <w:pPr>
              <w:pStyle w:val="TableContents"/>
              <w:bidi w:val="0"/>
              <w:spacing w:before="0" w:after="0"/>
              <w:ind w:left="0" w:right="0" w:hanging="0"/>
              <w:jc w:val="left"/>
              <w:rPr/>
            </w:pPr>
            <w:r>
              <w:rPr/>
              <w:t xml:space="preserve">• </w:t>
            </w:r>
          </w:p>
        </w:tc>
        <w:tc>
          <w:tcPr>
            <w:tcW w:w="9964"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limitations in our ability to demonstrate differentiation and advantages of our product compared to similar, competing products and the relative safety, efficacy and ease of use of our product;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2"/>
        <w:gridCol w:w="150"/>
        <w:gridCol w:w="10033"/>
      </w:tblGrid>
      <w:tr>
        <w:trPr/>
        <w:tc>
          <w:tcPr>
            <w:tcW w:w="22" w:type="dxa"/>
            <w:tcBorders/>
          </w:tcPr>
          <w:p>
            <w:pPr>
              <w:pStyle w:val="TableContents"/>
              <w:bidi w:val="0"/>
              <w:spacing w:before="0" w:after="283"/>
              <w:jc w:val="left"/>
              <w:rPr/>
            </w:pPr>
            <w:r>
              <w:rPr/>
            </w:r>
          </w:p>
        </w:tc>
        <w:tc>
          <w:tcPr>
            <w:tcW w:w="150" w:type="dxa"/>
            <w:tcBorders/>
          </w:tcPr>
          <w:p>
            <w:pPr>
              <w:pStyle w:val="TableContents"/>
              <w:bidi w:val="0"/>
              <w:spacing w:before="0" w:after="0"/>
              <w:ind w:left="0" w:right="0" w:hanging="0"/>
              <w:jc w:val="left"/>
              <w:rPr/>
            </w:pPr>
            <w:r>
              <w:rPr/>
              <w:t xml:space="preserve">• </w:t>
            </w:r>
          </w:p>
        </w:tc>
        <w:tc>
          <w:tcPr>
            <w:tcW w:w="10033"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limited brand awareness of our Truvaga and TAC-STIM brands, which are our two recently launched non-prescription, general wellness and human performance products;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4"/>
        <w:gridCol w:w="233"/>
        <w:gridCol w:w="9808"/>
      </w:tblGrid>
      <w:tr>
        <w:trPr/>
        <w:tc>
          <w:tcPr>
            <w:tcW w:w="164" w:type="dxa"/>
            <w:tcBorders/>
          </w:tcPr>
          <w:p>
            <w:pPr>
              <w:pStyle w:val="TableContents"/>
              <w:bidi w:val="0"/>
              <w:spacing w:before="0" w:after="0"/>
              <w:ind w:left="0" w:right="0" w:hanging="0"/>
              <w:jc w:val="both"/>
              <w:rPr/>
            </w:pPr>
            <w:r>
              <w:rPr/>
              <w:t xml:space="preserve">  </w:t>
            </w:r>
          </w:p>
        </w:tc>
        <w:tc>
          <w:tcPr>
            <w:tcW w:w="233" w:type="dxa"/>
            <w:tcBorders/>
          </w:tcPr>
          <w:p>
            <w:pPr>
              <w:pStyle w:val="TableContents"/>
              <w:bidi w:val="0"/>
              <w:spacing w:before="0" w:after="0"/>
              <w:ind w:left="0" w:right="0" w:hanging="0"/>
              <w:jc w:val="left"/>
              <w:rPr/>
            </w:pPr>
            <w:r>
              <w:rPr/>
              <w:t xml:space="preserve">• </w:t>
            </w:r>
          </w:p>
        </w:tc>
        <w:tc>
          <w:tcPr>
            <w:tcW w:w="9808"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limited size of our marketing budget to assess and increase customer demand levels;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bidi w:val="0"/>
              <w:spacing w:before="0" w:after="0"/>
              <w:ind w:left="0" w:right="0" w:hanging="0"/>
              <w:jc w:val="both"/>
              <w:rPr>
                <w:color w:val="000000"/>
              </w:rPr>
            </w:pPr>
            <w:r>
              <w:rPr>
                <w:color w:val="000000"/>
              </w:rPr>
              <w:t xml:space="preserve">  </w:t>
            </w:r>
          </w:p>
        </w:tc>
        <w:tc>
          <w:tcPr>
            <w:tcW w:w="156" w:type="dxa"/>
            <w:tcBorders/>
          </w:tcPr>
          <w:p>
            <w:pPr>
              <w:pStyle w:val="TableContents"/>
              <w:bidi w:val="0"/>
              <w:spacing w:before="0" w:after="0"/>
              <w:ind w:left="0" w:right="0" w:hanging="0"/>
              <w:jc w:val="left"/>
              <w:rPr>
                <w:color w:val="000000"/>
              </w:rPr>
            </w:pPr>
            <w:r>
              <w:rPr>
                <w:color w:val="000000"/>
              </w:rPr>
              <w:t xml:space="preserve">• </w:t>
            </w:r>
          </w:p>
        </w:tc>
        <w:tc>
          <w:tcPr>
            <w:tcW w:w="994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inability to obtain sufficient supply of the product components for our wellness products from our primary and secondary manufacturers and suppliers;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3"/>
        <w:gridCol w:w="176"/>
        <w:gridCol w:w="9906"/>
      </w:tblGrid>
      <w:tr>
        <w:trPr/>
        <w:tc>
          <w:tcPr>
            <w:tcW w:w="123" w:type="dxa"/>
            <w:tcBorders/>
          </w:tcPr>
          <w:p>
            <w:pPr>
              <w:pStyle w:val="TableContents"/>
              <w:bidi w:val="0"/>
              <w:spacing w:before="0" w:after="0"/>
              <w:ind w:left="0" w:right="0" w:hanging="0"/>
              <w:jc w:val="both"/>
              <w:rPr/>
            </w:pPr>
            <w:r>
              <w:rPr/>
              <w:t xml:space="preserve">  </w:t>
            </w:r>
          </w:p>
        </w:tc>
        <w:tc>
          <w:tcPr>
            <w:tcW w:w="176" w:type="dxa"/>
            <w:tcBorders/>
          </w:tcPr>
          <w:p>
            <w:pPr>
              <w:pStyle w:val="TableContents"/>
              <w:bidi w:val="0"/>
              <w:spacing w:before="0" w:after="0"/>
              <w:ind w:left="0" w:right="0" w:hanging="0"/>
              <w:jc w:val="left"/>
              <w:rPr/>
            </w:pPr>
            <w:r>
              <w:rPr/>
              <w:t xml:space="preserve">• </w:t>
            </w:r>
          </w:p>
        </w:tc>
        <w:tc>
          <w:tcPr>
            <w:tcW w:w="9906"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insufficient financial or other resources to support our commercialization efforts necessary to realize profitability; and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4"/>
        <w:gridCol w:w="165"/>
        <w:gridCol w:w="9926"/>
      </w:tblGrid>
      <w:tr>
        <w:trPr/>
        <w:tc>
          <w:tcPr>
            <w:tcW w:w="114" w:type="dxa"/>
            <w:tcBorders/>
          </w:tcPr>
          <w:p>
            <w:pPr>
              <w:pStyle w:val="TableContents"/>
              <w:bidi w:val="0"/>
              <w:spacing w:before="0" w:after="0"/>
              <w:ind w:left="0" w:right="0" w:hanging="0"/>
              <w:jc w:val="both"/>
              <w:rPr/>
            </w:pPr>
            <w:r>
              <w:rPr/>
              <w:t xml:space="preserve">  </w:t>
            </w:r>
          </w:p>
        </w:tc>
        <w:tc>
          <w:tcPr>
            <w:tcW w:w="165" w:type="dxa"/>
            <w:tcBorders/>
          </w:tcPr>
          <w:p>
            <w:pPr>
              <w:pStyle w:val="TableContents"/>
              <w:bidi w:val="0"/>
              <w:spacing w:before="0" w:after="0"/>
              <w:ind w:left="0" w:right="0" w:hanging="0"/>
              <w:jc w:val="left"/>
              <w:rPr/>
            </w:pPr>
            <w:r>
              <w:rPr/>
              <w:t xml:space="preserve">• </w:t>
            </w:r>
          </w:p>
        </w:tc>
        <w:tc>
          <w:tcPr>
            <w:tcW w:w="9926"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introduction, and market acceptance, of new, relatively more effective, or less expensive, competing products and technologies. </w:t>
            </w:r>
          </w:p>
        </w:tc>
      </w:tr>
    </w:tbl>
    <w:p>
      <w:pPr>
        <w:pStyle w:val="TextBody"/>
        <w:bidi w:val="0"/>
        <w:spacing w:lineRule="auto" w:line="288" w:before="200" w:after="0"/>
        <w:ind w:left="0" w:right="0" w:hanging="0"/>
        <w:jc w:val="left"/>
        <w:rPr>
          <w:rFonts w:ascii="times new roman;times" w:hAnsi="times new roman;times"/>
          <w:sz w:val="20"/>
        </w:rPr>
      </w:pPr>
      <w:r>
        <w:rPr>
          <w:rFonts w:ascii="Times New Roman;serif" w:hAnsi="Times New Roman;serif"/>
          <w:b/>
          <w:i/>
          <w:sz w:val="20"/>
        </w:rPr>
        <w:t>We recently launched our next generation app-enabled consumer wellness product under the brand Truvaga and there can be no assurance that the new product will continue to be well received or adopted, which may impact our financial results.</w:t>
      </w:r>
      <w:r>
        <w:rPr>
          <w:rFonts w:ascii="times new roman;times" w:hAnsi="times new roman;times"/>
          <w:sz w:val="20"/>
        </w:rPr>
        <w:t xml:space="preserve"> </w:t>
      </w:r>
    </w:p>
    <w:p>
      <w:pPr>
        <w:pStyle w:val="TextBody"/>
        <w:shd w:fill="FFFFFF" w:val="clear"/>
        <w:bidi w:val="0"/>
        <w:spacing w:lineRule="atLeast" w:line="240" w:before="200" w:after="0"/>
        <w:ind w:left="0" w:right="0" w:hanging="0"/>
        <w:jc w:val="left"/>
        <w:rPr>
          <w:rFonts w:ascii="Times New Roman;serif" w:hAnsi="Times New Roman;serif"/>
          <w:color w:val="000000"/>
          <w:sz w:val="20"/>
        </w:rPr>
      </w:pPr>
      <w:r>
        <w:rPr>
          <w:rFonts w:ascii="Times New Roman;serif" w:hAnsi="Times New Roman;serif"/>
          <w:color w:val="000000"/>
          <w:sz w:val="20"/>
        </w:rPr>
        <w:t>In April 2024, we launched our next generation app-enabled consumer wellness product with a new form factor that is operated by a companion application. We continue to have limited experience with app-enabled devices which is important to our direct-to-consumer initiatives. Achieving broad market acceptance for app-enabled consumer wellness products in our direct-to-consumer channels in the United States or abroad, for a number of reasons, including:</w:t>
      </w:r>
    </w:p>
    <w:p>
      <w:pPr>
        <w:pStyle w:val="TextBody"/>
        <w:widowControl/>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established competitors with strong relationships with customers, including ecommerce and app-enabled</w:t>
            </w:r>
            <w:r>
              <w:rPr>
                <w:caps w:val="false"/>
                <w:smallCaps w:val="false"/>
                <w:color w:val="000000"/>
                <w:spacing w:val="0"/>
              </w:rPr>
              <w:t> </w:t>
            </w:r>
            <w:r>
              <w:rPr>
                <w:b w:val="false"/>
                <w:i w:val="false"/>
                <w:caps w:val="false"/>
                <w:smallCaps w:val="false"/>
                <w:color w:val="000000"/>
                <w:spacing w:val="0"/>
                <w:sz w:val="20"/>
              </w:rPr>
              <w:t>devices, systems, marketing agencies and a critical mass of existing patients;</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limitations in our ability to demonstrate differentiation and advantages of our product compared to our own</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products and competing products and the relative safety, efficacy and ease of use of our product;</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the limited size of our marketing team and the learning curve required to gain experience selling our </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product direct-to-consumer;</w:t>
            </w:r>
          </w:p>
        </w:tc>
      </w:tr>
    </w:tbl>
    <w:p>
      <w:pPr>
        <w:pStyle w:val="TextBody"/>
        <w:bidi w:val="0"/>
        <w:spacing w:lineRule="auto" w:line="288" w:before="0" w:after="0"/>
        <w:ind w:left="0" w:right="0" w:hanging="0"/>
        <w:jc w:val="both"/>
        <w:rPr/>
      </w:pPr>
      <w:r>
        <w:rPr/>
        <w:t> </w:t>
      </w:r>
    </w:p>
    <w:tbl>
      <w:tblPr>
        <w:tblW w:w="2481" w:type="dxa"/>
        <w:jc w:val="left"/>
        <w:tblInd w:w="0" w:type="dxa"/>
        <w:tblLayout w:type="fixed"/>
        <w:tblCellMar>
          <w:top w:w="28" w:type="dxa"/>
          <w:left w:w="28" w:type="dxa"/>
          <w:bottom w:w="28" w:type="dxa"/>
          <w:right w:w="28" w:type="dxa"/>
        </w:tblCellMar>
      </w:tblPr>
      <w:tblGrid>
        <w:gridCol w:w="124"/>
        <w:gridCol w:w="196"/>
        <w:gridCol w:w="2161"/>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2161" w:type="dxa"/>
            <w:tcBorders/>
            <w:vAlign w:val="center"/>
          </w:tcPr>
          <w:p>
            <w:pPr>
              <w:pStyle w:val="TableContents"/>
              <w:widowControl/>
              <w:bidi w:val="0"/>
              <w:spacing w:before="0" w:after="283"/>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limited brand awareness;</w:t>
            </w:r>
          </w:p>
        </w:tc>
      </w:tr>
    </w:tbl>
    <w:p>
      <w:pPr>
        <w:pStyle w:val="TextBody"/>
        <w:bidi w:val="0"/>
        <w:spacing w:lineRule="auto" w:line="288" w:before="0" w:after="0"/>
        <w:ind w:left="0" w:right="0" w:hanging="0"/>
        <w:jc w:val="both"/>
        <w:rPr/>
      </w:pPr>
      <w:r>
        <w:rPr/>
        <w:t> </w:t>
      </w:r>
    </w:p>
    <w:tbl>
      <w:tblPr>
        <w:tblW w:w="9906" w:type="dxa"/>
        <w:jc w:val="left"/>
        <w:tblInd w:w="0" w:type="dxa"/>
        <w:tblLayout w:type="fixed"/>
        <w:tblCellMar>
          <w:top w:w="28" w:type="dxa"/>
          <w:left w:w="28" w:type="dxa"/>
          <w:bottom w:w="28" w:type="dxa"/>
          <w:right w:w="28" w:type="dxa"/>
        </w:tblCellMar>
      </w:tblPr>
      <w:tblGrid>
        <w:gridCol w:w="124"/>
        <w:gridCol w:w="196"/>
        <w:gridCol w:w="9586"/>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586"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insufficient financial or other resources to support our commercialization efforts necessary to reach</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profitability; and</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the introduction and market acceptance of new, more effective or less expensive competing products</w:t>
            </w:r>
            <w:r>
              <w:rPr>
                <w:caps w:val="false"/>
                <w:smallCaps w:val="false"/>
                <w:color w:val="000000"/>
                <w:spacing w:val="0"/>
              </w:rPr>
              <w:t> </w:t>
            </w:r>
            <w:r>
              <w:rPr>
                <w:b w:val="false"/>
                <w:i w:val="false"/>
                <w:caps w:val="false"/>
                <w:smallCaps w:val="false"/>
                <w:color w:val="000000"/>
                <w:spacing w:val="0"/>
                <w:sz w:val="20"/>
              </w:rPr>
              <w:t>and technologies in relevant geographic and product markets.</w:t>
            </w:r>
          </w:p>
        </w:tc>
      </w:tr>
    </w:tbl>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serif" w:hAnsi="Times New Roman;serif"/>
          <w:sz w:val="24"/>
        </w:rPr>
      </w:pPr>
      <w:r>
        <w:rPr>
          <w:rFonts w:ascii="Times New Roman;serif" w:hAnsi="Times New Roman;serif"/>
          <w:b/>
          <w:i/>
          <w:color w:val="000000"/>
          <w:sz w:val="20"/>
        </w:rPr>
        <w:t>Our next generation app-enabled consumer wellness product</w:t>
      </w:r>
      <w:r>
        <w:rPr>
          <w:rFonts w:ascii="Times New Roman;serif" w:hAnsi="Times New Roman;serif"/>
          <w:color w:val="000000"/>
          <w:sz w:val="24"/>
        </w:rPr>
        <w:t xml:space="preserve"> </w:t>
      </w:r>
      <w:r>
        <w:rPr>
          <w:rFonts w:ascii="Times New Roman;serif" w:hAnsi="Times New Roman;serif"/>
          <w:b/>
          <w:i/>
          <w:color w:val="000000"/>
          <w:sz w:val="20"/>
        </w:rPr>
        <w:t>may require modifications and improvements, which may cause added expense and negatively impact our financial results.</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If our next generation app-enabled consumer wellness product is not well received, we may need to make modifications or improvements including software updates, which may require additional research and development expense, or stop selling the new device all together which would negatively impact our financial results. Undiscovered vulnerabilities in our app-enabled wellness product could expose us or consumers to hackers or other unscrupulous third parties who develop and deploy viruses and other malicious software programs that could attack our products. Actual or perceived security vulnerabilities in our products could harm our reputation and lead some customers to return products, to reduce or delay future purchases, or use competing products. In addition, to the extent a competitor were to develop app-software that competes with ours, customers may choose not to purchase our wellness product. </w:t>
      </w:r>
    </w:p>
    <w:p>
      <w:pPr>
        <w:pStyle w:val="TextBody"/>
        <w:shd w:fill="FFFFFF" w:val="clear"/>
        <w:bidi w:val="0"/>
        <w:spacing w:lineRule="atLeast" w:line="240"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bidi w:val="0"/>
        <w:spacing w:lineRule="auto" w:line="288" w:before="200" w:after="0"/>
        <w:jc w:val="left"/>
        <w:rPr/>
      </w:pPr>
      <w:r>
        <w:rPr/>
      </w:r>
    </w:p>
    <w:p>
      <w:pPr>
        <w:pStyle w:val="TextBody"/>
        <w:bidi w:val="0"/>
        <w:spacing w:lineRule="auto" w:line="288" w:before="200" w:after="0"/>
        <w:jc w:val="left"/>
        <w:rPr/>
      </w:pPr>
      <w:r>
        <w:rPr/>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We generate sales of TAC-STIM branded products to active-duty military and accordingly, military budgetary cuts or government strikes could negatively impact our financial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recently launched our TAC-STIM branded products for human performance within the active-duty military channel. Funding for purchases of TAC-STIM product is subject to governmental budgetary decisions and any spending cuts or government policies may negatively impact the timing or amounts of sales to these customers, which could result in lost sales and harm our business and operation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Unfavorable global economic conditions and government regulations could adversely affect our business, financial condition or results of operations.</w:t>
      </w:r>
    </w:p>
    <w:p>
      <w:pPr>
        <w:pStyle w:val="TextBody"/>
        <w:bidi w:val="0"/>
        <w:spacing w:lineRule="atLeast" w:line="240" w:before="200" w:after="0"/>
        <w:ind w:left="0" w:right="0" w:hanging="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Our results of operations could be adversely affected by general conditions in the global economy and in the global financial markets. Factors such as geopolitical events (including the ongoing wars in Ukraine and Israel), inflationary pressures, public health crises, and U.S. election cycles, and changes in government administration and policies have caused extreme volatility and disruptions in the capital and credit markets in recent years. Uncertainty or unfavorable global economic conditions could result in a variety of impacts to our business, including weakening demand for our Inspire system,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services. Further, the Trump administration has proposed or enacted tariffs and substantial changes to trade policies, which could adversely affect our business. For example, the Trump administration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 cannot anticipate all of the ways in which the economic climate and financial market conditions could adversely affect our business. There is also uncertainty surrounding potential changes to the healthcare regulatory environment in the United States, and it is not possible to predict how these changes may be implemented, and the ultimate effects of such changes on our business. In addition, the U.S. federal government and other governments may reduce funding for health care or other programs or make changes that adversely affect the number of persons eligible for certain programs, the services provided to enrollees in such programs and premiums we can charge. The levels of U.S. federal government spending are difficult to predict and are subject to significant risk. Considerable uncertainty exists regarding how future budget and program decisions will unfold, including the spending priorities of the new presidential administration and Congress, and what challenges budget reductions, if any, will present for our business and our industry generally. For example, on January 20, 2025, President Trump established by executive order the U.S. DOGE Service Temporary Organization ("DOGE") to reform federal government processes and reduce expenditures, and on February 5, 2025, the Centers for Medicare &amp; Medicaid Services, or CMS, announced that it is collaborating with DOGE to determine where there may be opportunities for more effective and efficient use of resources. Further, there are reports that the administration is exploring and implementing policies which may put limits on, or freeze, credit card spending by government employees on behalf of government agencies, which could adversely affect our business with the VA. Additionally, the Trump administration took several Executive Actions, including the issuance of a number of Executive Orders, that imposed significant burdens on, or otherwise materially delayed, the FDA’s ability to engage in routine oversight activities, such as implementing statutes through rulemaking, issuance of guidance, and review and approval of marketing applications. It is difficult to predict whether or how these orders will be rescinded and replaced under the current or future administrations.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lineRule="auto" w:line="288" w:before="200" w:after="0"/>
        <w:jc w:val="left"/>
        <w:rPr/>
      </w:pPr>
      <w:r>
        <w:rPr/>
      </w:r>
    </w:p>
    <w:p>
      <w:pPr>
        <w:pStyle w:val="TextBody"/>
        <w:bidi w:val="0"/>
        <w:spacing w:lineRule="auto" w:line="288" w:before="20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have limited operating experience at our current scale of operations. If we are unable to manage our growth effectively, our brand, company culture, and financial performance may suffer.</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Implementation of our growth strategy for our gammaCore, general wellness and human performance products may require greater overall planned capital expenditures, and we cannot guarantee that any such increased expenditures will bring forth corresponding, offsetting revenue growth. Because we have a relatively limited history operating our business at its current and evolving scale, it is difficult for us to evaluate our present and future business prospects, including our ability to plan for, and model, future growth scenarios. Our limited operating experience at this scale, combined with the rapidly evolving customer demand and other market structure properties of the health and general wellness geographic and product markets in which we operate and other economic factors beyond our control, reduces our ability to accurately forecast quarterly or annual revenue. In particular, our ability to accurately forecast customer demand could be affected by myriad factors, including, without limitation, changes in customer demand levels for our products, changes in demand levels for the products of our competitors, the relative pace of acceptance of personalized health and general wellness recommendations, unanticipated weakening of various macroeconomic conditions, and capricious shifts in consumer confidence in future macroeconomic stability and/or the public capital markets. Failure to manage our future growth plans effectively could have an adverse effect on our financial condition and operating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r>
      <w:r>
        <w:rPr>
          <w:rFonts w:ascii="times new roman;times" w:hAnsi="times new roman;times"/>
          <w:b/>
          <w:i/>
          <w:sz w:val="20"/>
        </w:rPr>
        <w:t>Any significant disruption to our ecommerce business could result in lost sales.</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We launched new cash pay initiatives for our Truvaga consumer product and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sz w:val="20"/>
        </w:rPr>
        <w:t>gammaCore therapy, including our ecommerce websites in both the United States and United Kingdom. Online sales are subject to a number of risks. System interruptions or delays could cause potential patients to fail to purchase our products, harming our brands. Operating our direct-to-consumer ecommerce business depends on our ability to maintain the efficient and uninterrupted administration of online prescription generation, order-taking, and fulfillment activities. Our ecommerce operations subject us to certain risks that could have an adverse effect on our operating results, including risks related to the computer systems that operate our website and related support systems, such as system failures, viruses, denial of service attacks, computer hackers, data privacy breaches, and other disruptions. If we are unable to continually add software and hardware, effectively upgrade our systems and network infrastructure, and take other steps to improve the efficiency and efficacy of our systems, system interruptions or delays could occur that would adversely affect our operating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We utilize third-party vendors for our customer-facing ecommerce technology, portions of our prescription generation, order management system, and fulfillment internationally. We depend on our technology vendors to manage “up-time” of the front-end ecommerce store, manage regulatory control measures around prescriptions, the intake of our orders, and export orders for fulfillment. Any failure on the part of our third-party ecommerce vendors, or in our ability to transition third-party services effectively, could result in lost sales and harm our business.</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are subject to increasing operating costs and inflation risks, which may adversely affect our performance.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While we may attempt to offset potential increases in operating costs through a variety of measures focused on increasing revenues or reducing operating expenses, there is no assurance that we will be able to do so. Therefore, operating costs may rise faster than associated revenues resulting in a material negative impact on our cash flow and margins.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also impacted by inflationary pressures in wages in local and regional labor markets; structural labor market benefits, whether driven by competition for talent or ordinary course pay increases, and other rising costs. Increases in the rate of inflation could also significantly impact our cost base. In all countries in which we operate, wage inflation, whether driven by competition for talent or ordinary course pay increases, may also increase the cost of our cost products and adversely impact our results of operations and financial condition if we are not able to pass those costs on to our patients and consumers or charge premium prices when justified by actual or perceived market demand.</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Moreover, some of our existing or future customers may consider our products and services to be discretionary by nature. Factors affecting the aggregate level of spending for such customers possibly include current macroeconomic conditions, including inflation, consumer confidence in future macroeconomic conditions, fears of recession, the availability and cost of customer credit, rates of employment, and tax rates, which are factors that would adversely impact demand for our products.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bidi w:val="0"/>
        <w:spacing w:lineRule="auto" w:line="288" w:before="200" w:after="0"/>
        <w:jc w:val="left"/>
        <w:rPr/>
      </w:pPr>
      <w:r>
        <w:rPr/>
      </w:r>
    </w:p>
    <w:p>
      <w:pPr>
        <w:pStyle w:val="TextBody"/>
        <w:bidi w:val="0"/>
        <w:spacing w:lineRule="auto" w:line="288" w:before="200" w:after="0"/>
        <w:jc w:val="left"/>
        <w:rPr/>
      </w:pPr>
      <w:r>
        <w:rPr/>
      </w:r>
    </w:p>
    <w:p>
      <w:pPr>
        <w:pStyle w:val="TextBody"/>
        <w:shd w:fill="FFFFFF" w:val="clear"/>
        <w:bidi w:val="0"/>
        <w:spacing w:lineRule="auto" w:line="288" w:before="18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a history of significant losses. If we do not achieve and sustain profitability and positive cash flow from operations, our financial condition could suffer. Our failure to become and remain profitable could negatively impact the results of our operations as well as your investment.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have experienced significant net losses, and we may continue to incur losses for the foreseeable future while we operate our sales and marketing infrastructure, endeavor to increase acceptance of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and develop our general wellness and human performance product line in relevant markets, fund our various research and development activities, and obtain regulatory clearance or approval for other products or indications in the United States and internationally. We have never been profitable and have incurred net losses in each year since our inception.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shd w:fill="FFFFFF" w:val="clear"/>
        </w:rPr>
        <w:t xml:space="preserve">We incurred net losses of $11.9 million and </w:t>
      </w:r>
      <w:r>
        <w:rPr>
          <w:rFonts w:ascii="times new roman;times" w:hAnsi="times new roman;times"/>
          <w:b w:val="false"/>
          <w:i w:val="false"/>
          <w:caps w:val="false"/>
          <w:smallCaps w:val="false"/>
          <w:color w:val="000000"/>
          <w:spacing w:val="0"/>
          <w:sz w:val="20"/>
          <w:shd w:fill="FFFFFF" w:val="clear"/>
        </w:rPr>
        <w:t>$</w:t>
      </w:r>
      <w:r>
        <w:rPr>
          <w:rFonts w:ascii="times new roman;times" w:hAnsi="times new roman;times"/>
          <w:b w:val="false"/>
          <w:i w:val="false"/>
          <w:caps w:val="false"/>
          <w:smallCaps w:val="false"/>
          <w:color w:val="000000"/>
          <w:spacing w:val="0"/>
          <w:sz w:val="20"/>
          <w:shd w:fill="FFFFFF" w:val="clear"/>
        </w:rPr>
        <w:t>18.8</w:t>
      </w:r>
      <w:r>
        <w:rPr>
          <w:rFonts w:ascii="times new roman;times" w:hAnsi="times new roman;times"/>
          <w:color w:val="000000"/>
          <w:sz w:val="20"/>
          <w:shd w:fill="FFFFFF" w:val="clear"/>
        </w:rPr>
        <w:t> million for the year ended December 31, 2024 and 2023, respectively. As of December 31, 2024, our accumulated deficit was $177.1 million. O</w:t>
      </w:r>
      <w:r>
        <w:rPr>
          <w:rFonts w:ascii="times new roman;times" w:hAnsi="times new roman;times"/>
          <w:color w:val="000000"/>
          <w:sz w:val="20"/>
        </w:rPr>
        <w:t>ur prior losses, combined with potential future losses, and may continue to have for the foreseeable future, an adverse effect on our stockholders’ deficit and working capital.</w:t>
      </w:r>
    </w:p>
    <w:p>
      <w:pPr>
        <w:pStyle w:val="TextBody"/>
        <w:bidi w:val="0"/>
        <w:spacing w:lineRule="auto" w:line="288" w:before="200" w:after="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To become and remain profitable, we must </w:t>
      </w:r>
      <w:r>
        <w:rPr>
          <w:rFonts w:ascii="Times New Roman;serif" w:hAnsi="Times New Roman;serif"/>
          <w:sz w:val="20"/>
        </w:rPr>
        <w:t xml:space="preserve">continue to grow </w:t>
      </w:r>
      <w:r>
        <w:rPr>
          <w:rFonts w:ascii="times new roman;times" w:hAnsi="times new roman;times"/>
          <w:sz w:val="20"/>
        </w:rPr>
        <w:t>our nVNS platform technology and identify promising areas of adoption with significant potential in terms of marketability, brand awareness, and product distinguishability, among other business considerations. This will require us to be successful in a range of challenging activities, which may include obtaining adequate coverage and reimbursement from payors; marketing and selling any current and future product candidates for which we may obtain appropriate marketing clearance, approval or authorization; developing commercial-scale manufacturing processes; managing various risks associated with the design, manufacture, marketing, and sale of human performance, general wellness product offerings, including compliance risk stemming from inadequate monitoring and analysis of applicable FDA and other relevant guidance as well as applicable consumer protection laws, rules, and regulations, ineffective initial and periodic assessment of claims and intended uses of such offerings, and inadequate government affairs, regulatory change management, or other corporate compliance functions that typically identify and remediate nonconformance with administrative law requirements, whether U.S. federal, state, or otherwise, and execute regulatory compliance processes more broadly; completing future clinical trials of gammaCore for additional therapeutic indications; obtaining additional marketing clearance, approval, or authorization from applicable regulatory authorities; militating against risk in, and enhancing the measures of cost efficiency in, our manufacturing; satisfying any post-marketing requirements; and developing the marketing and promotional expertise necessary to succeed in an integrative, well-funded direct-to-consumer approach through the sale of our general wellness and human performance product offerings. Because of the numerous risks and uncertainties associated with our commercialization efforts as well as our research and clinical development activities, uncertainly remains around the timing to achieve or maintain profitability. We intend to continue to make targeted investments in building our U.S. and UK commercial infrastructure as we commercialize our nVNS platform technology.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fail to become profitable or are unable to sustain profitability, then we may be unable to continue our operations at planned levels and may be forced to further reduce, or ultimately terminate, our operations. As of December 31, 2024, we had cash, cash equivalents, restricted cash and marketable securities of $12.2 million. There can be no assurance that we will have sufficient cash flow and liquidity to fund our planned activities, which could force us to significantly reduce or curtail our activities and ultimately and potentially cease operations. Our failure to become and remain profitable would decrease the value of our company and could impair our ability to raise capital, maintain our research and development and marketing efforts, and expand our business or continue our operations. Accordingly, a decline in the market value of our company could cause you to lose all or part of your investment.</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must successfully attract, hire, train, and retain qualified professionals to service our direct-to-consumer sales channels, and we must productively deploy our professionals to become profitable.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Identifying, recruiting, hiring, and retaining professionals, including employees, independent contractors, and consultants with diverse skill sets across our broad geography of operations consistent with servicing our existing, new, and evolving sales channels, including direct-to-consumer are critical to our sales strategy. The market for qualified professionals is evolving, dynamic, and increasingly challenging. Our corporate reputation is a significant factor on consumers’ evaluation of whether to buy our products and on potential employees’ evaluation of whether to join our company. If we are unable to recruit skilled professionals, and if we do not deploy those professionals productively, our results of operations may be adversely impacted. We must manage our sales and marketing team well and plan and train for future needs effectively while accurately predicting physician, patient, and consumer demand. We may not be able to retain such talented professionals long-term for a variety of reasons, including their desire to remain as independent content creators rather than full-time employees. If we are unable to attract, hire, train, and retain highly skilled professionals and productively deploy them on our sales and marketing efforts, we will jeopardize our ability to develop ongoing and future sales, which could adversely affect our financial condition and results of operations.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Competition for highly skilled professionals is intense in the markets where we operate, and we may experience significant employee turnover rates due to such competition. If we are unable to retain professionals with specialized skills, our revenues, operating efficiency, and profitability would decrease. Cost reductions, such as reducing headcount, or voluntary departures that result from our failure to retain the professionals we hire, could negatively affect our reputation as an employer and our ability to hire skilled professionals to meet our business requirements. Increased compensation to retain skilled professionals could lead to lower margins or higher costs and price increases that could in turn lead to a general reduction in demand levels for our products.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bidi w:val="0"/>
        <w:spacing w:lineRule="auto" w:line="288" w:before="200" w:after="0"/>
        <w:jc w:val="left"/>
        <w:rPr/>
      </w:pPr>
      <w:r>
        <w:rPr/>
      </w:r>
    </w:p>
    <w:p>
      <w:pPr>
        <w:pStyle w:val="TextBody"/>
        <w:bidi w:val="0"/>
        <w:spacing w:lineRule="auto" w:line="288" w:before="200" w:after="0"/>
        <w:jc w:val="left"/>
        <w:rPr/>
      </w:pPr>
      <w:r>
        <w:rPr/>
      </w:r>
    </w:p>
    <w:p>
      <w:pPr>
        <w:pStyle w:val="TextBody"/>
        <w:widowControl/>
        <w:bidi w:val="0"/>
        <w:spacing w:lineRule="auto" w:line="288" w:before="200" w:after="283"/>
        <w:ind w:left="0" w:right="0" w:hanging="0"/>
        <w:jc w:val="left"/>
        <w:rPr>
          <w:rFonts w:ascii="times new roman;times" w:hAnsi="times new roman;times"/>
          <w:sz w:val="20"/>
        </w:rPr>
      </w:pPr>
      <w:r>
        <w:rPr>
          <w:rFonts w:ascii="times new roman;times" w:hAnsi="times new roman;times"/>
          <w:b w:val="false"/>
          <w:i w:val="false"/>
          <w:caps w:val="false"/>
          <w:smallCaps w:val="false"/>
          <w:color w:val="000000"/>
          <w:spacing w:val="0"/>
          <w:sz w:val="20"/>
        </w:rPr>
        <w:t>Any significant growth in the market for our products and services or our entry into a new market may require an expansion of our employee base for managerial, marketing, operational, financial, and other purposes.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During any period of growth, we may face problems relating to our operational and financial systems and controls, including quality control and delivery and service capacities.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We would also need to continue to expand, train, and manage our employee base.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Continued future growth will impose significant added responsibilities upon the members of management to identify, recruit, maintain, integrate, and motivate new employees.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Our consultants and certain of our sales force are classified as independent contractors, and we can face consequences if it is determined that they are misclassified as such.</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is often uncertainty in the application of worker classification laws, and, consequently, there is risk that our independent contractors could be deemed to be misclassified under applicable law. The tests governing whether a service provider is an independent contractor or an employee are typically highly fact-intensive and vary by jurisdiction. Laws and regulations that govern the status and misclassification of independent contractors are also subject to divergent interpretations by various authorities, which contributes to uncertainty or unpredictability in the law.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in turn adversely impact our business.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If we experience price</w:t>
      </w:r>
      <w:r>
        <w:rPr>
          <w:rFonts w:ascii="times new roman;times" w:hAnsi="times new roman;times"/>
          <w:sz w:val="20"/>
        </w:rPr>
        <w:t xml:space="preserve"> </w:t>
      </w:r>
      <w:r>
        <w:rPr>
          <w:rFonts w:ascii="times new roman;times" w:hAnsi="times new roman;times"/>
          <w:b/>
          <w:i/>
          <w:sz w:val="20"/>
        </w:rPr>
        <w:t>fluctuations</w:t>
      </w:r>
      <w:r>
        <w:rPr>
          <w:rFonts w:ascii="times new roman;times" w:hAnsi="times new roman;times"/>
          <w:sz w:val="20"/>
        </w:rPr>
        <w:t xml:space="preserve"> </w:t>
      </w:r>
      <w:r>
        <w:rPr>
          <w:rFonts w:ascii="times new roman;times" w:hAnsi="times new roman;times"/>
          <w:b/>
          <w:i/>
          <w:sz w:val="20"/>
        </w:rPr>
        <w:t>for our products, and we are unable to reduce our expenses, including the per unit cost of producing our products, there may be a material adverse effect on our business, results of operations, and financial condition.</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anticipate that we will experience price fluctuations for our products due to pricing pressure relating to our efforts to increase consumer demand for our products. We may also face pricing pressure from managed care organizations and other third-party payors due to increased market power of our payors while the medical device industry consolidates as well as increased competition among suppliers, including manufacturing services providers. If the prices for our products decrease, and we are unable to reduce our expenses, including the cost of sourcing materials, logistics, and the cost to manufacture our products, our sales, results of operations, financial condition and cash flows, could be adversely affected. Macroeconomic conditions may result in increased costs for manufacturing and outsourced services and cause additional pressure to reduce the prices for our products if a recession or depression occurs, and people are unable to afford our products. Any increased or unexpected pricing pressures, costs, delays, or failures to achieve cost savings, and unexpected risks we encounter in our business, including those caused by factors outside our control, could adversely affect our business, results of operations, financial condition and cash flows.</w:t>
      </w:r>
    </w:p>
    <w:p>
      <w:pPr>
        <w:pStyle w:val="TextBody"/>
        <w:bidi w:val="0"/>
        <w:spacing w:lineRule="auto" w:line="288" w:before="0" w:after="0"/>
        <w:ind w:left="0" w:right="0" w:hanging="0"/>
        <w:jc w:val="left"/>
        <w:rPr/>
      </w:pPr>
      <w:r>
        <w:rPr/>
      </w:r>
    </w:p>
    <w:p>
      <w:pPr>
        <w:pStyle w:val="TextBody"/>
        <w:bidi w:val="0"/>
        <w:spacing w:lineRule="atLeast" w:line="240" w:before="0" w:after="0"/>
        <w:ind w:left="0" w:right="0" w:hanging="0"/>
        <w:jc w:val="left"/>
        <w:rPr>
          <w:rFonts w:ascii="Times New Roman;serif" w:hAnsi="Times New Roman;serif"/>
          <w:b/>
          <w:i/>
          <w:sz w:val="20"/>
        </w:rPr>
      </w:pPr>
      <w:r>
        <w:rPr>
          <w:rFonts w:ascii="Times New Roman;serif" w:hAnsi="Times New Roman;serif"/>
          <w:b/>
          <w:i/>
          <w:sz w:val="20"/>
        </w:rPr>
        <w:t>Unstable market and economic conditions may have serious adverse consequences on our business, financial condition and share price.</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and other conflicts including military activities in the Red Sea and Persian Gulf as well as those relating to the Gaza Strip and Israel, and the results of the recent elections in the United States may exacerbate volatility in the global capital markets or disrupt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Any significant increases in inflation and related increase in interest rates could have a material adverse effect on our business, results of operations and financial condition.</w:t>
      </w:r>
      <w:r>
        <w:rPr>
          <w:rFonts w:ascii="times new roman;times" w:hAnsi="times new roman;times"/>
          <w:sz w:val="20"/>
        </w:rPr>
        <w:t xml:space="preserve"> </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bidi w:val="0"/>
        <w:spacing w:lineRule="auto" w:line="288" w:before="200" w:after="0"/>
        <w:jc w:val="left"/>
        <w:rPr/>
      </w:pPr>
      <w:r>
        <w:rPr/>
      </w:r>
    </w:p>
    <w:p>
      <w:pPr>
        <w:pStyle w:val="TextBody"/>
        <w:bidi w:val="0"/>
        <w:spacing w:lineRule="auto" w:line="288" w:before="20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Future acquisitions, including the recently announced acquisition of NURO, strategic investments, or alliances could disrupt our business and harm our business, financial condition, and operating results.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addition to our pending transaction to potentially acquire NURO, we may in the future explore potential acquisitions of companies and technologies, strategic investments, or alliances to strengthen our business. Acquisitions involve numerous risks, any of which could harm our business, including:</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 xml:space="preserve">• </w:t>
            </w:r>
          </w:p>
        </w:tc>
        <w:tc>
          <w:tcPr>
            <w:tcW w:w="10060"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regulatory hurdles;</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anticipated benefits may not materialize;</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ind w:left="0" w:right="0" w:hanging="0"/>
              <w:jc w:val="left"/>
              <w:rPr/>
            </w:pPr>
            <w:r>
              <w:rPr/>
              <w:t>diversion of management's attention from our core business and disruption of ongoing operations;</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cultural challenges associated with integrating employees from the acquired company into our organization;</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various challenges with regard to the acquired company’s products and technology in the existing internal corporate and customer facing systems or processes;</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integration of the acquired company’s accounting, management information, human resources, and other administrative systems or processes;</w:t>
            </w:r>
          </w:p>
        </w:tc>
      </w:tr>
      <w:tr>
        <w:trPr/>
        <w:tc>
          <w:tcPr>
            <w:tcW w:w="145"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10060" w:type="dxa"/>
            <w:tcBorders/>
          </w:tcPr>
          <w:p>
            <w:pPr>
              <w:pStyle w:val="TableContents"/>
              <w:bidi w:val="0"/>
              <w:spacing w:before="0" w:after="0"/>
              <w:jc w:val="left"/>
              <w:rPr>
                <w:rFonts w:ascii="times new roman;times" w:hAnsi="times new roman;times"/>
                <w:sz w:val="20"/>
              </w:rPr>
            </w:pPr>
            <w:r>
              <w:rPr>
                <w:rFonts w:ascii="times new roman;times" w:hAnsi="times new roman;times"/>
                <w:sz w:val="20"/>
              </w:rPr>
              <w:t>the need to implement or improve controls, procedures, and policies in a preexisting business organization that, prior to the acquisition, may have lacked effective controls, procedures, and policies;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coordination of product development and sales and marketing functions;</w:t>
            </w:r>
          </w:p>
        </w:tc>
      </w:tr>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liability for activities of the acquired company before the acquisition, including relating to privacy and data security, patent and trademark infringement claims, violations of laws, commercial disputes, tax liabilities, and other known and unknown liabilities; and</w:t>
            </w:r>
          </w:p>
        </w:tc>
      </w:tr>
      <w:tr>
        <w:trPr/>
        <w:tc>
          <w:tcPr>
            <w:tcW w:w="211" w:type="dxa"/>
            <w:tcBorders/>
          </w:tcPr>
          <w:p>
            <w:pPr>
              <w:pStyle w:val="TableContents"/>
              <w:bidi w:val="0"/>
              <w:spacing w:before="0" w:after="0"/>
              <w:ind w:left="0" w:right="0" w:hanging="0"/>
              <w:jc w:val="center"/>
              <w:rPr/>
            </w:pPr>
            <w:r>
              <w:rPr/>
              <w:t>•</w:t>
            </w:r>
          </w:p>
        </w:tc>
        <w:tc>
          <w:tcPr>
            <w:tcW w:w="9994"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litigation or other claims in connection with the acquired company, including claims from terminated employees, users, former stockholders or third parties.</w:t>
            </w:r>
          </w:p>
        </w:tc>
      </w:tr>
    </w:tbl>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Failure to appropriately mitigate these risks or other issues related to such acquisitions and strategic investments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financial condition, and operating results.</w:t>
      </w:r>
    </w:p>
    <w:p>
      <w:pPr>
        <w:pStyle w:val="TextBody"/>
        <w:bidi w:val="0"/>
        <w:spacing w:lineRule="auto" w:line="288"/>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The closing of our acquisition of NURO is subject to customary closing conditions, and there can be no assurance that NURO will meet the closing conditions, and failure to close the transaction may harm our business and cause our stock price to fall.</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December 17, 2024, we entered into a definitive agreement to acquire NURO (the “NURO Agreement). Consummation of the transaction is subject to customary closing conditions, including approval by holders of at least a majority of the outstanding shares of NURO common stock entitled to vote on the merger, and the filing with the SEC of NURO’s Form 10-K with respect to the fiscal year ended December 31, 2024. There can be no assurance that NURO will meet the closing conditions set forth in the NURO Agreement and failure to consummate the transaction may harm the business and cause our stock price to fall.</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Unanticipated costs relating to our acquisition of NURO could have an adverse impact on our business, financial condition, and operating results.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sz w:val="20"/>
        </w:rPr>
      </w:pPr>
      <w:r>
        <w:rPr>
          <w:rFonts w:ascii="times new roman;times" w:hAnsi="times new roman;times"/>
          <w:sz w:val="20"/>
        </w:rPr>
        <w:t>We have incurred substantial legal, accounting, financial advisory and other acquisition-related costs, and our management has devoted considerable time and effort in connection with our acquisition of NURO. If the acquisition of NURO is not completed, we will bear certain fees and expenses associated with the acquisition without realizing the benefits of the acquisition. If the acquisition of NURO is completed, we expect to incur substantial expenses in connection with integrating the business, operations, network, systems, technologies, policies and procedures of NURO. The fees and expenses may be significant and could have an adverse impact on our business, financial condition, and operating results.</w:t>
      </w:r>
      <w:r>
        <w:rPr>
          <w:sz w:val="20"/>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may not be able to fully realize the benefits from the NURO Transaction.</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acquisition of NURO may not perform as expected. If we are unsuccessful at, among other things, integrating NURO into our operations or managing the NURO business, our revenues and margins could be adversely affected, and our business could suffer. See also “Risk Related to our Financial Position, Operating Results and Need for Additional Capital - Future acquisitions, including the recently announced acquisition of NURO, strategic investments, or alliances could disrupt our business and harm our business, financial condition, and operating results</w:t>
      </w:r>
      <w:r>
        <w:rPr>
          <w:rFonts w:ascii="times new roman;times" w:hAnsi="times new roman;times"/>
          <w:b/>
          <w:sz w:val="20"/>
        </w:rPr>
        <w:t>.</w:t>
      </w:r>
      <w:r>
        <w:rPr>
          <w:rFonts w:ascii="times new roman;times" w:hAnsi="times new roman;times"/>
          <w:sz w:val="20"/>
        </w:rPr>
        <w:t>”</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Litigation may arise in connection with our acquisition of NURO, which could be costly, prevent consummation of the transaction, divert management’s attention, and otherwise harm our business, financial condition, and results of operations.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Litigation in connection with acquisitions is not unusual and we are aware that purported shareholders of NURO have made written demands, including that NURO’s proxy statement omitted material information with respect to the proposed merger and allegations of breach of fiduciary duties by the directors of NURO. Although NURO believes that such allegations are immaterial and that no supplemental disclosures are required by applicable law, rule, regulation or statute, there can be no assurance that litigation will not ensue. Such litigation may be time-consuming and expensive and may distract our management from running the day-to-day operations of our business. The litigation costs and diversion of management’s attention and resources to address the claims and counterclaims in any litigation related to our acquisition of NURO may adversely affect our business, results of operations, prospects, and financial condition. If our acquisition of NURO is not consummated for any reason, litigation may be filed in connection with the failure to consummate the transaction. Any litigation related to the transaction may result in negative publicity or an unfavorable impression of us, which could adversely affect the price of our common stock, impair our ability to recruit or retain employees, damage our relationships with our customers and business partners, or otherwise harm our operations and financial performance.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Additionally, NURO is, and following the closing of the acquisition, the Company may be, subject to the laws and regulations applicable to NURO, including a settlement order between NURO and the FTC entered into on March 4, 2020, which enjoins NURO from engaging in deceptive acts or practices in violation of the FTC Act in the manufacturing, labeling, advertising, marketing, distribution and sale of certain of NURO’s stimulation devices. Any violation of such laws and regulations, including the settlement, could have an adverse impact on our business, financial condition, and operating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serif" w:hAnsi="Times New Roman;serif"/>
          <w:b/>
          <w:i/>
          <w:sz w:val="20"/>
        </w:rPr>
      </w:pPr>
      <w:r>
        <w:rPr>
          <w:rFonts w:ascii="Times New Roman;serif" w:hAnsi="Times New Roman;serif"/>
          <w:b/>
          <w:i/>
          <w:sz w:val="20"/>
        </w:rPr>
        <w:t>Closing down the DPNCheck business may be costly and provide additional regulatory scrutiny.</w:t>
      </w:r>
    </w:p>
    <w:p>
      <w:pPr>
        <w:pStyle w:val="TextBody"/>
        <w:bidi w:val="0"/>
        <w:spacing w:lineRule="auto" w:line="288" w:before="0" w:after="0"/>
        <w:ind w:left="0" w:right="0" w:hanging="0"/>
        <w:jc w:val="left"/>
        <w:rPr>
          <w:b/>
          <w:i/>
          <w:sz w:val="20"/>
        </w:rPr>
      </w:pPr>
      <w:r>
        <w:rPr>
          <w:b/>
          <w:i/>
          <w:sz w:val="20"/>
        </w:rPr>
      </w:r>
    </w:p>
    <w:p>
      <w:pPr>
        <w:pStyle w:val="TextBody"/>
        <w:shd w:fill="FFFFFF" w:val="clear"/>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We do not intend to continue operations of the DPNCheck business. While NURO has agreed to take steps to close down the DPNCheck business prior to closing, other than the agreement which has already been signed for the DPNCheck rights in Japan, there can be no assurance that NURO will be ab le to close down DPNCheck prior to closing the transaction. DPNCheck is a medical device with both insurance coverage and active customers. Shutting down the business may require adherence to certain regulatory conditions which could be costly or create contingent liability to the Company and may harm our business, financial condition, and operating results. See also “Risk Related to our Financial Position, Operating Results and Need for Additional Capital - Future acquisitions, including the recently announced acquisition of NURO, strategic investments, or alliances could disrupt our business and harm our business, financial condition, and operating results</w:t>
      </w:r>
      <w:r>
        <w:rPr>
          <w:rFonts w:ascii="times new roman;times" w:hAnsi="times new roman;times"/>
          <w:b/>
          <w:sz w:val="20"/>
        </w:rPr>
        <w:t>.</w:t>
      </w:r>
      <w:r>
        <w:rPr>
          <w:rFonts w:ascii="times new roman;times" w:hAnsi="times new roman;times"/>
          <w:sz w:val="20"/>
        </w:rPr>
        <w:t>”</w:t>
      </w:r>
    </w:p>
    <w:p>
      <w:pPr>
        <w:pStyle w:val="TextBody"/>
        <w:shd w:fill="FFFFFF" w:val="clear"/>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lineRule="auto" w:line="288" w:before="120" w:after="0"/>
              <w:ind w:left="0" w:right="0" w:hanging="0"/>
              <w:jc w:val="center"/>
              <w:rPr>
                <w:rFonts w:ascii="times new roman;times" w:hAnsi="times new roman;times"/>
                <w:sz w:val="20"/>
              </w:rPr>
            </w:pPr>
            <w:r>
              <w:rPr>
                <w:rFonts w:ascii="times new roman;times" w:hAnsi="times new roman;times"/>
                <w:sz w:val="20"/>
              </w:rPr>
              <w:t>21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jc w:val="left"/>
        <w:rPr>
          <w:rFonts w:ascii="times new roman;times" w:hAnsi="times new roman;times"/>
        </w:rPr>
      </w:pPr>
      <w:r>
        <w:rPr>
          <w:rFonts w:ascii="times new roman;times" w:hAnsi="times new roman;times"/>
        </w:rPr>
      </w:r>
    </w:p>
    <w:p>
      <w:pPr>
        <w:pStyle w:val="TextBody"/>
        <w:bidi w:val="0"/>
        <w:spacing w:lineRule="auto" w:line="288" w:before="0" w:after="0"/>
        <w:jc w:val="left"/>
        <w:rPr>
          <w:rFonts w:ascii="times new roman;times" w:hAnsi="times new roman;times"/>
          <w:b/>
          <w:color w:val="000000"/>
          <w:sz w:val="20"/>
        </w:rPr>
      </w:pPr>
      <w:r>
        <w:rPr>
          <w:rFonts w:ascii="times new roman;times" w:hAnsi="times new roman;times"/>
          <w:b/>
          <w:color w:val="000000"/>
          <w:sz w:val="20"/>
        </w:rPr>
        <w:t>Risks Related to Our Business</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Regulatory requirements and changes to payors’ prescription benefit plans and medical pathway plans could adversely impact our business and financial results.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Applicable Medicare Part D regulations and federal and state laws will impose additional requirements on us upon execution of our commercialization strategy. Our commercialization strategy, including our planned reimbursement approach with respect to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time, changes in payor prescription benefit plans or medical pathway plans could have the effect of rendering existing pharmacy benefit plans or medical pathway plans less valuable to beneficiaries and reduce the total market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In addition, some payors could decide to discontinue providing full or partial coverage to their members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which could have an adverse effect on our financial position, results of operations, or cash flows.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commercialization strategy of gammaCore may expose us to increased billing, cash application, and credit risks.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commercialization strategy may involve funding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payors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 In addition, possible sales in our EUA business channel to hospitals may involve higher credit risks than sales to other payors.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Revenues from the sale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partially depend on the continued availability of reimbursement by government and private insurance plans. The government’s Medicare regulations are complex, and, as a result, the billing and collection process is time-consuming and typically involves the submission of claims to multiple payors whose payment of claims may be contingent upon the payment of another payor. Because of the coordination with multiple payors, and the complexity in determining reimbursable amounts, these accounts receivable have higher risk in collecting the full amounts due and applying the associated payments.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A significant portion of our sales will be made to the VA pursuant to our FSS contract of via open market purchases. The U.S. federal government and other governments may reduce funding for health care or other programs or make changes that adversely affect the number of persons eligible for certain programs, the services provided to enrollees in such programs and premiums we can charge. The levels of U.S. federal government spending are difficult to predict and are subject to significant risk. Considerable uncertainty exists regarding how future budget and program decisions will unfold, including the spending priorities of the new presidential administration and Congress, and what challenges budget reductions, if any, will present for our business and our industry generally. For example, on January 20, 2025, President Trump established by executive order DOGE to reform federal government processes and reduce expenditures, and on February 5, 2025, the Centers for Medicare &amp; Medicaid Services, or CMS, announced that it is collaborating with DOGE to determine where there may be opportunities for more effective and efficient use of resources. Further, there are reports that the administration is exploring and implementing policies which may put limits on, or freeze, credit card spending by government employees on behalf of government agencies, which could adversely affect our business with the VA. Any reduction in government spending or limitations put in place through government processes to reduce expenditures could have an adverse effect on the results of operations and financial condition.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serif" w:hAnsi="Times New Roman;serif"/>
          <w:color w:val="000000"/>
          <w:sz w:val="20"/>
        </w:rPr>
        <w:t xml:space="preserve">Furthermore, we expect a portion of our 2025 sales will be made pursuant to the distribution agreement with Lovell Government Services (“Lovell”) and their contract vehicles. As a result of this relationship an increasing portion of gammaCore therapy sales in the government channel will be processed through Lovell and payment made to us by Lovell according to the terms of the Lovell distribution agreement. </w:t>
      </w:r>
      <w:r>
        <w:rPr>
          <w:rFonts w:ascii="times new roman;times" w:hAnsi="times new roman;times"/>
          <w:color w:val="000000"/>
          <w:sz w:val="20"/>
        </w:rPr>
        <w:t>Additionally, we may be subject to increased credit risk associated with state and local government agencies experiencing increased fiscal challenges. As a result of the aforementioned risks, our commercialization strategy, even if successful, may involve the incurrence of bad debt expenses potentially impacting our results of operations and liquidity. Any payment delays or disputes in our relationship with Lovell could have an adverse effect on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Third-party payors have been resistant to cover gammaCore through pharmacy benefit plans, which has hindered our commercialization strategy and required changes to our existing business that could delay and negatively impact our ability to generate revenue.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 the United States, our initial strategy to obtain reimbursement for gammaCore under payors’ pharmacy benefit has not achieved adequate coverage and reimbursement. To obtain coverage and reimbursement from Medicare and any other third-party payor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 for the therapy. Any determination by commercial payors to provide coverage for gammaCore through the medical benefit pathway and not through pharmacy benefit pathway will further delay or pose more risks to our commercial plan for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since additional medical device codes are required, and we may incur additional direct and indirect expenses in assisting patients with their co-pay or other costs emergent from the determination by payors to not cover gammaCore under the pharmacy benefit pathway. Coverage by commercial payors through the medical benefit pathway or other decisions by commercial payors that have the effect of making patients personally responsible for the costs of, or costs associated with,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could adversely impact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payors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We must demonstrate to patients, physicians, and third-party payors the medical and economic benefits of our prescription gammaCore therapy compared to those of our competitors or other available therapies, and such comparisons may not be realizable.</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Physicians play a significant role in determining the course of a patient’</w:t>
      </w:r>
      <w:r>
        <w:rPr>
          <w:rFonts w:ascii="times new roman;times" w:hAnsi="times new roman;times"/>
          <w:color w:val="000000"/>
          <w:sz w:val="20"/>
        </w:rPr>
        <w:t>s treatment and, as a result, the type of product that will be used to treat a patient. As a result, our success depends, in large part, on effectively marketing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to physicians. We have received several 510(k) clearances from the FDA for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however, such clearances do not necessitate adoption by physicians. In order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to gain widespread adoption, we must successfully demonstrate to physicians the medical and economic benefits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compared to competitors’ products, including pharmaceutical and neuromodulation devices that have been marketed for the treatment of different forms of primary headache by competitors with greater financial or other resources. We also may face challenges because nVNS, is relatively new compared to existing traditional treatments for cluster and migraine headaches.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depends on educating patients and physicians as to the distinctive characteristics, perceived benefits, safety, ease of use, and cost-effectiveness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relative to our competitors’ products and communicating to physicians the proper use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If we are not successful in convincing patients and physicians of the merits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or educating them on the benefits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they may not seek a prescription or prescribe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we may be unable to increase our sales, sustain our growth, or achieve profitability. In addition, we believe support of our products by physicians is essential for market acceptance and adoption. If we do not receive support from physicians, or long-term data do not show the benefits of using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patients and physicians may not use it. In such circumstances, our results of operations would be materially and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We must demonstrate to customers the benefits of nVNS platform technology for general wellness and human performance compared to those of our competitors and such comparisons may not be realizable.</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Consumer sentiments play a significant, and increasing, role in determining customer adoption of certain general wellness products. In general, our success depends on the continued willingness of consumers to use health and general wellness products and services and to place value in the primacy of scientific evidence in the marketing of general wellness products and services. To be successful, we will need to continue to significantly invest in educating consumers about our products. This need is elevated in the light of the health and general wellness market’s particular characteristics. The market is heavily saturated, and the expected future demand for and market acceptance of innovative products and services in the market is uncertain. While we believe it is reasonable to predict that the overall health and general wellness market will continue to grow, it is difficult to predict the future growth rates, if any, of certain sectors that intersect with comparable and substitution products relevant to our business. As a result, if our market does not further develop, or develops more slowly than expected, or becomes saturated with competitors with greater financial or other resources, or if our products do not achieve sufficient adoption in accordance with present and future business plans, our financial condition, and operating results could be materially and adversely affected. In particular, as stated previously, acceptance of our nVNS platform technology depends on educating patients as to the distinctive characteristics, perceived benefits, safety, ease of use, and cost-effectiveness of our nVNS platform technology relative to our competitors’ products and communicating to customers the proper use of our nVNS products. As a result, our success depends, in large part, on effectively marketing our nVNS platform technology to consumers. For our nVNS platform technology to gain widespread adoption, we must successfully demonstrate to consumers the relative benefits of our nVNS platform technology compared to competitors’ products. We also may face challenges because nVNS is relatively new compared to existing general wellness products across a multitude of price points. Further, the competitive landscape for general wellness products is crowded and continues to rapidly evolve. Therefore, our general wellness business line faces a diverse set of challenges that may have a significant effect on your investment.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Stimulating therapeutically relevant fibers in the vagus nerve by a proprietary high-frequency burst waveform that passes through the skin cells represents a novel approach to treating pain, and we must overcome significant challenges to successfully develop, commercialize, and manufacture our product.</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gammaCore products for commercialization based on this platform. The processes and requirements imposed by the FDA or other applicable health authorities may cause delays and additional costs in obtaining approvals for marketing authorization for our gammaCore products. Because our platform is novel, regulatory agencies, as well as insurance and other coverage providers and payors,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6"/>
        <w:gridCol w:w="221"/>
        <w:gridCol w:w="9828"/>
      </w:tblGrid>
      <w:tr>
        <w:trPr/>
        <w:tc>
          <w:tcPr>
            <w:tcW w:w="156" w:type="dxa"/>
            <w:tcBorders/>
          </w:tcPr>
          <w:p>
            <w:pPr>
              <w:pStyle w:val="TableContents"/>
              <w:bidi w:val="0"/>
              <w:spacing w:before="0" w:after="0"/>
              <w:ind w:left="0" w:right="0" w:hanging="0"/>
              <w:jc w:val="both"/>
              <w:rPr>
                <w:color w:val="000000"/>
              </w:rPr>
            </w:pPr>
            <w:r>
              <w:rPr>
                <w:color w:val="000000"/>
              </w:rPr>
              <w:t xml:space="preserve">  </w:t>
            </w:r>
          </w:p>
        </w:tc>
        <w:tc>
          <w:tcPr>
            <w:tcW w:w="221" w:type="dxa"/>
            <w:tcBorders/>
          </w:tcPr>
          <w:p>
            <w:pPr>
              <w:pStyle w:val="TableContents"/>
              <w:bidi w:val="0"/>
              <w:spacing w:before="0" w:after="0"/>
              <w:ind w:left="0" w:right="0" w:hanging="0"/>
              <w:jc w:val="both"/>
              <w:rPr>
                <w:color w:val="000000"/>
              </w:rPr>
            </w:pPr>
            <w:r>
              <w:rPr>
                <w:color w:val="000000"/>
              </w:rPr>
              <w:t xml:space="preserve">• </w:t>
            </w:r>
          </w:p>
        </w:tc>
        <w:tc>
          <w:tcPr>
            <w:tcW w:w="982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training a sufficient number of medical personnel on how to properly administer our product;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4"/>
        <w:gridCol w:w="318"/>
        <w:gridCol w:w="9663"/>
      </w:tblGrid>
      <w:tr>
        <w:trPr/>
        <w:tc>
          <w:tcPr>
            <w:tcW w:w="224" w:type="dxa"/>
            <w:tcBorders/>
          </w:tcPr>
          <w:p>
            <w:pPr>
              <w:pStyle w:val="TableContents"/>
              <w:bidi w:val="0"/>
              <w:spacing w:before="0" w:after="0"/>
              <w:ind w:left="0" w:right="0" w:hanging="0"/>
              <w:jc w:val="both"/>
              <w:rPr>
                <w:color w:val="000000"/>
              </w:rPr>
            </w:pPr>
            <w:r>
              <w:rPr>
                <w:color w:val="000000"/>
              </w:rPr>
              <w:t xml:space="preserve">  </w:t>
            </w:r>
          </w:p>
        </w:tc>
        <w:tc>
          <w:tcPr>
            <w:tcW w:w="318" w:type="dxa"/>
            <w:tcBorders/>
          </w:tcPr>
          <w:p>
            <w:pPr>
              <w:pStyle w:val="TableContents"/>
              <w:bidi w:val="0"/>
              <w:spacing w:before="0" w:after="0"/>
              <w:ind w:left="0" w:right="0" w:hanging="0"/>
              <w:jc w:val="both"/>
              <w:rPr>
                <w:color w:val="000000"/>
              </w:rPr>
            </w:pPr>
            <w:r>
              <w:rPr>
                <w:color w:val="000000"/>
              </w:rPr>
              <w:t xml:space="preserve">• </w:t>
            </w:r>
          </w:p>
        </w:tc>
        <w:tc>
          <w:tcPr>
            <w:tcW w:w="966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enrolling sufficient numbers of patients in future 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0"/>
        <w:gridCol w:w="270"/>
        <w:gridCol w:w="9745"/>
      </w:tblGrid>
      <w:tr>
        <w:trPr/>
        <w:tc>
          <w:tcPr>
            <w:tcW w:w="190" w:type="dxa"/>
            <w:tcBorders/>
          </w:tcPr>
          <w:p>
            <w:pPr>
              <w:pStyle w:val="TableContents"/>
              <w:bidi w:val="0"/>
              <w:spacing w:before="0" w:after="0"/>
              <w:ind w:left="0" w:right="0" w:hanging="0"/>
              <w:jc w:val="both"/>
              <w:rPr>
                <w:color w:val="000000"/>
              </w:rPr>
            </w:pPr>
            <w:r>
              <w:rPr>
                <w:color w:val="000000"/>
              </w:rPr>
              <w:t xml:space="preserve">  </w:t>
            </w:r>
          </w:p>
        </w:tc>
        <w:tc>
          <w:tcPr>
            <w:tcW w:w="270" w:type="dxa"/>
            <w:tcBorders/>
          </w:tcPr>
          <w:p>
            <w:pPr>
              <w:pStyle w:val="TableContents"/>
              <w:bidi w:val="0"/>
              <w:spacing w:before="0" w:after="0"/>
              <w:ind w:left="0" w:right="0" w:hanging="0"/>
              <w:jc w:val="both"/>
              <w:rPr>
                <w:color w:val="000000"/>
              </w:rPr>
            </w:pPr>
            <w:r>
              <w:rPr>
                <w:color w:val="000000"/>
              </w:rPr>
              <w:t xml:space="preserve">• </w:t>
            </w:r>
          </w:p>
        </w:tc>
        <w:tc>
          <w:tcPr>
            <w:tcW w:w="974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manufacturing our products on a large scale and in a cost-effective manner;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submitting applications for and obtaining regulatory approval, as the FDA and other regulatory authorities have limited experience with commercial development of our product platform for treating pain;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8"/>
        <w:gridCol w:w="149"/>
        <w:gridCol w:w="9958"/>
      </w:tblGrid>
      <w:tr>
        <w:trPr/>
        <w:tc>
          <w:tcPr>
            <w:tcW w:w="98" w:type="dxa"/>
            <w:tcBorders/>
          </w:tcPr>
          <w:p>
            <w:pPr>
              <w:pStyle w:val="TableContents"/>
              <w:bidi w:val="0"/>
              <w:spacing w:before="0" w:after="0"/>
              <w:ind w:left="0" w:right="0" w:hanging="0"/>
              <w:jc w:val="both"/>
              <w:rPr>
                <w:color w:val="000000"/>
              </w:rPr>
            </w:pPr>
            <w:r>
              <w:rPr>
                <w:color w:val="000000"/>
              </w:rPr>
              <w:t xml:space="preserve">  </w:t>
            </w:r>
          </w:p>
        </w:tc>
        <w:tc>
          <w:tcPr>
            <w:tcW w:w="149" w:type="dxa"/>
            <w:tcBorders/>
          </w:tcPr>
          <w:p>
            <w:pPr>
              <w:pStyle w:val="TableContents"/>
              <w:bidi w:val="0"/>
              <w:spacing w:before="0" w:after="0"/>
              <w:ind w:left="0" w:right="0" w:hanging="0"/>
              <w:jc w:val="both"/>
              <w:rPr>
                <w:color w:val="000000"/>
              </w:rPr>
            </w:pPr>
            <w:r>
              <w:rPr>
                <w:color w:val="000000"/>
              </w:rPr>
              <w:t xml:space="preserve">• </w:t>
            </w:r>
          </w:p>
        </w:tc>
        <w:tc>
          <w:tcPr>
            <w:tcW w:w="995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establishing sales and marketing capabilities as well as developing a manufacturing process and distribution network to support the commercialization of any approved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must be able to overcome these challenges in order to successfully develop, commercialize, and manufacture our gammaCore and product candidates.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operating results may vary significantly from quarter to quarter because of seasonality, bulk orders, shipments to distributors, or otherwise.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quarterly revenue and results of operations may fluctuate from quarter to quarter due to, among others, the following reasons: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8"/>
        <w:gridCol w:w="239"/>
        <w:gridCol w:w="9798"/>
      </w:tblGrid>
      <w:tr>
        <w:trPr/>
        <w:tc>
          <w:tcPr>
            <w:tcW w:w="168" w:type="dxa"/>
            <w:tcBorders/>
          </w:tcPr>
          <w:p>
            <w:pPr>
              <w:pStyle w:val="TableContents"/>
              <w:bidi w:val="0"/>
              <w:spacing w:before="0" w:after="0"/>
              <w:ind w:left="0" w:right="0" w:hanging="0"/>
              <w:jc w:val="both"/>
              <w:rPr>
                <w:color w:val="000000"/>
              </w:rPr>
            </w:pPr>
            <w:r>
              <w:rPr>
                <w:color w:val="000000"/>
              </w:rPr>
              <w:t xml:space="preserve">  </w:t>
            </w:r>
          </w:p>
        </w:tc>
        <w:tc>
          <w:tcPr>
            <w:tcW w:w="239" w:type="dxa"/>
            <w:tcBorders/>
          </w:tcPr>
          <w:p>
            <w:pPr>
              <w:pStyle w:val="TableContents"/>
              <w:bidi w:val="0"/>
              <w:spacing w:before="0" w:after="0"/>
              <w:ind w:left="0" w:right="0" w:hanging="0"/>
              <w:jc w:val="both"/>
              <w:rPr>
                <w:color w:val="000000"/>
              </w:rPr>
            </w:pPr>
            <w:r>
              <w:rPr>
                <w:color w:val="000000"/>
              </w:rPr>
              <w:t xml:space="preserve">• </w:t>
            </w:r>
          </w:p>
        </w:tc>
        <w:tc>
          <w:tcPr>
            <w:tcW w:w="9798" w:type="dxa"/>
            <w:tcBorders/>
          </w:tcPr>
          <w:p>
            <w:pPr>
              <w:pStyle w:val="TableContents"/>
              <w:widowControl/>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physician, prosthetics, and payor 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2"/>
        <w:gridCol w:w="259"/>
        <w:gridCol w:w="9764"/>
      </w:tblGrid>
      <w:tr>
        <w:trPr/>
        <w:tc>
          <w:tcPr>
            <w:tcW w:w="182" w:type="dxa"/>
            <w:tcBorders/>
          </w:tcPr>
          <w:p>
            <w:pPr>
              <w:pStyle w:val="TableContents"/>
              <w:bidi w:val="0"/>
              <w:spacing w:before="0" w:after="283"/>
              <w:ind w:left="0" w:right="0" w:hanging="0"/>
              <w:jc w:val="left"/>
              <w:rPr/>
            </w:pPr>
            <w:r>
              <w:rPr/>
            </w:r>
          </w:p>
        </w:tc>
        <w:tc>
          <w:tcPr>
            <w:tcW w:w="259"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patients' acceptance of our nVNS platform technology;</w:t>
            </w:r>
          </w:p>
        </w:tc>
      </w:tr>
      <w:tr>
        <w:trPr/>
        <w:tc>
          <w:tcPr>
            <w:tcW w:w="182" w:type="dxa"/>
            <w:tcBorders/>
          </w:tcPr>
          <w:p>
            <w:pPr>
              <w:pStyle w:val="TableContents"/>
              <w:bidi w:val="0"/>
              <w:spacing w:before="0" w:after="283"/>
              <w:ind w:left="0" w:right="0" w:hanging="0"/>
              <w:jc w:val="left"/>
              <w:rPr/>
            </w:pPr>
            <w:r>
              <w:rPr/>
            </w:r>
          </w:p>
        </w:tc>
        <w:tc>
          <w:tcPr>
            <w:tcW w:w="259"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customer acceptance of our general wellness and human performance products;</w:t>
            </w:r>
          </w:p>
        </w:tc>
      </w:tr>
      <w:tr>
        <w:trPr/>
        <w:tc>
          <w:tcPr>
            <w:tcW w:w="182" w:type="dxa"/>
            <w:tcBorders/>
          </w:tcPr>
          <w:p>
            <w:pPr>
              <w:pStyle w:val="TableContents"/>
              <w:bidi w:val="0"/>
              <w:spacing w:before="0" w:after="283"/>
              <w:ind w:left="0" w:right="0" w:hanging="0"/>
              <w:jc w:val="left"/>
              <w:rPr/>
            </w:pPr>
            <w:r>
              <w:rPr/>
            </w:r>
          </w:p>
        </w:tc>
        <w:tc>
          <w:tcPr>
            <w:tcW w:w="259"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the timing and amount of TAC-STIM sales and cash disbursements;</w:t>
            </w:r>
          </w:p>
        </w:tc>
      </w:tr>
      <w:tr>
        <w:trPr/>
        <w:tc>
          <w:tcPr>
            <w:tcW w:w="182" w:type="dxa"/>
            <w:tcBorders/>
          </w:tcPr>
          <w:p>
            <w:pPr>
              <w:pStyle w:val="TableContents"/>
              <w:bidi w:val="0"/>
              <w:spacing w:before="0" w:after="283"/>
              <w:ind w:left="0" w:right="0" w:hanging="0"/>
              <w:jc w:val="left"/>
              <w:rPr/>
            </w:pPr>
            <w:r>
              <w:rPr/>
            </w:r>
          </w:p>
        </w:tc>
        <w:tc>
          <w:tcPr>
            <w:tcW w:w="259"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payor adoption;</w:t>
            </w:r>
          </w:p>
        </w:tc>
      </w:tr>
      <w:tr>
        <w:trPr/>
        <w:tc>
          <w:tcPr>
            <w:tcW w:w="182" w:type="dxa"/>
            <w:tcBorders/>
          </w:tcPr>
          <w:p>
            <w:pPr>
              <w:pStyle w:val="TableContents"/>
              <w:bidi w:val="0"/>
              <w:spacing w:before="0" w:after="283"/>
              <w:ind w:left="0" w:right="0" w:hanging="0"/>
              <w:jc w:val="left"/>
              <w:rPr/>
            </w:pPr>
            <w:r>
              <w:rPr/>
            </w:r>
          </w:p>
        </w:tc>
        <w:tc>
          <w:tcPr>
            <w:tcW w:w="259"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estimated useful life of products;</w:t>
            </w:r>
          </w:p>
        </w:tc>
      </w:tr>
      <w:tr>
        <w:trPr/>
        <w:tc>
          <w:tcPr>
            <w:tcW w:w="182" w:type="dxa"/>
            <w:tcBorders/>
          </w:tcPr>
          <w:p>
            <w:pPr>
              <w:pStyle w:val="TableContents"/>
              <w:bidi w:val="0"/>
              <w:spacing w:before="0" w:after="0"/>
              <w:ind w:left="0" w:right="0" w:hanging="0"/>
              <w:jc w:val="both"/>
              <w:rPr>
                <w:color w:val="000000"/>
              </w:rPr>
            </w:pPr>
            <w:r>
              <w:rPr>
                <w:color w:val="000000"/>
              </w:rPr>
              <w:t xml:space="preserve">  </w:t>
            </w:r>
          </w:p>
        </w:tc>
        <w:tc>
          <w:tcPr>
            <w:tcW w:w="259" w:type="dxa"/>
            <w:tcBorders/>
          </w:tcPr>
          <w:p>
            <w:pPr>
              <w:pStyle w:val="TableContents"/>
              <w:bidi w:val="0"/>
              <w:spacing w:before="0" w:after="0"/>
              <w:ind w:left="0" w:right="0" w:hanging="0"/>
              <w:jc w:val="both"/>
              <w:rPr>
                <w:color w:val="000000"/>
              </w:rPr>
            </w:pPr>
            <w:r>
              <w:rPr>
                <w:color w:val="000000"/>
              </w:rPr>
              <w:t xml:space="preserve">• </w:t>
            </w:r>
          </w:p>
        </w:tc>
        <w:tc>
          <w:tcPr>
            <w:tcW w:w="976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when individual payor coverage becomes available;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4"/>
        <w:gridCol w:w="165"/>
        <w:gridCol w:w="9926"/>
      </w:tblGrid>
      <w:tr>
        <w:trPr/>
        <w:tc>
          <w:tcPr>
            <w:tcW w:w="114" w:type="dxa"/>
            <w:tcBorders/>
          </w:tcPr>
          <w:p>
            <w:pPr>
              <w:pStyle w:val="TableContents"/>
              <w:bidi w:val="0"/>
              <w:spacing w:before="0" w:after="283"/>
              <w:ind w:left="0" w:right="0" w:hanging="0"/>
              <w:jc w:val="left"/>
              <w:rPr/>
            </w:pPr>
            <w:r>
              <w:rPr/>
            </w:r>
          </w:p>
        </w:tc>
        <w:tc>
          <w:tcPr>
            <w:tcW w:w="165"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2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patient and physician product returns;</w:t>
            </w:r>
          </w:p>
        </w:tc>
      </w:tr>
      <w:tr>
        <w:trPr/>
        <w:tc>
          <w:tcPr>
            <w:tcW w:w="114" w:type="dxa"/>
            <w:tcBorders/>
          </w:tcPr>
          <w:p>
            <w:pPr>
              <w:pStyle w:val="TableContents"/>
              <w:bidi w:val="0"/>
              <w:spacing w:before="0" w:after="0"/>
              <w:ind w:left="0" w:right="0" w:hanging="0"/>
              <w:jc w:val="both"/>
              <w:rPr>
                <w:color w:val="000000"/>
              </w:rPr>
            </w:pPr>
            <w:r>
              <w:rPr>
                <w:color w:val="000000"/>
              </w:rPr>
              <w:t xml:space="preserve">  </w:t>
            </w:r>
          </w:p>
        </w:tc>
        <w:tc>
          <w:tcPr>
            <w:tcW w:w="165" w:type="dxa"/>
            <w:tcBorders/>
          </w:tcPr>
          <w:p>
            <w:pPr>
              <w:pStyle w:val="TableContents"/>
              <w:bidi w:val="0"/>
              <w:spacing w:before="0" w:after="0"/>
              <w:ind w:left="0" w:right="0" w:hanging="0"/>
              <w:jc w:val="both"/>
              <w:rPr>
                <w:color w:val="000000"/>
              </w:rPr>
            </w:pPr>
            <w:r>
              <w:rPr>
                <w:color w:val="000000"/>
              </w:rPr>
              <w:t xml:space="preserve">• </w:t>
            </w:r>
          </w:p>
        </w:tc>
        <w:tc>
          <w:tcPr>
            <w:tcW w:w="992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expense, and results of research and development activities, future clinical trials, and regulatory clearance or approvals;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22"/>
        <w:gridCol w:w="174"/>
        <w:gridCol w:w="9909"/>
      </w:tblGrid>
      <w:tr>
        <w:trPr/>
        <w:tc>
          <w:tcPr>
            <w:tcW w:w="122" w:type="dxa"/>
            <w:tcBorders/>
          </w:tcPr>
          <w:p>
            <w:pPr>
              <w:pStyle w:val="TableContents"/>
              <w:bidi w:val="0"/>
              <w:spacing w:before="0" w:after="0"/>
              <w:ind w:left="0" w:right="0" w:hanging="0"/>
              <w:jc w:val="both"/>
              <w:rPr>
                <w:color w:val="000000"/>
              </w:rPr>
            </w:pPr>
            <w:r>
              <w:rPr>
                <w:color w:val="000000"/>
              </w:rPr>
              <w:t xml:space="preserve">  </w:t>
            </w:r>
          </w:p>
        </w:tc>
        <w:tc>
          <w:tcPr>
            <w:tcW w:w="174" w:type="dxa"/>
            <w:tcBorders/>
          </w:tcPr>
          <w:p>
            <w:pPr>
              <w:pStyle w:val="TableContents"/>
              <w:bidi w:val="0"/>
              <w:spacing w:before="0" w:after="0"/>
              <w:ind w:left="0" w:right="0" w:hanging="0"/>
              <w:jc w:val="both"/>
              <w:rPr>
                <w:color w:val="000000"/>
              </w:rPr>
            </w:pPr>
            <w:r>
              <w:rPr>
                <w:color w:val="000000"/>
              </w:rPr>
              <w:t xml:space="preserve">• </w:t>
            </w:r>
          </w:p>
        </w:tc>
        <w:tc>
          <w:tcPr>
            <w:tcW w:w="990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fluctuations in our expenses associated with expanding our commercial operations and operating as a public company; </w:t>
            </w:r>
          </w:p>
        </w:tc>
      </w:tr>
      <w:tr>
        <w:trPr/>
        <w:tc>
          <w:tcPr>
            <w:tcW w:w="122" w:type="dxa"/>
            <w:tcBorders/>
          </w:tcPr>
          <w:p>
            <w:pPr>
              <w:pStyle w:val="TableContents"/>
              <w:bidi w:val="0"/>
              <w:spacing w:before="0" w:after="283"/>
              <w:ind w:left="0" w:right="0" w:hanging="0"/>
              <w:jc w:val="left"/>
              <w:rPr/>
            </w:pPr>
            <w:r>
              <w:rPr/>
            </w:r>
          </w:p>
        </w:tc>
        <w:tc>
          <w:tcPr>
            <w:tcW w:w="174"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09"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fluctuations in our marketing spend to drive patient purchases;</w:t>
            </w:r>
          </w:p>
        </w:tc>
      </w:tr>
      <w:tr>
        <w:trPr/>
        <w:tc>
          <w:tcPr>
            <w:tcW w:w="122" w:type="dxa"/>
            <w:tcBorders/>
          </w:tcPr>
          <w:p>
            <w:pPr>
              <w:pStyle w:val="TableContents"/>
              <w:bidi w:val="0"/>
              <w:spacing w:before="0" w:after="283"/>
              <w:ind w:left="0" w:right="0" w:hanging="0"/>
              <w:jc w:val="left"/>
              <w:rPr/>
            </w:pPr>
            <w:r>
              <w:rPr/>
            </w:r>
          </w:p>
        </w:tc>
        <w:tc>
          <w:tcPr>
            <w:tcW w:w="174"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09"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introduction of new products, therapies, and technologies by competitors;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7"/>
        <w:gridCol w:w="451"/>
        <w:gridCol w:w="9437"/>
      </w:tblGrid>
      <w:tr>
        <w:trPr/>
        <w:tc>
          <w:tcPr>
            <w:tcW w:w="317" w:type="dxa"/>
            <w:tcBorders/>
          </w:tcPr>
          <w:p>
            <w:pPr>
              <w:pStyle w:val="TableContents"/>
              <w:bidi w:val="0"/>
              <w:spacing w:before="0" w:after="0"/>
              <w:ind w:left="0" w:right="0" w:hanging="0"/>
              <w:jc w:val="both"/>
              <w:rPr>
                <w:color w:val="000000"/>
              </w:rPr>
            </w:pPr>
            <w:r>
              <w:rPr>
                <w:color w:val="000000"/>
              </w:rPr>
              <w:t xml:space="preserve">  </w:t>
            </w:r>
          </w:p>
        </w:tc>
        <w:tc>
          <w:tcPr>
            <w:tcW w:w="451" w:type="dxa"/>
            <w:tcBorders/>
          </w:tcPr>
          <w:p>
            <w:pPr>
              <w:pStyle w:val="TableContents"/>
              <w:bidi w:val="0"/>
              <w:spacing w:before="0" w:after="0"/>
              <w:ind w:left="0" w:right="0" w:hanging="0"/>
              <w:jc w:val="both"/>
              <w:rPr>
                <w:color w:val="000000"/>
              </w:rPr>
            </w:pPr>
            <w:r>
              <w:rPr>
                <w:color w:val="000000"/>
              </w:rPr>
              <w:t xml:space="preserve">• </w:t>
            </w:r>
          </w:p>
        </w:tc>
        <w:tc>
          <w:tcPr>
            <w:tcW w:w="943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productivity of our field sales function;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4"/>
        <w:gridCol w:w="331"/>
        <w:gridCol w:w="9640"/>
      </w:tblGrid>
      <w:tr>
        <w:trPr/>
        <w:tc>
          <w:tcPr>
            <w:tcW w:w="234" w:type="dxa"/>
            <w:tcBorders/>
          </w:tcPr>
          <w:p>
            <w:pPr>
              <w:pStyle w:val="TableContents"/>
              <w:bidi w:val="0"/>
              <w:spacing w:before="0" w:after="0"/>
              <w:ind w:left="0" w:right="0" w:hanging="0"/>
              <w:jc w:val="both"/>
              <w:rPr>
                <w:color w:val="000000"/>
              </w:rPr>
            </w:pPr>
            <w:r>
              <w:rPr>
                <w:color w:val="000000"/>
              </w:rPr>
              <w:t xml:space="preserve">  </w:t>
            </w:r>
          </w:p>
        </w:tc>
        <w:tc>
          <w:tcPr>
            <w:tcW w:w="331" w:type="dxa"/>
            <w:tcBorders/>
          </w:tcPr>
          <w:p>
            <w:pPr>
              <w:pStyle w:val="TableContents"/>
              <w:bidi w:val="0"/>
              <w:spacing w:before="0" w:after="0"/>
              <w:ind w:left="0" w:right="0" w:hanging="0"/>
              <w:jc w:val="both"/>
              <w:rPr>
                <w:color w:val="000000"/>
              </w:rPr>
            </w:pPr>
            <w:r>
              <w:rPr>
                <w:color w:val="000000"/>
              </w:rPr>
              <w:t xml:space="preserve">• </w:t>
            </w:r>
          </w:p>
        </w:tc>
        <w:tc>
          <w:tcPr>
            <w:tcW w:w="964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supplier, manufacturing, or quality issues with our products;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4"/>
        <w:gridCol w:w="388"/>
        <w:gridCol w:w="9543"/>
      </w:tblGrid>
      <w:tr>
        <w:trPr/>
        <w:tc>
          <w:tcPr>
            <w:tcW w:w="274" w:type="dxa"/>
            <w:tcBorders/>
          </w:tcPr>
          <w:p>
            <w:pPr>
              <w:pStyle w:val="TableContents"/>
              <w:bidi w:val="0"/>
              <w:spacing w:before="0" w:after="0"/>
              <w:ind w:left="0" w:right="0" w:hanging="0"/>
              <w:jc w:val="both"/>
              <w:rPr>
                <w:color w:val="000000"/>
              </w:rPr>
            </w:pPr>
            <w:r>
              <w:rPr>
                <w:color w:val="000000"/>
              </w:rPr>
              <w:t xml:space="preserve">  </w:t>
            </w:r>
          </w:p>
        </w:tc>
        <w:tc>
          <w:tcPr>
            <w:tcW w:w="388" w:type="dxa"/>
            <w:tcBorders/>
          </w:tcPr>
          <w:p>
            <w:pPr>
              <w:pStyle w:val="TableContents"/>
              <w:bidi w:val="0"/>
              <w:spacing w:before="0" w:after="0"/>
              <w:ind w:left="0" w:right="0" w:hanging="0"/>
              <w:jc w:val="both"/>
              <w:rPr>
                <w:color w:val="000000"/>
              </w:rPr>
            </w:pPr>
            <w:r>
              <w:rPr>
                <w:color w:val="000000"/>
              </w:rPr>
              <w:t xml:space="preserve">• </w:t>
            </w:r>
          </w:p>
        </w:tc>
        <w:tc>
          <w:tcPr>
            <w:tcW w:w="954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stocking orders from our distributors;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3"/>
        <w:gridCol w:w="232"/>
        <w:gridCol w:w="9810"/>
      </w:tblGrid>
      <w:tr>
        <w:trPr/>
        <w:tc>
          <w:tcPr>
            <w:tcW w:w="163" w:type="dxa"/>
            <w:tcBorders/>
          </w:tcPr>
          <w:p>
            <w:pPr>
              <w:pStyle w:val="TableContents"/>
              <w:bidi w:val="0"/>
              <w:spacing w:before="0" w:after="0"/>
              <w:ind w:left="0" w:right="0" w:hanging="0"/>
              <w:jc w:val="both"/>
              <w:rPr>
                <w:color w:val="000000"/>
              </w:rPr>
            </w:pPr>
            <w:r>
              <w:rPr>
                <w:color w:val="000000"/>
              </w:rPr>
              <w:t xml:space="preserve">  </w:t>
            </w:r>
          </w:p>
        </w:tc>
        <w:tc>
          <w:tcPr>
            <w:tcW w:w="232" w:type="dxa"/>
            <w:tcBorders/>
          </w:tcPr>
          <w:p>
            <w:pPr>
              <w:pStyle w:val="TableContents"/>
              <w:bidi w:val="0"/>
              <w:spacing w:before="0" w:after="0"/>
              <w:ind w:left="0" w:right="0" w:hanging="0"/>
              <w:jc w:val="both"/>
              <w:rPr>
                <w:color w:val="000000"/>
              </w:rPr>
            </w:pPr>
            <w:r>
              <w:rPr>
                <w:color w:val="000000"/>
              </w:rPr>
              <w:t xml:space="preserve">• </w:t>
            </w:r>
          </w:p>
        </w:tc>
        <w:tc>
          <w:tcPr>
            <w:tcW w:w="98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our pricing policies or in the pricing policies of our competitors or suppliers;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5"/>
        <w:gridCol w:w="166"/>
        <w:gridCol w:w="9924"/>
      </w:tblGrid>
      <w:tr>
        <w:trPr/>
        <w:tc>
          <w:tcPr>
            <w:tcW w:w="115" w:type="dxa"/>
            <w:tcBorders/>
          </w:tcPr>
          <w:p>
            <w:pPr>
              <w:pStyle w:val="TableContents"/>
              <w:bidi w:val="0"/>
              <w:spacing w:before="0" w:after="283"/>
              <w:ind w:left="0" w:right="0" w:hanging="0"/>
              <w:jc w:val="left"/>
              <w:rPr/>
            </w:pPr>
            <w:r>
              <w:rPr/>
            </w:r>
          </w:p>
        </w:tc>
        <w:tc>
          <w:tcPr>
            <w:tcW w:w="16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24" w:type="dxa"/>
            <w:tcBorders/>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timing of working capital requirements;</w:t>
            </w:r>
          </w:p>
        </w:tc>
      </w:tr>
      <w:tr>
        <w:trPr/>
        <w:tc>
          <w:tcPr>
            <w:tcW w:w="115" w:type="dxa"/>
            <w:tcBorders/>
          </w:tcPr>
          <w:p>
            <w:pPr>
              <w:pStyle w:val="TableContents"/>
              <w:bidi w:val="0"/>
              <w:spacing w:before="0" w:after="0"/>
              <w:ind w:left="0" w:right="0" w:hanging="0"/>
              <w:jc w:val="both"/>
              <w:rPr>
                <w:color w:val="000000"/>
              </w:rPr>
            </w:pPr>
            <w:r>
              <w:rPr>
                <w:color w:val="000000"/>
              </w:rPr>
              <w:t xml:space="preserve">  </w:t>
            </w:r>
          </w:p>
        </w:tc>
        <w:tc>
          <w:tcPr>
            <w:tcW w:w="166" w:type="dxa"/>
            <w:tcBorders/>
          </w:tcPr>
          <w:p>
            <w:pPr>
              <w:pStyle w:val="TableContents"/>
              <w:bidi w:val="0"/>
              <w:spacing w:before="0" w:after="0"/>
              <w:ind w:left="0" w:right="0" w:hanging="0"/>
              <w:jc w:val="both"/>
              <w:rPr>
                <w:color w:val="000000"/>
              </w:rPr>
            </w:pPr>
            <w:r>
              <w:rPr>
                <w:color w:val="000000"/>
              </w:rPr>
              <w:t xml:space="preserve">• </w:t>
            </w:r>
          </w:p>
        </w:tc>
        <w:tc>
          <w:tcPr>
            <w:tcW w:w="992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adverse developments in coverage amounts, benefit pathway, or government and third-party payors’ reimbursement policies;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60"/>
        <w:gridCol w:w="510"/>
        <w:gridCol w:w="9335"/>
      </w:tblGrid>
      <w:tr>
        <w:trPr/>
        <w:tc>
          <w:tcPr>
            <w:tcW w:w="360" w:type="dxa"/>
            <w:tcBorders/>
          </w:tcPr>
          <w:p>
            <w:pPr>
              <w:pStyle w:val="TableContents"/>
              <w:bidi w:val="0"/>
              <w:spacing w:before="0" w:after="0"/>
              <w:ind w:left="0" w:right="0" w:hanging="0"/>
              <w:jc w:val="both"/>
              <w:rPr>
                <w:color w:val="000000"/>
              </w:rPr>
            </w:pPr>
            <w:r>
              <w:rPr>
                <w:color w:val="000000"/>
              </w:rPr>
              <w:t xml:space="preserve">  </w:t>
            </w:r>
          </w:p>
        </w:tc>
        <w:tc>
          <w:tcPr>
            <w:tcW w:w="510" w:type="dxa"/>
            <w:tcBorders/>
          </w:tcPr>
          <w:p>
            <w:pPr>
              <w:pStyle w:val="TableContents"/>
              <w:bidi w:val="0"/>
              <w:spacing w:before="0" w:after="0"/>
              <w:ind w:left="0" w:right="0" w:hanging="0"/>
              <w:jc w:val="both"/>
              <w:rPr>
                <w:color w:val="000000"/>
              </w:rPr>
            </w:pPr>
            <w:r>
              <w:rPr>
                <w:color w:val="000000"/>
              </w:rPr>
              <w:t xml:space="preserve">• </w:t>
            </w:r>
          </w:p>
        </w:tc>
        <w:tc>
          <w:tcPr>
            <w:tcW w:w="933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customer budget cycles.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results may also fluctuate on a seasonal basis due to the seasonality of cluster and migraine headache attacks for our medical device products and the holiday seasons for our general wellness products, which could affect the comparability of our results between periods. These seasonal variations are difficult to predict accurately, may vary across different markets, and at times may be entirely unpredictable, which introduce additional risk into our business because we may rely upon forecasts of customer demand to build inventory in advance of anticipated sales. In addition, we believe our limited commercial history has, in part, made our seasonal patterns more difficult to discern, making it more difficult to predict future seasonal patterns.</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derive a material portion of our revenue made pursuant to our qualifying contract under the Federal Supply Schedule or FSS, as well as open market sales to individual facilities within the government channels. While we have submitted a follow-on offer application for a new contract, there can be no assurance our application will be accepted which could adversely impact our business, results of operations, and financial condition.</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The majority of our 2024 sales were made pursuant to our qualifying contract under the Federal Supply Schedule or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 and subsequently extended to June 14, 2025. Although we continue to work with the appropriate government personnel to obtain a follow-on FSS contract, there can be no assurance that the VA will accept our follow-on application and replace our contract which may limit or eliminate our ability to sell certain gammaCore products into the government channel pursuant to our qualifying FSS contract or individual facilities that utilize our FSS contract number for open market purchases. The delay in contract replacement or loss of our FSS contract altogether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In August 2023, we signed a non-exclusive distribution agreement with Lovell Government Services (Lovell) providing Lovell the right to list and distribute certain gammaCore products into the federal market. The gammaCore products offered through Lovell provide government customers with similar product configuration options to those currently sold through our existing FSS contract and open market sales made directly to individual VA facilities. Between November 2023 and January 2024, certain gammaCore products were added to the FSS, the VA’s Distribution and Pricing Agreement (DAPA), GSA Advantage, and Defense Logistics Agency’s ECAT system procurement portals through the Lovell contract vehicles, enabling the purchase of gammaCore products within the government channel and throughout the federal markets, including, but not limited to, the VA. We expect a significant portion of our 2025 sales to continue in the government channel broadly pursuant to our FSS contract if extended and / or through our relationship with Lovell and its qualifying FSS, GSA, DAPA, ECAT contracts for which gammaCore has been added. There can be no assurance that government channel customers will adopt the new ordering process through Lovell and its qualifying FSS, GSA, DAPA, ECAT contracts, which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shd w:fill="FFFFFF" w:val="clear"/>
        </w:rPr>
      </w:pPr>
      <w:r>
        <w:rPr>
          <w:rFonts w:ascii="times new roman;times" w:hAnsi="times new roman;times"/>
          <w:b/>
          <w:i/>
          <w:sz w:val="20"/>
          <w:shd w:fill="FFFFFF" w:val="clear"/>
        </w:rPr>
        <w:t>We derive a material portion of our revenue from a limited number of customers, and the loss of one or more of these customers could adversely impact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Our customer base is concentrated. During the years ended December 31, 2024 and 2023, revenue from VA facilities pursuant to the terms and conditions of our qualifying contract under the FSS and open market sales represented 70.6% and 60.1% of our total revenue, respectively. In 2024, one specific VA facility represented approximately 11.3% of our revenue from this channel. If we were to lose one or more of our significant customers, our revenue may be adversely affected. The loss of one or more of our significant customers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expect an increasing portion of our 2025 sales will be made pursuant to the distribution agreement with Lovell and its contract vehicles, concentrating our customer base even further as revenue generated from the VA facilities pursuant to the terms and conditions of our qualifying contract under the FSS and open market sales is partially shifted to sales under our agreement with Lovell. Any delay in payments by our customers as well as any disagreement, disagreement or change in relationship status with the FSS procurement office, Lovell or other customers could adversely affect our business, results of operations, and financial condition.</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currently generate a small portion of our revenue through distribution of other manufacturers products through our government sales channel, and any issue arising from these products may impact our relationship with the Veterans Administration resulting in negative impact to our business.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a distribution agreement with Lovell, we currently distribute products manufactured by other companies throughout the VA. We do not control the production of these products, their regulations, or efficacy. There can be no assurance that the VA will adopt these products and any issues stemming from the use of these products distributed by or on behalf of the Company may adversely affect our relationship with the VA and negatively impact our business, results of operations, and financial condition. Additionally, there can be no assurance that we will continue to distribute such products throughout the VA in the future, which could negatively impact our business, results of operations, and financial condition.</w:t>
      </w:r>
    </w:p>
    <w:p>
      <w:pPr>
        <w:pStyle w:val="TextBody"/>
        <w:shd w:fill="FFFFFF" w:val="clear"/>
        <w:bidi w:val="0"/>
        <w:spacing w:lineRule="auto" w:line="288" w:before="0" w:after="0"/>
        <w:ind w:left="0" w:right="0" w:hanging="0"/>
        <w:jc w:val="left"/>
        <w:rPr>
          <w:sz w:val="20"/>
        </w:rPr>
      </w:pPr>
      <w:r>
        <w:rPr>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We currently distribute products manufactured by other companies. Any disruption in our supply chain, or our failure to successfully manage our relationships with our suppliers could harm our business.</w:t>
      </w:r>
      <w:r>
        <w:rPr>
          <w:rFonts w:ascii="times new roman;times" w:hAnsi="times new roman;times"/>
          <w:sz w:val="20"/>
        </w:rPr>
        <w:t xml:space="preserve"> </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distribute products supplied by other companies. If we fail to manage our relationships with our suppliers effectively, or if our suppliers experience delays, disruptions, capacity constraints, shortage of raw materials or components, or quality control problems in their operations, our ability to ship products may be impaired and our competitive position and reputation could be harmed. In addition, any adverse change in our suppliers financial or business condition could disrupt our ability to supply quality products to our customers. Such reliance increases our risks of various supply chain disruptions. In addition, qualifying a new supplier could be an expensive and lengthy process. If we experience increased demand that our suppliers are unable to fulfill, or if they are unable to provide us with adequate supplies of high-quality products for any reason, we could experience a delay in our order fulfillment, and it may have a material adverse effect on our business, results of operations, and financial condition.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Furthermore, we expect our suppliers to comply with all legal requirements relating to health and safety, labor relations, the environment, supply chain ethics, and transparency. If any of our suppliers engage in or are perceived to have engaged in legal or ethics violations, we may be unable to continue our relationship with such suppliers. If we are required to find alternative sources of supply, qualification of alternative suppliers and the establishment of reliable supplies could result in delays and a possible loss of sales, which may have a material adverse effect on our business, results of operations, and financial condition. Furthermore, the actions of our suppliers could, in certain instances, result in reputational damage to us.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Even when we effectively manage our suppliers and logistics partners, forces outside our control may still disrupt our supply chain. Such factors may include catastrophic events such as the COVID-19 pandemic, raw material shortages and price volatility; and sanctions, war, or other geopolitical conflict.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val="false"/>
          <w:color w:val="000000"/>
          <w:spacing w:val="0"/>
          <w:sz w:val="20"/>
        </w:rPr>
        <w:t>We rely on information technology and telephone networks and systems, including the internet, to process and transmit sensitive electronic information and to manage or support a variety of business processes and activities, including sales, billing, customer service,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w:t>
      </w:r>
      <w:r>
        <w:rPr>
          <w:rFonts w:ascii="times new roman;times" w:hAnsi="times new roman;times"/>
          <w:color w:val="000000"/>
          <w:sz w:val="20"/>
        </w:rPr>
        <w:t>uits</w:t>
      </w:r>
      <w:r>
        <w:rPr>
          <w:rFonts w:ascii="times new roman;times" w:hAnsi="times new roman;times"/>
          <w:b w:val="false"/>
          <w:color w:val="000000"/>
          <w:spacing w:val="0"/>
          <w:sz w:val="20"/>
        </w:rPr>
        <w:t>.</w:t>
      </w:r>
    </w:p>
    <w:p>
      <w:pPr>
        <w:pStyle w:val="TextBody"/>
        <w:widowControl/>
        <w:shd w:fill="FFFFFF" w:val="clear"/>
        <w:bidi w:val="0"/>
        <w:spacing w:lineRule="auto" w:line="288"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engage in future acquisitions that increase our capital requirements, dilute our stockholders, cause us to incur debt, or assume contingent liabilities that subject us to other risks.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evaluate various strategic transactions, including licensing or acquiring complementary therapies, products and technologies, or businesses. Any potential acquisitions may entail numerous risks, including increased operating expenses and cash requirements, assimilation of operations and products, retention of key employees, diversion of our management’</w:t>
      </w:r>
      <w:r>
        <w:rPr>
          <w:rFonts w:ascii="times new roman;times" w:hAnsi="times new roman;times"/>
          <w:color w:val="000000"/>
          <w:sz w:val="20"/>
        </w:rPr>
        <w:t>s attention, and uncertainties in our ability to maintain key business relationships of the acquired entity or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success depends in part on our ability to continually enhance and broaden our product offerings in response to changing customer demands, competitive pressures, and technologies. Accordingly, from time to time, we may consider opportunities to acquire or make investments in businesses or make investments in or license other technologies and products, that may enhance our capabilities, complement our current products, or expand the geographic or product breadth of our markets or customer base.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P</w:t>
      </w:r>
      <w:r>
        <w:rPr>
          <w:rFonts w:ascii="times new roman;times" w:hAnsi="times new roman;times"/>
          <w:sz w:val="20"/>
        </w:rPr>
        <w:t>otential and completed acquisitions, strategic investments, licenses, and other alliances involve numerous risks, including:</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difficulty assimilating or integrating acquired or licensed technologies, products, or business operations;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issues maintaining uniform standards, procedures, controls, and policies;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unanticipated costs associated with acquisitions or strategic alliances, including the assumption of unknown or contingent liabilities and the incurrence of debt or future write-offs of intangible assets or goodwill;</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diversion of management's attention from our core business and disruption of ongoing operations;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adverse effects on existing business relationships with suppliers, distributors, and customers;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risks associated with entering new markets in which we have limited or no experience;</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potential losses related to investments in other companies;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potential loss of key employees of the acquired business; and</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increased transaction, legal and accounting compliance costs.</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i/>
          <w:caps w:val="false"/>
          <w:smallCaps w:val="false"/>
          <w:color w:val="000000"/>
          <w:spacing w:val="0"/>
          <w:sz w:val="20"/>
        </w:rPr>
        <w:t>If serious adverse events or other undesirable side effects are identified during the use of our prescription gammaCore therapy in clinical trials or</w:t>
      </w:r>
      <w:r>
        <w:rPr>
          <w:rFonts w:ascii="times new roman;times" w:hAnsi="times new roman;times"/>
          <w:b w:val="false"/>
          <w:i w:val="false"/>
          <w:caps w:val="false"/>
          <w:smallCaps w:val="false"/>
          <w:color w:val="000000"/>
          <w:spacing w:val="0"/>
          <w:sz w:val="20"/>
        </w:rPr>
        <w:t> </w:t>
      </w:r>
      <w:r>
        <w:rPr>
          <w:rFonts w:ascii="times new roman;times" w:hAnsi="times new roman;times"/>
          <w:b/>
          <w:i/>
          <w:caps w:val="false"/>
          <w:smallCaps w:val="false"/>
          <w:color w:val="000000"/>
          <w:spacing w:val="0"/>
          <w:sz w:val="20"/>
        </w:rPr>
        <w:t>IITs (collectively and unless the context requires otherwise, “clinical trials”) or general wellness product consumer studies,</w:t>
      </w:r>
      <w:r>
        <w:rPr>
          <w:rFonts w:ascii="times new roman;times" w:hAnsi="times new roman;times"/>
          <w:b/>
          <w:i/>
          <w:caps w:val="false"/>
          <w:smallCaps w:val="false"/>
          <w:color w:val="000000"/>
          <w:spacing w:val="0"/>
          <w:sz w:val="20"/>
        </w:rPr>
        <w:t> it may adversely affect our development of such product candidates.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Undesirable side effects caused by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or general wellness products could cause us or regulatory authorities to interrupt, delay, or halt nonclinical studies and future clinical trials or could make it more difficult for us to enroll patients in clinical trials and could, if injuries occur, result in product liability litigation. If serious adverse events or other undesirable side effects or unexpected characteristics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or general wellness products are observed in clinical trials or consumer studies, further clinical development of such product candidate may be delayed or we may not be able to continue development of such product candidate at all, and the occurrence of these events could have a material adverse effect on our business. Undesirable side effects caused by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or general wellness products could also result in an inability to obtain consumer confidence in the efficacy of nVNS, the delay or denial of regulatory clearance or approval by the FDA or other regulatory authorities or in more restrictive labels than we desire.</w:t>
      </w:r>
    </w:p>
    <w:p>
      <w:pPr>
        <w:pStyle w:val="TextBody"/>
        <w:shd w:fill="FFFFFF" w:val="clear"/>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caps w:val="false"/>
          <w:smallCaps w:val="false"/>
          <w:color w:val="000000"/>
          <w:spacing w:val="0"/>
          <w:sz w:val="20"/>
        </w:rPr>
        <w:t>Commercialization of our </w:t>
      </w:r>
      <w:r>
        <w:rPr>
          <w:rFonts w:ascii="times new roman;times" w:hAnsi="times new roman;times"/>
          <w:b/>
          <w:i/>
          <w:caps w:val="false"/>
          <w:smallCaps w:val="false"/>
          <w:color w:val="000000"/>
          <w:spacing w:val="0"/>
          <w:sz w:val="20"/>
        </w:rPr>
        <w:t>prescription </w:t>
      </w:r>
      <w:r>
        <w:rPr>
          <w:rFonts w:ascii="times new roman;times" w:hAnsi="times new roman;times"/>
          <w:b/>
          <w:i/>
          <w:caps w:val="false"/>
          <w:smallCaps w:val="false"/>
          <w:color w:val="000000"/>
          <w:spacing w:val="0"/>
          <w:sz w:val="20"/>
        </w:rPr>
        <w:t>gammaCore Sapphire therapy for additional conditions may require clinical trials, which are very expensive, take a long time to complete, and are difficult to design and implement and involve uncertain outcomes. Furthermore, results of earlier preclinical studies and clinical trials may not be predictive of results of future preclinical studies, clinical trials, or commercial success.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risk of failure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 results of preclinical studies and early clinical trials may not be predictive of the results of later-stage preclinical studies or clinical trials. The results generated to date in preclinical studies or clinical trials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clinical trials for other treatment indications, even where we believe such data to be compelling.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and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Any clinical trial we conduct in the United States may subject us to additional costs and detriments compared to a foreign clinical trial, which may negatively impact our financial condition and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If we are unable to enroll patients in future clinical trials, our research and development efforts could be adversely affected.</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Identifying and qualifying patients to participate in future clinical trials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areas of indications are critical to our success. Successful and timely completion of future clinical trials will require that we enroll a sufficient number of patients who remain in the study until conclusion. If we are unable to enroll a sufficient number of patients in our future clinical trials, our timelines for recruiting patients, conducting clinical trials, and obtaining regulatory clearance or approval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areas of indication may be delayed. These delays could result in increased costs, delays in advancing our product development, delays in testing the effectiveness of our technology, or termination of clinical trials altogether.</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cannot predict how successful we will be at enrolling patients in future clinical trials. Patient enrollment is affected by other factors including: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8"/>
        <w:gridCol w:w="422"/>
        <w:gridCol w:w="9485"/>
      </w:tblGrid>
      <w:tr>
        <w:trPr/>
        <w:tc>
          <w:tcPr>
            <w:tcW w:w="298" w:type="dxa"/>
            <w:tcBorders/>
          </w:tcPr>
          <w:p>
            <w:pPr>
              <w:pStyle w:val="TableContents"/>
              <w:bidi w:val="0"/>
              <w:spacing w:before="0" w:after="0"/>
              <w:ind w:left="0" w:right="0" w:hanging="0"/>
              <w:jc w:val="both"/>
              <w:rPr>
                <w:color w:val="000000"/>
              </w:rPr>
            </w:pPr>
            <w:r>
              <w:rPr>
                <w:color w:val="000000"/>
              </w:rPr>
              <w:t xml:space="preserve">  </w:t>
            </w:r>
          </w:p>
        </w:tc>
        <w:tc>
          <w:tcPr>
            <w:tcW w:w="422" w:type="dxa"/>
            <w:tcBorders/>
          </w:tcPr>
          <w:p>
            <w:pPr>
              <w:pStyle w:val="TableContents"/>
              <w:bidi w:val="0"/>
              <w:spacing w:before="0" w:after="0"/>
              <w:ind w:left="0" w:right="0" w:hanging="0"/>
              <w:jc w:val="both"/>
              <w:rPr>
                <w:color w:val="000000"/>
              </w:rPr>
            </w:pPr>
            <w:r>
              <w:rPr>
                <w:color w:val="000000"/>
              </w:rPr>
              <w:t xml:space="preserve">• </w:t>
            </w:r>
          </w:p>
        </w:tc>
        <w:tc>
          <w:tcPr>
            <w:tcW w:w="948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eligibility criteria for the trial in question;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8"/>
        <w:gridCol w:w="295"/>
        <w:gridCol w:w="9702"/>
      </w:tblGrid>
      <w:tr>
        <w:trPr/>
        <w:tc>
          <w:tcPr>
            <w:tcW w:w="208" w:type="dxa"/>
            <w:tcBorders/>
          </w:tcPr>
          <w:p>
            <w:pPr>
              <w:pStyle w:val="TableContents"/>
              <w:bidi w:val="0"/>
              <w:spacing w:before="0" w:after="0"/>
              <w:ind w:left="0" w:right="0" w:hanging="0"/>
              <w:jc w:val="both"/>
              <w:rPr>
                <w:color w:val="000000"/>
              </w:rPr>
            </w:pPr>
            <w:r>
              <w:rPr>
                <w:color w:val="000000"/>
              </w:rPr>
              <w:t xml:space="preserve">  </w:t>
            </w:r>
          </w:p>
        </w:tc>
        <w:tc>
          <w:tcPr>
            <w:tcW w:w="295" w:type="dxa"/>
            <w:tcBorders/>
          </w:tcPr>
          <w:p>
            <w:pPr>
              <w:pStyle w:val="TableContents"/>
              <w:bidi w:val="0"/>
              <w:spacing w:before="0" w:after="0"/>
              <w:ind w:left="0" w:right="0" w:hanging="0"/>
              <w:jc w:val="both"/>
              <w:rPr>
                <w:color w:val="000000"/>
              </w:rPr>
            </w:pPr>
            <w:r>
              <w:rPr>
                <w:color w:val="000000"/>
              </w:rPr>
              <w:t xml:space="preserve">• </w:t>
            </w:r>
          </w:p>
        </w:tc>
        <w:tc>
          <w:tcPr>
            <w:tcW w:w="970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perceived risks and benefits of the product candidate in the trial;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6"/>
        <w:gridCol w:w="236"/>
        <w:gridCol w:w="9803"/>
      </w:tblGrid>
      <w:tr>
        <w:trPr/>
        <w:tc>
          <w:tcPr>
            <w:tcW w:w="166" w:type="dxa"/>
            <w:tcBorders/>
          </w:tcPr>
          <w:p>
            <w:pPr>
              <w:pStyle w:val="TableContents"/>
              <w:bidi w:val="0"/>
              <w:spacing w:before="0" w:after="0"/>
              <w:ind w:left="0" w:right="0" w:hanging="0"/>
              <w:jc w:val="both"/>
              <w:rPr>
                <w:color w:val="000000"/>
              </w:rPr>
            </w:pPr>
            <w:r>
              <w:rPr>
                <w:color w:val="000000"/>
              </w:rPr>
              <w:t xml:space="preserve">  </w:t>
            </w:r>
          </w:p>
        </w:tc>
        <w:tc>
          <w:tcPr>
            <w:tcW w:w="236" w:type="dxa"/>
            <w:tcBorders/>
          </w:tcPr>
          <w:p>
            <w:pPr>
              <w:pStyle w:val="TableContents"/>
              <w:bidi w:val="0"/>
              <w:spacing w:before="0" w:after="0"/>
              <w:ind w:left="0" w:right="0" w:hanging="0"/>
              <w:jc w:val="both"/>
              <w:rPr>
                <w:color w:val="000000"/>
              </w:rPr>
            </w:pPr>
            <w:r>
              <w:rPr>
                <w:color w:val="000000"/>
              </w:rPr>
              <w:t xml:space="preserve">• </w:t>
            </w:r>
          </w:p>
        </w:tc>
        <w:tc>
          <w:tcPr>
            <w:tcW w:w="98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size of the patient population required for analysis of the trial’s primary endpoints;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6"/>
        <w:gridCol w:w="236"/>
        <w:gridCol w:w="9803"/>
      </w:tblGrid>
      <w:tr>
        <w:trPr/>
        <w:tc>
          <w:tcPr>
            <w:tcW w:w="166" w:type="dxa"/>
            <w:tcBorders/>
          </w:tcPr>
          <w:p>
            <w:pPr>
              <w:pStyle w:val="TableContents"/>
              <w:bidi w:val="0"/>
              <w:spacing w:before="0" w:after="0"/>
              <w:ind w:left="0" w:right="0" w:hanging="0"/>
              <w:jc w:val="both"/>
              <w:rPr>
                <w:color w:val="000000"/>
              </w:rPr>
            </w:pPr>
            <w:r>
              <w:rPr>
                <w:color w:val="000000"/>
              </w:rPr>
              <w:t xml:space="preserve">  </w:t>
            </w:r>
          </w:p>
        </w:tc>
        <w:tc>
          <w:tcPr>
            <w:tcW w:w="236" w:type="dxa"/>
            <w:tcBorders/>
          </w:tcPr>
          <w:p>
            <w:pPr>
              <w:pStyle w:val="TableContents"/>
              <w:bidi w:val="0"/>
              <w:spacing w:before="0" w:after="0"/>
              <w:ind w:left="0" w:right="0" w:hanging="0"/>
              <w:jc w:val="both"/>
              <w:rPr>
                <w:color w:val="000000"/>
              </w:rPr>
            </w:pPr>
            <w:r>
              <w:rPr>
                <w:color w:val="000000"/>
              </w:rPr>
              <w:t xml:space="preserve">• </w:t>
            </w:r>
          </w:p>
        </w:tc>
        <w:tc>
          <w:tcPr>
            <w:tcW w:w="98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competition for patients for competitive product candidates undergoing 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3"/>
        <w:gridCol w:w="346"/>
        <w:gridCol w:w="9616"/>
      </w:tblGrid>
      <w:tr>
        <w:trPr/>
        <w:tc>
          <w:tcPr>
            <w:tcW w:w="243" w:type="dxa"/>
            <w:tcBorders/>
          </w:tcPr>
          <w:p>
            <w:pPr>
              <w:pStyle w:val="TableContents"/>
              <w:bidi w:val="0"/>
              <w:spacing w:before="0" w:after="0"/>
              <w:ind w:left="0" w:right="0" w:hanging="0"/>
              <w:jc w:val="both"/>
              <w:rPr>
                <w:color w:val="000000"/>
              </w:rPr>
            </w:pPr>
            <w:r>
              <w:rPr>
                <w:color w:val="000000"/>
              </w:rPr>
              <w:t xml:space="preserve">  </w:t>
            </w:r>
          </w:p>
        </w:tc>
        <w:tc>
          <w:tcPr>
            <w:tcW w:w="346" w:type="dxa"/>
            <w:tcBorders/>
          </w:tcPr>
          <w:p>
            <w:pPr>
              <w:pStyle w:val="TableContents"/>
              <w:bidi w:val="0"/>
              <w:spacing w:before="0" w:after="0"/>
              <w:ind w:left="0" w:right="0" w:hanging="0"/>
              <w:jc w:val="both"/>
              <w:rPr>
                <w:color w:val="000000"/>
              </w:rPr>
            </w:pPr>
            <w:r>
              <w:rPr>
                <w:color w:val="000000"/>
              </w:rPr>
              <w:t xml:space="preserve">• </w:t>
            </w:r>
          </w:p>
        </w:tc>
        <w:tc>
          <w:tcPr>
            <w:tcW w:w="961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efforts to facilitate timely enrollment in 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72"/>
        <w:gridCol w:w="810"/>
        <w:gridCol w:w="8823"/>
      </w:tblGrid>
      <w:tr>
        <w:trPr/>
        <w:tc>
          <w:tcPr>
            <w:tcW w:w="572" w:type="dxa"/>
            <w:tcBorders/>
          </w:tcPr>
          <w:p>
            <w:pPr>
              <w:pStyle w:val="TableContents"/>
              <w:bidi w:val="0"/>
              <w:spacing w:before="0" w:after="0"/>
              <w:ind w:left="0" w:right="0" w:hanging="0"/>
              <w:jc w:val="both"/>
              <w:rPr>
                <w:color w:val="000000"/>
              </w:rPr>
            </w:pPr>
            <w:r>
              <w:rPr>
                <w:color w:val="000000"/>
              </w:rPr>
              <w:t xml:space="preserve">  </w:t>
            </w:r>
          </w:p>
        </w:tc>
        <w:tc>
          <w:tcPr>
            <w:tcW w:w="810" w:type="dxa"/>
            <w:tcBorders/>
          </w:tcPr>
          <w:p>
            <w:pPr>
              <w:pStyle w:val="TableContents"/>
              <w:bidi w:val="0"/>
              <w:spacing w:before="0" w:after="0"/>
              <w:ind w:left="0" w:right="0" w:hanging="0"/>
              <w:jc w:val="both"/>
              <w:rPr>
                <w:color w:val="000000"/>
              </w:rPr>
            </w:pPr>
            <w:r>
              <w:rPr>
                <w:color w:val="000000"/>
              </w:rPr>
              <w:t xml:space="preserve">• </w:t>
            </w:r>
          </w:p>
        </w:tc>
        <w:tc>
          <w:tcPr>
            <w:tcW w:w="882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design of the trial;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2"/>
        <w:gridCol w:w="458"/>
        <w:gridCol w:w="9425"/>
      </w:tblGrid>
      <w:tr>
        <w:trPr/>
        <w:tc>
          <w:tcPr>
            <w:tcW w:w="322" w:type="dxa"/>
            <w:tcBorders/>
          </w:tcPr>
          <w:p>
            <w:pPr>
              <w:pStyle w:val="TableContents"/>
              <w:bidi w:val="0"/>
              <w:spacing w:before="0" w:after="0"/>
              <w:ind w:left="0" w:right="0" w:hanging="0"/>
              <w:jc w:val="both"/>
              <w:rPr>
                <w:color w:val="000000"/>
              </w:rPr>
            </w:pPr>
            <w:r>
              <w:rPr>
                <w:color w:val="000000"/>
              </w:rPr>
              <w:t xml:space="preserve">  </w:t>
            </w:r>
          </w:p>
        </w:tc>
        <w:tc>
          <w:tcPr>
            <w:tcW w:w="458" w:type="dxa"/>
            <w:tcBorders/>
          </w:tcPr>
          <w:p>
            <w:pPr>
              <w:pStyle w:val="TableContents"/>
              <w:bidi w:val="0"/>
              <w:spacing w:before="0" w:after="0"/>
              <w:ind w:left="0" w:right="0" w:hanging="0"/>
              <w:jc w:val="both"/>
              <w:rPr>
                <w:color w:val="000000"/>
              </w:rPr>
            </w:pPr>
            <w:r>
              <w:rPr>
                <w:color w:val="000000"/>
              </w:rPr>
              <w:t xml:space="preserve">• </w:t>
            </w:r>
          </w:p>
        </w:tc>
        <w:tc>
          <w:tcPr>
            <w:tcW w:w="942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patient referral practices of physicians;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7"/>
        <w:gridCol w:w="209"/>
        <w:gridCol w:w="9849"/>
      </w:tblGrid>
      <w:tr>
        <w:trPr/>
        <w:tc>
          <w:tcPr>
            <w:tcW w:w="147" w:type="dxa"/>
            <w:tcBorders/>
          </w:tcPr>
          <w:p>
            <w:pPr>
              <w:pStyle w:val="TableContents"/>
              <w:bidi w:val="0"/>
              <w:spacing w:before="0" w:after="0"/>
              <w:ind w:left="0" w:right="0" w:hanging="0"/>
              <w:jc w:val="both"/>
              <w:rPr>
                <w:color w:val="000000"/>
              </w:rPr>
            </w:pPr>
            <w:r>
              <w:rPr>
                <w:color w:val="000000"/>
              </w:rPr>
              <w:t xml:space="preserve">  </w:t>
            </w:r>
          </w:p>
        </w:tc>
        <w:tc>
          <w:tcPr>
            <w:tcW w:w="209" w:type="dxa"/>
            <w:tcBorders/>
          </w:tcPr>
          <w:p>
            <w:pPr>
              <w:pStyle w:val="TableContents"/>
              <w:bidi w:val="0"/>
              <w:spacing w:before="0" w:after="0"/>
              <w:ind w:left="0" w:right="0" w:hanging="0"/>
              <w:jc w:val="both"/>
              <w:rPr>
                <w:color w:val="000000"/>
              </w:rPr>
            </w:pPr>
            <w:r>
              <w:rPr>
                <w:color w:val="000000"/>
              </w:rPr>
              <w:t xml:space="preserve">• </w:t>
            </w:r>
          </w:p>
        </w:tc>
        <w:tc>
          <w:tcPr>
            <w:tcW w:w="984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ability to recruit clinical trial investigators with the appropriate competencies and experience;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6"/>
        <w:gridCol w:w="292"/>
        <w:gridCol w:w="9707"/>
      </w:tblGrid>
      <w:tr>
        <w:trPr/>
        <w:tc>
          <w:tcPr>
            <w:tcW w:w="206" w:type="dxa"/>
            <w:tcBorders/>
          </w:tcPr>
          <w:p>
            <w:pPr>
              <w:pStyle w:val="TableContents"/>
              <w:bidi w:val="0"/>
              <w:spacing w:before="0" w:after="0"/>
              <w:ind w:left="0" w:right="0" w:hanging="0"/>
              <w:jc w:val="both"/>
              <w:rPr>
                <w:color w:val="000000"/>
              </w:rPr>
            </w:pPr>
            <w:r>
              <w:rPr>
                <w:color w:val="000000"/>
              </w:rPr>
              <w:t xml:space="preserve">  </w:t>
            </w:r>
          </w:p>
        </w:tc>
        <w:tc>
          <w:tcPr>
            <w:tcW w:w="292" w:type="dxa"/>
            <w:tcBorders/>
          </w:tcPr>
          <w:p>
            <w:pPr>
              <w:pStyle w:val="TableContents"/>
              <w:bidi w:val="0"/>
              <w:spacing w:before="0" w:after="0"/>
              <w:ind w:left="0" w:right="0" w:hanging="0"/>
              <w:jc w:val="both"/>
              <w:rPr>
                <w:color w:val="000000"/>
              </w:rPr>
            </w:pPr>
            <w:r>
              <w:rPr>
                <w:color w:val="000000"/>
              </w:rPr>
              <w:t xml:space="preserve">• </w:t>
            </w:r>
          </w:p>
        </w:tc>
        <w:tc>
          <w:tcPr>
            <w:tcW w:w="970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monitor patients adequately during and after treatment;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9"/>
        <w:gridCol w:w="225"/>
        <w:gridCol w:w="9821"/>
      </w:tblGrid>
      <w:tr>
        <w:trPr/>
        <w:tc>
          <w:tcPr>
            <w:tcW w:w="159" w:type="dxa"/>
            <w:tcBorders/>
          </w:tcPr>
          <w:p>
            <w:pPr>
              <w:pStyle w:val="TableContents"/>
              <w:bidi w:val="0"/>
              <w:spacing w:before="0" w:after="0"/>
              <w:ind w:left="0" w:right="0" w:hanging="0"/>
              <w:jc w:val="both"/>
              <w:rPr>
                <w:color w:val="000000"/>
              </w:rPr>
            </w:pPr>
            <w:r>
              <w:rPr>
                <w:color w:val="000000"/>
              </w:rPr>
              <w:t xml:space="preserve">  </w:t>
            </w:r>
          </w:p>
        </w:tc>
        <w:tc>
          <w:tcPr>
            <w:tcW w:w="225" w:type="dxa"/>
            <w:tcBorders/>
          </w:tcPr>
          <w:p>
            <w:pPr>
              <w:pStyle w:val="TableContents"/>
              <w:bidi w:val="0"/>
              <w:spacing w:before="0" w:after="0"/>
              <w:ind w:left="0" w:right="0" w:hanging="0"/>
              <w:jc w:val="both"/>
              <w:rPr>
                <w:color w:val="000000"/>
              </w:rPr>
            </w:pPr>
            <w:r>
              <w:rPr>
                <w:color w:val="000000"/>
              </w:rPr>
              <w:t xml:space="preserve">• </w:t>
            </w:r>
          </w:p>
        </w:tc>
        <w:tc>
          <w:tcPr>
            <w:tcW w:w="982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risk that patients enrolled in clinical trials will drop out of the trials before completion;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1"/>
        <w:gridCol w:w="385"/>
        <w:gridCol w:w="9549"/>
      </w:tblGrid>
      <w:tr>
        <w:trPr/>
        <w:tc>
          <w:tcPr>
            <w:tcW w:w="271" w:type="dxa"/>
            <w:tcBorders/>
          </w:tcPr>
          <w:p>
            <w:pPr>
              <w:pStyle w:val="TableContents"/>
              <w:bidi w:val="0"/>
              <w:spacing w:before="0" w:after="0"/>
              <w:ind w:left="0" w:right="0" w:hanging="0"/>
              <w:jc w:val="both"/>
              <w:rPr>
                <w:color w:val="000000"/>
              </w:rPr>
            </w:pPr>
            <w:r>
              <w:rPr>
                <w:color w:val="000000"/>
              </w:rPr>
              <w:t xml:space="preserve">  </w:t>
            </w:r>
          </w:p>
        </w:tc>
        <w:tc>
          <w:tcPr>
            <w:tcW w:w="385" w:type="dxa"/>
            <w:tcBorders/>
          </w:tcPr>
          <w:p>
            <w:pPr>
              <w:pStyle w:val="TableContents"/>
              <w:bidi w:val="0"/>
              <w:spacing w:before="0" w:after="0"/>
              <w:ind w:left="0" w:right="0" w:hanging="0"/>
              <w:jc w:val="both"/>
              <w:rPr>
                <w:color w:val="000000"/>
              </w:rPr>
            </w:pPr>
            <w:r>
              <w:rPr>
                <w:color w:val="000000"/>
              </w:rPr>
              <w:t xml:space="preserve">• </w:t>
            </w:r>
          </w:p>
        </w:tc>
        <w:tc>
          <w:tcPr>
            <w:tcW w:w="954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obtain and maintain patient consents;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number of patients with the indication being studied and the difficult of diagnosing the relevant condition or disease;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9"/>
        <w:gridCol w:w="270"/>
        <w:gridCol w:w="9746"/>
      </w:tblGrid>
      <w:tr>
        <w:trPr/>
        <w:tc>
          <w:tcPr>
            <w:tcW w:w="189" w:type="dxa"/>
            <w:tcBorders/>
          </w:tcPr>
          <w:p>
            <w:pPr>
              <w:pStyle w:val="TableContents"/>
              <w:bidi w:val="0"/>
              <w:spacing w:before="0" w:after="0"/>
              <w:ind w:left="0" w:right="0" w:hanging="0"/>
              <w:jc w:val="both"/>
              <w:rPr>
                <w:color w:val="000000"/>
              </w:rPr>
            </w:pPr>
            <w:r>
              <w:rPr>
                <w:color w:val="000000"/>
              </w:rPr>
              <w:t xml:space="preserve">  </w:t>
            </w:r>
          </w:p>
        </w:tc>
        <w:tc>
          <w:tcPr>
            <w:tcW w:w="270" w:type="dxa"/>
            <w:tcBorders/>
          </w:tcPr>
          <w:p>
            <w:pPr>
              <w:pStyle w:val="TableContents"/>
              <w:bidi w:val="0"/>
              <w:spacing w:before="0" w:after="0"/>
              <w:ind w:left="0" w:right="0" w:hanging="0"/>
              <w:jc w:val="both"/>
              <w:rPr>
                <w:color w:val="000000"/>
              </w:rPr>
            </w:pPr>
            <w:r>
              <w:rPr>
                <w:color w:val="000000"/>
              </w:rPr>
              <w:t xml:space="preserve">• </w:t>
            </w:r>
          </w:p>
        </w:tc>
        <w:tc>
          <w:tcPr>
            <w:tcW w:w="97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proximity and availability of clinical trial sites for prospective patients.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Delays in the completion of any clinical trial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will increase our costs, slow down our expansion into additional treatment indications and approval process, and delay or potentially jeopardize our ability to commence product sales and generate future revenue. We have recently reduced resources in research and development which may delay our receipt of regulatory approvals for additional indications. In addition, many of the factors that may lead to a delay in the commencement or completion of clinical trials may also ultimately lead to the denial of regulatory clearance or approval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treatment indications.</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caps w:val="false"/>
          <w:smallCaps w:val="false"/>
          <w:color w:val="000000"/>
          <w:spacing w:val="0"/>
          <w:sz w:val="20"/>
        </w:rPr>
        <w:t>Clinical trials may be delayed, suspended, or terminated for many reasons, which will increase our expenses and delay the time it takes to develop and expand our </w:t>
      </w:r>
      <w:r>
        <w:rPr>
          <w:rFonts w:ascii="times new roman;times" w:hAnsi="times new roman;times"/>
          <w:b/>
          <w:i/>
          <w:caps w:val="false"/>
          <w:smallCaps w:val="false"/>
          <w:color w:val="000000"/>
          <w:spacing w:val="0"/>
          <w:sz w:val="20"/>
        </w:rPr>
        <w:t>prescription </w:t>
      </w:r>
      <w:r>
        <w:rPr>
          <w:rFonts w:ascii="times new roman;times" w:hAnsi="times new roman;times"/>
          <w:b/>
          <w:i/>
          <w:caps w:val="false"/>
          <w:smallCaps w:val="false"/>
          <w:color w:val="000000"/>
          <w:spacing w:val="0"/>
          <w:sz w:val="20"/>
        </w:rPr>
        <w:t>gammaCore therapy in additional treatment indications.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may experience delays in our ongoing or future preclinical studies or clinical trials, and we do not know whether future preclinical studies or clinical trials will begin on time, need to be redesigned, will enroll an adequate number of patients on time or be completed on schedule, if at all. The commencement and completion of clinical trials may be delayed, suspended or terminated as a result of many factors, including:</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42"/>
        <w:gridCol w:w="203"/>
        <w:gridCol w:w="9860"/>
      </w:tblGrid>
      <w:tr>
        <w:trPr/>
        <w:tc>
          <w:tcPr>
            <w:tcW w:w="142" w:type="dxa"/>
            <w:tcBorders/>
          </w:tcPr>
          <w:p>
            <w:pPr>
              <w:pStyle w:val="TableContents"/>
              <w:bidi w:val="0"/>
              <w:spacing w:before="0" w:after="0"/>
              <w:ind w:left="0" w:right="0" w:hanging="0"/>
              <w:jc w:val="both"/>
              <w:rPr>
                <w:color w:val="000000"/>
              </w:rPr>
            </w:pPr>
            <w:r>
              <w:rPr>
                <w:color w:val="000000"/>
              </w:rPr>
              <w:t xml:space="preserve">  </w:t>
            </w:r>
          </w:p>
        </w:tc>
        <w:tc>
          <w:tcPr>
            <w:tcW w:w="203" w:type="dxa"/>
            <w:tcBorders/>
          </w:tcPr>
          <w:p>
            <w:pPr>
              <w:pStyle w:val="TableContents"/>
              <w:bidi w:val="0"/>
              <w:spacing w:before="0" w:after="0"/>
              <w:ind w:left="0" w:right="0" w:hanging="0"/>
              <w:jc w:val="both"/>
              <w:rPr>
                <w:color w:val="000000"/>
              </w:rPr>
            </w:pPr>
            <w:r>
              <w:rPr>
                <w:color w:val="000000"/>
              </w:rPr>
              <w:t xml:space="preserve">• </w:t>
            </w:r>
          </w:p>
        </w:tc>
        <w:tc>
          <w:tcPr>
            <w:tcW w:w="986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FDA or other regulators disagreeing as to the design, protocol or implementation of clinical trials;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9"/>
        <w:gridCol w:w="160"/>
        <w:gridCol w:w="9936"/>
      </w:tblGrid>
      <w:tr>
        <w:trPr/>
        <w:tc>
          <w:tcPr>
            <w:tcW w:w="109" w:type="dxa"/>
            <w:tcBorders/>
          </w:tcPr>
          <w:p>
            <w:pPr>
              <w:pStyle w:val="TableContents"/>
              <w:bidi w:val="0"/>
              <w:spacing w:before="0" w:after="0"/>
              <w:ind w:left="0" w:right="0" w:hanging="0"/>
              <w:jc w:val="both"/>
              <w:rPr>
                <w:color w:val="000000"/>
              </w:rPr>
            </w:pPr>
            <w:r>
              <w:rPr>
                <w:color w:val="000000"/>
              </w:rPr>
              <w:t xml:space="preserve">  </w:t>
            </w:r>
          </w:p>
        </w:tc>
        <w:tc>
          <w:tcPr>
            <w:tcW w:w="160" w:type="dxa"/>
            <w:tcBorders/>
          </w:tcPr>
          <w:p>
            <w:pPr>
              <w:pStyle w:val="TableContents"/>
              <w:bidi w:val="0"/>
              <w:spacing w:before="0" w:after="0"/>
              <w:ind w:left="0" w:right="0" w:hanging="0"/>
              <w:jc w:val="both"/>
              <w:rPr>
                <w:color w:val="000000"/>
              </w:rPr>
            </w:pPr>
            <w:r>
              <w:rPr>
                <w:color w:val="000000"/>
              </w:rPr>
              <w:t xml:space="preserve">• </w:t>
            </w:r>
          </w:p>
        </w:tc>
        <w:tc>
          <w:tcPr>
            <w:tcW w:w="993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delay or refusal of regulators or institutional review boards (or IRBs) to authorize us to commence a clinical trial at a prospective trial site;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3"/>
        <w:gridCol w:w="331"/>
        <w:gridCol w:w="9641"/>
      </w:tblGrid>
      <w:tr>
        <w:trPr/>
        <w:tc>
          <w:tcPr>
            <w:tcW w:w="233" w:type="dxa"/>
            <w:tcBorders/>
          </w:tcPr>
          <w:p>
            <w:pPr>
              <w:pStyle w:val="TableContents"/>
              <w:bidi w:val="0"/>
              <w:spacing w:before="0" w:after="0"/>
              <w:ind w:left="0" w:right="0" w:hanging="0"/>
              <w:jc w:val="both"/>
              <w:rPr>
                <w:color w:val="000000"/>
              </w:rPr>
            </w:pPr>
            <w:r>
              <w:rPr>
                <w:color w:val="000000"/>
              </w:rPr>
              <w:t xml:space="preserve">  </w:t>
            </w:r>
          </w:p>
        </w:tc>
        <w:tc>
          <w:tcPr>
            <w:tcW w:w="331" w:type="dxa"/>
            <w:tcBorders/>
          </w:tcPr>
          <w:p>
            <w:pPr>
              <w:pStyle w:val="TableContents"/>
              <w:bidi w:val="0"/>
              <w:spacing w:before="0" w:after="0"/>
              <w:ind w:left="0" w:right="0" w:hanging="0"/>
              <w:jc w:val="both"/>
              <w:rPr>
                <w:color w:val="000000"/>
              </w:rPr>
            </w:pPr>
            <w:r>
              <w:rPr>
                <w:color w:val="000000"/>
              </w:rPr>
              <w:t xml:space="preserve">• </w:t>
            </w:r>
          </w:p>
        </w:tc>
        <w:tc>
          <w:tcPr>
            <w:tcW w:w="964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regulatory requirements, policies and guidelines;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or failure to reach agreement on acceptable terms with prospective clinical research organizations (or CROs) and clinical trial sites, the terms of which can be subject to extensive negotiation and may vary significantly among different CROs and trial sites;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5"/>
        <w:gridCol w:w="193"/>
        <w:gridCol w:w="9877"/>
      </w:tblGrid>
      <w:tr>
        <w:trPr/>
        <w:tc>
          <w:tcPr>
            <w:tcW w:w="135" w:type="dxa"/>
            <w:tcBorders/>
          </w:tcPr>
          <w:p>
            <w:pPr>
              <w:pStyle w:val="TableContents"/>
              <w:bidi w:val="0"/>
              <w:spacing w:before="0" w:after="0"/>
              <w:ind w:left="0" w:right="0" w:hanging="0"/>
              <w:jc w:val="both"/>
              <w:rPr>
                <w:color w:val="000000"/>
              </w:rPr>
            </w:pPr>
            <w:r>
              <w:rPr>
                <w:color w:val="000000"/>
              </w:rPr>
              <w:t xml:space="preserve">  </w:t>
            </w:r>
          </w:p>
        </w:tc>
        <w:tc>
          <w:tcPr>
            <w:tcW w:w="193" w:type="dxa"/>
            <w:tcBorders/>
          </w:tcPr>
          <w:p>
            <w:pPr>
              <w:pStyle w:val="TableContents"/>
              <w:bidi w:val="0"/>
              <w:spacing w:before="0" w:after="0"/>
              <w:ind w:left="0" w:right="0" w:hanging="0"/>
              <w:jc w:val="both"/>
              <w:rPr>
                <w:color w:val="000000"/>
              </w:rPr>
            </w:pPr>
            <w:r>
              <w:rPr>
                <w:color w:val="000000"/>
              </w:rPr>
              <w:t xml:space="preserve">• </w:t>
            </w:r>
          </w:p>
        </w:tc>
        <w:tc>
          <w:tcPr>
            <w:tcW w:w="987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in patient enrollment and variability in the number and types of patients available for 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inability to enroll a sufficient number of patients in trials, particularly in orphan indications, to observe statistically significant treatment effects in the trial;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6"/>
        <w:gridCol w:w="264"/>
        <w:gridCol w:w="9755"/>
      </w:tblGrid>
      <w:tr>
        <w:trPr/>
        <w:tc>
          <w:tcPr>
            <w:tcW w:w="186" w:type="dxa"/>
            <w:tcBorders/>
          </w:tcPr>
          <w:p>
            <w:pPr>
              <w:pStyle w:val="TableContents"/>
              <w:bidi w:val="0"/>
              <w:spacing w:before="0" w:after="0"/>
              <w:ind w:left="0" w:right="0" w:hanging="0"/>
              <w:jc w:val="both"/>
              <w:rPr>
                <w:color w:val="000000"/>
              </w:rPr>
            </w:pPr>
            <w:r>
              <w:rPr>
                <w:color w:val="000000"/>
              </w:rPr>
              <w:t xml:space="preserve">  </w:t>
            </w:r>
          </w:p>
        </w:tc>
        <w:tc>
          <w:tcPr>
            <w:tcW w:w="264" w:type="dxa"/>
            <w:tcBorders/>
          </w:tcPr>
          <w:p>
            <w:pPr>
              <w:pStyle w:val="TableContents"/>
              <w:bidi w:val="0"/>
              <w:spacing w:before="0" w:after="0"/>
              <w:ind w:left="0" w:right="0" w:hanging="0"/>
              <w:jc w:val="both"/>
              <w:rPr>
                <w:color w:val="000000"/>
              </w:rPr>
            </w:pPr>
            <w:r>
              <w:rPr>
                <w:color w:val="000000"/>
              </w:rPr>
              <w:t xml:space="preserve">• </w:t>
            </w:r>
          </w:p>
        </w:tc>
        <w:tc>
          <w:tcPr>
            <w:tcW w:w="975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having clinical sites deviate from the trial protocol or dropping out of a trial;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negative or inconclusive results from ongoing preclinical studies or clinical trials, which may require us to conduct additional preclinical studies or clinical trials, or to abandon projects that we expect to be promising;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safety or tolerability concerns that could cause us to suspend or terminate a trial if we find that the participants are being exposed to unacceptable health risks;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9"/>
        <w:gridCol w:w="197"/>
        <w:gridCol w:w="9869"/>
      </w:tblGrid>
      <w:tr>
        <w:trPr/>
        <w:tc>
          <w:tcPr>
            <w:tcW w:w="139" w:type="dxa"/>
            <w:tcBorders/>
          </w:tcPr>
          <w:p>
            <w:pPr>
              <w:pStyle w:val="TableContents"/>
              <w:bidi w:val="0"/>
              <w:spacing w:before="0" w:after="0"/>
              <w:ind w:left="0" w:right="0" w:hanging="0"/>
              <w:jc w:val="both"/>
              <w:rPr>
                <w:color w:val="000000"/>
              </w:rPr>
            </w:pPr>
            <w:r>
              <w:rPr>
                <w:color w:val="000000"/>
              </w:rPr>
              <w:t xml:space="preserve">  </w:t>
            </w:r>
          </w:p>
        </w:tc>
        <w:tc>
          <w:tcPr>
            <w:tcW w:w="197" w:type="dxa"/>
            <w:tcBorders/>
          </w:tcPr>
          <w:p>
            <w:pPr>
              <w:pStyle w:val="TableContents"/>
              <w:bidi w:val="0"/>
              <w:spacing w:before="0" w:after="0"/>
              <w:ind w:left="0" w:right="0" w:hanging="0"/>
              <w:jc w:val="both"/>
              <w:rPr>
                <w:color w:val="000000"/>
              </w:rPr>
            </w:pPr>
            <w:r>
              <w:rPr>
                <w:color w:val="000000"/>
              </w:rPr>
              <w:t xml:space="preserve">• </w:t>
            </w:r>
          </w:p>
        </w:tc>
        <w:tc>
          <w:tcPr>
            <w:tcW w:w="986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reports from preclinical or clinical testing of other similar therapies that raise safety or efficacy concerns;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regulators or IRBs requiring that we or our investigators suspend or terminate clinical research for various reasons, including non-compliance with regulatory requirements or safety concerns, among others;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7"/>
        <w:gridCol w:w="252"/>
        <w:gridCol w:w="9776"/>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2" w:type="dxa"/>
            <w:tcBorders/>
          </w:tcPr>
          <w:p>
            <w:pPr>
              <w:pStyle w:val="TableContents"/>
              <w:bidi w:val="0"/>
              <w:spacing w:before="0" w:after="0"/>
              <w:ind w:left="0" w:right="0" w:hanging="0"/>
              <w:jc w:val="both"/>
              <w:rPr>
                <w:color w:val="000000"/>
              </w:rPr>
            </w:pPr>
            <w:r>
              <w:rPr>
                <w:color w:val="000000"/>
              </w:rPr>
              <w:t xml:space="preserve">• </w:t>
            </w:r>
          </w:p>
        </w:tc>
        <w:tc>
          <w:tcPr>
            <w:tcW w:w="977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lower than anticipated retention rates of patients and volunteers in 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CROs or clinical trial sites failing to comply with regulatory requirements or meet their contractual obligations to us in a timely manner, or at all, deviating from the protocol or dropping out of a trial;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87"/>
        <w:gridCol w:w="408"/>
        <w:gridCol w:w="9510"/>
      </w:tblGrid>
      <w:tr>
        <w:trPr/>
        <w:tc>
          <w:tcPr>
            <w:tcW w:w="287" w:type="dxa"/>
            <w:tcBorders/>
          </w:tcPr>
          <w:p>
            <w:pPr>
              <w:pStyle w:val="TableContents"/>
              <w:bidi w:val="0"/>
              <w:spacing w:before="0" w:after="0"/>
              <w:ind w:left="0" w:right="0" w:hanging="0"/>
              <w:jc w:val="both"/>
              <w:rPr>
                <w:color w:val="000000"/>
              </w:rPr>
            </w:pPr>
            <w:r>
              <w:rPr>
                <w:color w:val="000000"/>
              </w:rPr>
              <w:t xml:space="preserve">  </w:t>
            </w:r>
          </w:p>
        </w:tc>
        <w:tc>
          <w:tcPr>
            <w:tcW w:w="408" w:type="dxa"/>
            <w:tcBorders/>
          </w:tcPr>
          <w:p>
            <w:pPr>
              <w:pStyle w:val="TableContents"/>
              <w:bidi w:val="0"/>
              <w:spacing w:before="0" w:after="0"/>
              <w:ind w:left="0" w:right="0" w:hanging="0"/>
              <w:jc w:val="both"/>
              <w:rPr>
                <w:color w:val="000000"/>
              </w:rPr>
            </w:pPr>
            <w:r>
              <w:rPr>
                <w:color w:val="000000"/>
              </w:rPr>
              <w:t xml:space="preserve">• </w:t>
            </w:r>
          </w:p>
        </w:tc>
        <w:tc>
          <w:tcPr>
            <w:tcW w:w="95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relating to adding new clinical trial sites;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7"/>
        <w:gridCol w:w="224"/>
        <w:gridCol w:w="9824"/>
      </w:tblGrid>
      <w:tr>
        <w:trPr/>
        <w:tc>
          <w:tcPr>
            <w:tcW w:w="157" w:type="dxa"/>
            <w:tcBorders/>
          </w:tcPr>
          <w:p>
            <w:pPr>
              <w:pStyle w:val="TableContents"/>
              <w:bidi w:val="0"/>
              <w:spacing w:before="0" w:after="0"/>
              <w:ind w:left="0" w:right="0" w:hanging="0"/>
              <w:jc w:val="both"/>
              <w:rPr>
                <w:color w:val="000000"/>
              </w:rPr>
            </w:pPr>
            <w:r>
              <w:rPr>
                <w:color w:val="000000"/>
              </w:rPr>
              <w:t xml:space="preserve">  </w:t>
            </w:r>
          </w:p>
        </w:tc>
        <w:tc>
          <w:tcPr>
            <w:tcW w:w="224" w:type="dxa"/>
            <w:tcBorders/>
          </w:tcPr>
          <w:p>
            <w:pPr>
              <w:pStyle w:val="TableContents"/>
              <w:bidi w:val="0"/>
              <w:spacing w:before="0" w:after="0"/>
              <w:ind w:left="0" w:right="0" w:hanging="0"/>
              <w:jc w:val="both"/>
              <w:rPr>
                <w:color w:val="000000"/>
              </w:rPr>
            </w:pPr>
            <w:r>
              <w:rPr>
                <w:color w:val="000000"/>
              </w:rPr>
              <w:t xml:space="preserve">• </w:t>
            </w:r>
          </w:p>
        </w:tc>
        <w:tc>
          <w:tcPr>
            <w:tcW w:w="982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difficulty in maintaining contact with patients after treatment, resulting in incomplete data;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66"/>
        <w:gridCol w:w="377"/>
        <w:gridCol w:w="9562"/>
      </w:tblGrid>
      <w:tr>
        <w:trPr/>
        <w:tc>
          <w:tcPr>
            <w:tcW w:w="266" w:type="dxa"/>
            <w:tcBorders/>
          </w:tcPr>
          <w:p>
            <w:pPr>
              <w:pStyle w:val="TableContents"/>
              <w:bidi w:val="0"/>
              <w:spacing w:before="0" w:after="0"/>
              <w:ind w:left="0" w:right="0" w:hanging="0"/>
              <w:jc w:val="both"/>
              <w:rPr>
                <w:color w:val="000000"/>
              </w:rPr>
            </w:pPr>
            <w:r>
              <w:rPr>
                <w:color w:val="000000"/>
              </w:rPr>
              <w:t xml:space="preserve">  </w:t>
            </w:r>
          </w:p>
        </w:tc>
        <w:tc>
          <w:tcPr>
            <w:tcW w:w="377" w:type="dxa"/>
            <w:tcBorders/>
          </w:tcPr>
          <w:p>
            <w:pPr>
              <w:pStyle w:val="TableContents"/>
              <w:bidi w:val="0"/>
              <w:spacing w:before="0" w:after="0"/>
              <w:ind w:left="0" w:right="0" w:hanging="0"/>
              <w:jc w:val="both"/>
              <w:rPr>
                <w:color w:val="000000"/>
              </w:rPr>
            </w:pPr>
            <w:r>
              <w:rPr>
                <w:color w:val="000000"/>
              </w:rPr>
              <w:t xml:space="preserve">• </w:t>
            </w:r>
          </w:p>
        </w:tc>
        <w:tc>
          <w:tcPr>
            <w:tcW w:w="95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in establishing the appropriate dosage levels;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8"/>
        <w:gridCol w:w="281"/>
        <w:gridCol w:w="9726"/>
      </w:tblGrid>
      <w:tr>
        <w:trPr/>
        <w:tc>
          <w:tcPr>
            <w:tcW w:w="198" w:type="dxa"/>
            <w:tcBorders/>
          </w:tcPr>
          <w:p>
            <w:pPr>
              <w:pStyle w:val="TableContents"/>
              <w:bidi w:val="0"/>
              <w:spacing w:before="0" w:after="0"/>
              <w:ind w:left="0" w:right="0" w:hanging="0"/>
              <w:jc w:val="both"/>
              <w:rPr>
                <w:color w:val="000000"/>
              </w:rPr>
            </w:pPr>
            <w:r>
              <w:rPr>
                <w:color w:val="000000"/>
              </w:rPr>
              <w:t xml:space="preserve">  </w:t>
            </w:r>
          </w:p>
        </w:tc>
        <w:tc>
          <w:tcPr>
            <w:tcW w:w="281" w:type="dxa"/>
            <w:tcBorders/>
          </w:tcPr>
          <w:p>
            <w:pPr>
              <w:pStyle w:val="TableContents"/>
              <w:bidi w:val="0"/>
              <w:spacing w:before="0" w:after="0"/>
              <w:ind w:left="0" w:right="0" w:hanging="0"/>
              <w:jc w:val="both"/>
              <w:rPr>
                <w:color w:val="000000"/>
              </w:rPr>
            </w:pPr>
            <w:r>
              <w:rPr>
                <w:color w:val="000000"/>
              </w:rPr>
              <w:t xml:space="preserve">• </w:t>
            </w:r>
          </w:p>
        </w:tc>
        <w:tc>
          <w:tcPr>
            <w:tcW w:w="972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quality of the product candidate falling below acceptable standards;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2"/>
        <w:gridCol w:w="163"/>
        <w:gridCol w:w="9930"/>
      </w:tblGrid>
      <w:tr>
        <w:trPr/>
        <w:tc>
          <w:tcPr>
            <w:tcW w:w="112" w:type="dxa"/>
            <w:tcBorders/>
          </w:tcPr>
          <w:p>
            <w:pPr>
              <w:pStyle w:val="TableContents"/>
              <w:bidi w:val="0"/>
              <w:spacing w:before="0" w:after="0"/>
              <w:ind w:left="0" w:right="0" w:hanging="0"/>
              <w:jc w:val="both"/>
              <w:rPr>
                <w:color w:val="000000"/>
              </w:rPr>
            </w:pPr>
            <w:r>
              <w:rPr>
                <w:color w:val="000000"/>
              </w:rPr>
              <w:t xml:space="preserve">  </w:t>
            </w:r>
          </w:p>
        </w:tc>
        <w:tc>
          <w:tcPr>
            <w:tcW w:w="163" w:type="dxa"/>
            <w:tcBorders/>
          </w:tcPr>
          <w:p>
            <w:pPr>
              <w:pStyle w:val="TableContents"/>
              <w:bidi w:val="0"/>
              <w:spacing w:before="0" w:after="0"/>
              <w:ind w:left="0" w:right="0" w:hanging="0"/>
              <w:jc w:val="both"/>
              <w:rPr>
                <w:color w:val="000000"/>
              </w:rPr>
            </w:pPr>
            <w:r>
              <w:rPr>
                <w:color w:val="000000"/>
              </w:rPr>
              <w:t xml:space="preserve">• </w:t>
            </w:r>
          </w:p>
        </w:tc>
        <w:tc>
          <w:tcPr>
            <w:tcW w:w="9930" w:type="dxa"/>
            <w:tcBorders/>
          </w:tcPr>
          <w:p>
            <w:pPr>
              <w:pStyle w:val="TableContents"/>
              <w:widowControl/>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inability to manufacture sufficient quantities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to commence or complete clinical trials;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0"/>
        <w:gridCol w:w="200"/>
        <w:gridCol w:w="9865"/>
      </w:tblGrid>
      <w:tr>
        <w:trPr/>
        <w:tc>
          <w:tcPr>
            <w:tcW w:w="140" w:type="dxa"/>
            <w:tcBorders/>
          </w:tcPr>
          <w:p>
            <w:pPr>
              <w:pStyle w:val="TableContents"/>
              <w:bidi w:val="0"/>
              <w:spacing w:before="0" w:after="0"/>
              <w:ind w:left="0" w:right="0" w:hanging="0"/>
              <w:jc w:val="both"/>
              <w:rPr>
                <w:color w:val="000000"/>
              </w:rPr>
            </w:pPr>
            <w:r>
              <w:rPr>
                <w:color w:val="000000"/>
              </w:rPr>
              <w:t xml:space="preserve">  </w:t>
            </w:r>
          </w:p>
        </w:tc>
        <w:tc>
          <w:tcPr>
            <w:tcW w:w="200" w:type="dxa"/>
            <w:tcBorders/>
          </w:tcPr>
          <w:p>
            <w:pPr>
              <w:pStyle w:val="TableContents"/>
              <w:bidi w:val="0"/>
              <w:spacing w:before="0" w:after="0"/>
              <w:ind w:left="0" w:right="0" w:hanging="0"/>
              <w:jc w:val="both"/>
              <w:rPr>
                <w:color w:val="000000"/>
              </w:rPr>
            </w:pPr>
            <w:r>
              <w:rPr>
                <w:color w:val="000000"/>
              </w:rPr>
              <w:t xml:space="preserve">• </w:t>
            </w:r>
          </w:p>
        </w:tc>
        <w:tc>
          <w:tcPr>
            <w:tcW w:w="986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exceeding budgeted costs due to difficulty in accurately predicting costs associated with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31</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Consistent with recent years, we continue not to invest in certain clinical trials in indications that are more exploratory in nature.</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could also encounter delays if a clinical trial is suspended or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may encounter delays if the FDA, or other regulators, conclude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experience delays in the commencement or completion of any clinical trial of our product candidates, or if any of our future clinical trials are terminated, the commercial prospects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be harmed, and our ability to generate revenue from sales may be delayed or materially diminished.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know whether any of our future preclinical studies or clinical trials will begin as planned, will need to be restructured or will be completed on schedule, or at all. Any delays in completing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Even if our products are approved or cleared in the United States and obtain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cost-control efforts might not assure profitability and may affect morale and make it difficult to retain employees, independent contractors, or attract new ones.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previously implemented reductions in force affecting a large portion of our workforce, redeployed resources across our organization, and taken other measures to reduce our operating expenses. These efforts do not assure profitability. Furthermore, no assurance can be given as to the need to implement additional cost reductions in the future. Cost savings may also be offset by future hiring or other costs incurred in pursuing strategic objectives. Reductions in force, strategic redeployment, and other cost-cutting measures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serif" w:hAnsi="Times New Roman;serif"/>
          <w:b/>
          <w:i/>
          <w:sz w:val="20"/>
        </w:rPr>
      </w:pPr>
      <w:r>
        <w:rPr>
          <w:rFonts w:ascii="Times New Roman;serif" w:hAnsi="Times New Roman;serif"/>
          <w:b/>
          <w:i/>
          <w:sz w:val="20"/>
        </w:rPr>
        <w:t>We have outsourced certain finance and accounting functions and may outsource other back-office functions, which will make us more dependent upon third parties.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In an effort to be more efficient and generate cost savings, we have outsourced certain finance and accounting functions. As a result, we rely on third parties to ensure that our needs are sufficiently met. This reliance subjects us to risks arising from the loss of control over processes, changes in pricing that may affect our operating results, and potentially, termination of these services by our suppliers. The failure of our service providers to perform services in a satisfactory manner may have a significant adverse effect on our business. We may outsource other back-office functions in the future, which would increase our reliance on third parties.</w:t>
      </w:r>
    </w:p>
    <w:p>
      <w:pPr>
        <w:pStyle w:val="TextBody"/>
        <w:shd w:fill="FFFFFF" w:val="clear"/>
        <w:bidi w:val="0"/>
        <w:spacing w:lineRule="auto" w:line="288" w:before="0" w:after="0"/>
        <w:ind w:left="0" w:right="0" w:hanging="0"/>
        <w:jc w:val="left"/>
        <w:rPr>
          <w:color w:val="000000"/>
          <w:sz w:val="20"/>
        </w:rPr>
      </w:pPr>
      <w:r>
        <w:rPr>
          <w:color w:val="000000"/>
          <w:sz w:val="20"/>
        </w:rPr>
      </w:r>
    </w:p>
    <w:p>
      <w:pPr>
        <w:pStyle w:val="TextBody"/>
        <w:shd w:fill="FFFFFF" w:val="clear"/>
        <w:bidi w:val="0"/>
        <w:spacing w:lineRule="atLeast" w:line="240"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properly manage our anticipated growth, our business could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a relatively short history of operating as a commercial company. We intend to continue to grow our existing business and may experience periods of rapid growth and expansion, which could place significant additional strain on our limited personnel, information technology systems, and other resources. In particular, maintaining our sales force in the United States requires significant management, financial, and other supporting resources. Any failure by us to manage our growth effectively could have an adverse effect on our ability to achieve our commercialization and developme</w:t>
      </w:r>
      <w:r>
        <w:rPr>
          <w:rFonts w:ascii="times new roman;times" w:hAnsi="times new roman;times"/>
          <w:color w:val="000000"/>
          <w:sz w:val="20"/>
        </w:rPr>
        <w:t>nt goals.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future, we may experience difficulties with manufacturing, quality control, component supply, inventory, distribution, and shortages of qualified personnel, among other problems. These problems could result in delays in availability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or general wellness products and increases in expenses. Any such delay or increased expense could adversely affect our ability to generate revenue.</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Future growth will also impose significant added responsibilities on management, including the need to identify, recruit, train, or integrate new businesses and additional employees. In addition, rapid and significant growth will place a strain on our administrative and operational infrastructure.</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 xml:space="preserve">If we fail to </w:t>
      </w:r>
      <w:r>
        <w:rPr>
          <w:rFonts w:ascii="Times New Roman;serif" w:hAnsi="Times New Roman;serif"/>
          <w:b/>
          <w:i/>
          <w:color w:val="000000"/>
          <w:sz w:val="20"/>
        </w:rPr>
        <w:t xml:space="preserve">continue to </w:t>
      </w:r>
      <w:r>
        <w:rPr>
          <w:rFonts w:ascii="times new roman;times" w:hAnsi="times new roman;times"/>
          <w:b/>
          <w:i/>
          <w:color w:val="000000"/>
          <w:sz w:val="20"/>
        </w:rPr>
        <w:t>develop and retain an effective sales force, our business could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In order to continue to market and sell our nVNS platform technology, we may in the future need to substantially expand our sales force. There is significant competition for such personnel. Once hired, the training process is lengthy because it requires significant education for new sales personnel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Furthermore, the use of our products often requires or benefits from direct support from us. If we are unable to attract, motivate, develop, and retain qualified sales personnel, and if our sales personnel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in the past, we have been subject to, and may, in the future, be subject to, allegations that these new hires have been improperly solicited, or that they have divulged to us proprietary or other confidential information of their former employers. Any of these risks may adversely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have limited history of commercializing general wellness products within the United States or abroad. We have limited established relationships with stakeholders and experience in direct-to-consumer channels and limited relationships with third-party suppliers on whom we depend for the manufacture of our product components.</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widowControl/>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i/>
          <w:color w:val="000000"/>
          <w:sz w:val="20"/>
        </w:rPr>
        <w:t>If our competitors are better able to develop and market primary headache treatments that are safer, more effective, less costly, easier to use, or otherwise more attractive than our </w:t>
      </w:r>
      <w:r>
        <w:rPr>
          <w:rFonts w:ascii="times new roman;times" w:hAnsi="times new roman;times"/>
          <w:b/>
          <w:i/>
          <w:color w:val="000000"/>
          <w:spacing w:val="0"/>
          <w:sz w:val="20"/>
        </w:rPr>
        <w:t>prescription </w:t>
      </w:r>
      <w:r>
        <w:rPr>
          <w:rFonts w:ascii="times new roman;times" w:hAnsi="times new roman;times"/>
          <w:b/>
          <w:i/>
          <w:color w:val="000000"/>
          <w:sz w:val="20"/>
        </w:rPr>
        <w:t>gammaCore therapy, our business and business prospects will be adversely impacted.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We believe that the primary competitive factors in the primary headache markets including those for CH and migraine headache are cost, demonstrated clinical effectiveness, product safety, reliability and durability, ease of use, product support and service, minimal side effects, and sales force experience and relationships. We face significant competition in the United States and internationally, which we believe will intensify over time. Many of the companies developing or marketing competing products enjoy several advantages over us, including: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33"/>
        <w:gridCol w:w="473"/>
        <w:gridCol w:w="9399"/>
      </w:tblGrid>
      <w:tr>
        <w:trPr/>
        <w:tc>
          <w:tcPr>
            <w:tcW w:w="333" w:type="dxa"/>
            <w:tcBorders/>
          </w:tcPr>
          <w:p>
            <w:pPr>
              <w:pStyle w:val="TableContents"/>
              <w:bidi w:val="0"/>
              <w:spacing w:before="0" w:after="120"/>
              <w:ind w:left="0" w:right="0" w:hanging="0"/>
              <w:jc w:val="both"/>
              <w:rPr>
                <w:color w:val="000000"/>
              </w:rPr>
            </w:pPr>
            <w:r>
              <w:rPr>
                <w:color w:val="000000"/>
              </w:rPr>
              <w:t xml:space="preserve">  </w:t>
            </w:r>
          </w:p>
        </w:tc>
        <w:tc>
          <w:tcPr>
            <w:tcW w:w="473" w:type="dxa"/>
            <w:tcBorders/>
          </w:tcPr>
          <w:p>
            <w:pPr>
              <w:pStyle w:val="TableContents"/>
              <w:bidi w:val="0"/>
              <w:spacing w:before="0" w:after="0"/>
              <w:ind w:left="0" w:right="0" w:hanging="0"/>
              <w:jc w:val="both"/>
              <w:rPr>
                <w:color w:val="000000"/>
              </w:rPr>
            </w:pPr>
            <w:r>
              <w:rPr>
                <w:color w:val="000000"/>
              </w:rPr>
              <w:t xml:space="preserve">• </w:t>
            </w:r>
          </w:p>
        </w:tc>
        <w:tc>
          <w:tcPr>
            <w:tcW w:w="93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more experienced and larger sales forces;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01"/>
        <w:gridCol w:w="711"/>
        <w:gridCol w:w="8993"/>
      </w:tblGrid>
      <w:tr>
        <w:trPr/>
        <w:tc>
          <w:tcPr>
            <w:tcW w:w="501" w:type="dxa"/>
            <w:tcBorders/>
          </w:tcPr>
          <w:p>
            <w:pPr>
              <w:pStyle w:val="TableContents"/>
              <w:bidi w:val="0"/>
              <w:spacing w:before="0" w:after="0"/>
              <w:ind w:left="0" w:right="0" w:hanging="0"/>
              <w:jc w:val="both"/>
              <w:rPr>
                <w:color w:val="000000"/>
              </w:rPr>
            </w:pPr>
            <w:r>
              <w:rPr>
                <w:color w:val="000000"/>
              </w:rPr>
              <w:t xml:space="preserve">  </w:t>
            </w:r>
          </w:p>
        </w:tc>
        <w:tc>
          <w:tcPr>
            <w:tcW w:w="711" w:type="dxa"/>
            <w:tcBorders/>
          </w:tcPr>
          <w:p>
            <w:pPr>
              <w:pStyle w:val="TableContents"/>
              <w:bidi w:val="0"/>
              <w:spacing w:before="0" w:after="0"/>
              <w:ind w:left="0" w:right="0" w:hanging="0"/>
              <w:jc w:val="both"/>
              <w:rPr>
                <w:color w:val="000000"/>
              </w:rPr>
            </w:pPr>
            <w:r>
              <w:rPr>
                <w:color w:val="000000"/>
              </w:rPr>
              <w:t xml:space="preserve">• </w:t>
            </w:r>
          </w:p>
        </w:tc>
        <w:tc>
          <w:tcPr>
            <w:tcW w:w="899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greater name recognition;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2"/>
        <w:gridCol w:w="273"/>
        <w:gridCol w:w="9740"/>
      </w:tblGrid>
      <w:tr>
        <w:trPr/>
        <w:tc>
          <w:tcPr>
            <w:tcW w:w="192" w:type="dxa"/>
            <w:tcBorders/>
          </w:tcPr>
          <w:p>
            <w:pPr>
              <w:pStyle w:val="TableContents"/>
              <w:bidi w:val="0"/>
              <w:spacing w:before="0" w:after="0"/>
              <w:ind w:left="0" w:right="0" w:hanging="0"/>
              <w:jc w:val="both"/>
              <w:rPr>
                <w:color w:val="000000"/>
              </w:rPr>
            </w:pPr>
            <w:r>
              <w:rPr>
                <w:color w:val="000000"/>
              </w:rPr>
              <w:t xml:space="preserve">  </w:t>
            </w:r>
          </w:p>
        </w:tc>
        <w:tc>
          <w:tcPr>
            <w:tcW w:w="273" w:type="dxa"/>
            <w:tcBorders/>
          </w:tcPr>
          <w:p>
            <w:pPr>
              <w:pStyle w:val="TableContents"/>
              <w:bidi w:val="0"/>
              <w:spacing w:before="0" w:after="0"/>
              <w:ind w:left="0" w:right="0" w:hanging="0"/>
              <w:jc w:val="both"/>
              <w:rPr>
                <w:color w:val="000000"/>
              </w:rPr>
            </w:pPr>
            <w:r>
              <w:rPr>
                <w:color w:val="000000"/>
              </w:rPr>
              <w:t xml:space="preserve">• </w:t>
            </w:r>
          </w:p>
        </w:tc>
        <w:tc>
          <w:tcPr>
            <w:tcW w:w="974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more established sales and marketing programs and distribution networks;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40"/>
        <w:gridCol w:w="483"/>
        <w:gridCol w:w="9382"/>
      </w:tblGrid>
      <w:tr>
        <w:trPr/>
        <w:tc>
          <w:tcPr>
            <w:tcW w:w="340" w:type="dxa"/>
            <w:tcBorders/>
          </w:tcPr>
          <w:p>
            <w:pPr>
              <w:pStyle w:val="TableContents"/>
              <w:bidi w:val="0"/>
              <w:spacing w:before="0" w:after="0"/>
              <w:ind w:left="0" w:right="0" w:hanging="0"/>
              <w:jc w:val="both"/>
              <w:rPr>
                <w:color w:val="000000"/>
              </w:rPr>
            </w:pPr>
            <w:r>
              <w:rPr>
                <w:color w:val="000000"/>
              </w:rPr>
              <w:t xml:space="preserve">  </w:t>
            </w:r>
          </w:p>
        </w:tc>
        <w:tc>
          <w:tcPr>
            <w:tcW w:w="483" w:type="dxa"/>
            <w:tcBorders/>
          </w:tcPr>
          <w:p>
            <w:pPr>
              <w:pStyle w:val="TableContents"/>
              <w:bidi w:val="0"/>
              <w:spacing w:before="0" w:after="0"/>
              <w:ind w:left="0" w:right="0" w:hanging="0"/>
              <w:jc w:val="both"/>
              <w:rPr>
                <w:color w:val="000000"/>
              </w:rPr>
            </w:pPr>
            <w:r>
              <w:rPr>
                <w:color w:val="000000"/>
              </w:rPr>
              <w:t xml:space="preserve">• </w:t>
            </w:r>
          </w:p>
        </w:tc>
        <w:tc>
          <w:tcPr>
            <w:tcW w:w="938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earlier regulatory clearance or approval;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long-established relationships with physicians and hospitals;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significant patent portfolios, including issued US and foreign patents and pending patent applications, as well as the resources to enforce patents against us or any of our third-party suppliers and distributors;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8"/>
        <w:gridCol w:w="266"/>
        <w:gridCol w:w="9751"/>
      </w:tblGrid>
      <w:tr>
        <w:trPr/>
        <w:tc>
          <w:tcPr>
            <w:tcW w:w="188" w:type="dxa"/>
            <w:tcBorders/>
          </w:tcPr>
          <w:p>
            <w:pPr>
              <w:pStyle w:val="TableContents"/>
              <w:bidi w:val="0"/>
              <w:spacing w:before="0" w:after="0"/>
              <w:ind w:left="0" w:right="0" w:hanging="0"/>
              <w:jc w:val="both"/>
              <w:rPr>
                <w:color w:val="000000"/>
              </w:rPr>
            </w:pPr>
            <w:r>
              <w:rPr>
                <w:color w:val="000000"/>
              </w:rPr>
              <w:t xml:space="preserve">  </w:t>
            </w:r>
          </w:p>
        </w:tc>
        <w:tc>
          <w:tcPr>
            <w:tcW w:w="266" w:type="dxa"/>
            <w:tcBorders/>
          </w:tcPr>
          <w:p>
            <w:pPr>
              <w:pStyle w:val="TableContents"/>
              <w:bidi w:val="0"/>
              <w:spacing w:before="0" w:after="0"/>
              <w:ind w:left="0" w:right="0" w:hanging="0"/>
              <w:jc w:val="both"/>
              <w:rPr>
                <w:color w:val="000000"/>
              </w:rPr>
            </w:pPr>
            <w:r>
              <w:rPr>
                <w:color w:val="000000"/>
              </w:rPr>
              <w:t xml:space="preserve">• </w:t>
            </w:r>
          </w:p>
        </w:tc>
        <w:tc>
          <w:tcPr>
            <w:tcW w:w="975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acquire and integrate our competitors and/or their technology;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3"/>
        <w:gridCol w:w="246"/>
        <w:gridCol w:w="9786"/>
      </w:tblGrid>
      <w:tr>
        <w:trPr/>
        <w:tc>
          <w:tcPr>
            <w:tcW w:w="173" w:type="dxa"/>
            <w:tcBorders/>
          </w:tcPr>
          <w:p>
            <w:pPr>
              <w:pStyle w:val="TableContents"/>
              <w:bidi w:val="0"/>
              <w:spacing w:before="0" w:after="0"/>
              <w:ind w:left="0" w:right="0" w:hanging="0"/>
              <w:jc w:val="both"/>
              <w:rPr>
                <w:color w:val="000000"/>
              </w:rPr>
            </w:pPr>
            <w:r>
              <w:rPr>
                <w:color w:val="000000"/>
              </w:rPr>
              <w:t xml:space="preserve">  </w:t>
            </w:r>
          </w:p>
        </w:tc>
        <w:tc>
          <w:tcPr>
            <w:tcW w:w="246" w:type="dxa"/>
            <w:tcBorders/>
          </w:tcPr>
          <w:p>
            <w:pPr>
              <w:pStyle w:val="TableContents"/>
              <w:bidi w:val="0"/>
              <w:spacing w:before="0" w:after="0"/>
              <w:ind w:left="0" w:right="0" w:hanging="0"/>
              <w:jc w:val="both"/>
              <w:rPr>
                <w:color w:val="000000"/>
              </w:rPr>
            </w:pPr>
            <w:r>
              <w:rPr>
                <w:color w:val="000000"/>
              </w:rPr>
              <w:t xml:space="preserve">• </w:t>
            </w:r>
          </w:p>
        </w:tc>
        <w:tc>
          <w:tcPr>
            <w:tcW w:w="978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demonstrated ability to develop product enhancements and new product offerings;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2"/>
        <w:gridCol w:w="315"/>
        <w:gridCol w:w="9668"/>
      </w:tblGrid>
      <w:tr>
        <w:trPr/>
        <w:tc>
          <w:tcPr>
            <w:tcW w:w="222" w:type="dxa"/>
            <w:tcBorders/>
          </w:tcPr>
          <w:p>
            <w:pPr>
              <w:pStyle w:val="TableContents"/>
              <w:bidi w:val="0"/>
              <w:spacing w:before="0" w:after="0"/>
              <w:ind w:left="0" w:right="0" w:hanging="0"/>
              <w:jc w:val="both"/>
              <w:rPr>
                <w:color w:val="000000"/>
              </w:rPr>
            </w:pPr>
            <w:r>
              <w:rPr>
                <w:color w:val="000000"/>
              </w:rPr>
              <w:t xml:space="preserve">  </w:t>
            </w:r>
          </w:p>
        </w:tc>
        <w:tc>
          <w:tcPr>
            <w:tcW w:w="315" w:type="dxa"/>
            <w:tcBorders/>
          </w:tcPr>
          <w:p>
            <w:pPr>
              <w:pStyle w:val="TableContents"/>
              <w:bidi w:val="0"/>
              <w:spacing w:before="0" w:after="0"/>
              <w:ind w:left="0" w:right="0" w:hanging="0"/>
              <w:jc w:val="both"/>
              <w:rPr>
                <w:color w:val="000000"/>
              </w:rPr>
            </w:pPr>
            <w:r>
              <w:rPr>
                <w:color w:val="000000"/>
              </w:rPr>
              <w:t xml:space="preserve">• </w:t>
            </w:r>
          </w:p>
        </w:tc>
        <w:tc>
          <w:tcPr>
            <w:tcW w:w="96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established history of product reliability, safety, and durability;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2"/>
        <w:gridCol w:w="132"/>
        <w:gridCol w:w="10001"/>
      </w:tblGrid>
      <w:tr>
        <w:trPr/>
        <w:tc>
          <w:tcPr>
            <w:tcW w:w="72" w:type="dxa"/>
            <w:tcBorders/>
          </w:tcPr>
          <w:p>
            <w:pPr>
              <w:pStyle w:val="TableContents"/>
              <w:bidi w:val="0"/>
              <w:spacing w:before="0" w:after="0"/>
              <w:ind w:left="0" w:right="0" w:hanging="0"/>
              <w:jc w:val="both"/>
              <w:rPr>
                <w:color w:val="000000"/>
              </w:rPr>
            </w:pPr>
            <w:r>
              <w:rPr>
                <w:color w:val="000000"/>
              </w:rPr>
              <w:t> </w:t>
            </w:r>
          </w:p>
        </w:tc>
        <w:tc>
          <w:tcPr>
            <w:tcW w:w="132" w:type="dxa"/>
            <w:tcBorders/>
          </w:tcPr>
          <w:p>
            <w:pPr>
              <w:pStyle w:val="TableContents"/>
              <w:bidi w:val="0"/>
              <w:spacing w:before="0" w:after="0"/>
              <w:ind w:left="0" w:right="0" w:hanging="0"/>
              <w:jc w:val="both"/>
              <w:rPr>
                <w:color w:val="000000"/>
              </w:rPr>
            </w:pPr>
            <w:r>
              <w:rPr>
                <w:color w:val="000000"/>
              </w:rPr>
              <w:t>•</w:t>
            </w:r>
          </w:p>
        </w:tc>
        <w:tc>
          <w:tcPr>
            <w:tcW w:w="1000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ability to offer rebates or bundle multiple product offerings to offer greater discounts or incentives;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50"/>
        <w:gridCol w:w="9973"/>
      </w:tblGrid>
      <w:tr>
        <w:trPr/>
        <w:tc>
          <w:tcPr>
            <w:tcW w:w="82" w:type="dxa"/>
            <w:tcBorders/>
          </w:tcPr>
          <w:p>
            <w:pPr>
              <w:pStyle w:val="TableContents"/>
              <w:bidi w:val="0"/>
              <w:spacing w:before="0" w:after="0"/>
              <w:ind w:left="0" w:right="0" w:hanging="0"/>
              <w:jc w:val="both"/>
              <w:rPr>
                <w:color w:val="000000"/>
              </w:rPr>
            </w:pPr>
            <w:r>
              <w:rPr>
                <w:color w:val="000000"/>
              </w:rPr>
              <w:t> </w:t>
            </w:r>
          </w:p>
        </w:tc>
        <w:tc>
          <w:tcPr>
            <w:tcW w:w="150" w:type="dxa"/>
            <w:tcBorders/>
          </w:tcPr>
          <w:p>
            <w:pPr>
              <w:pStyle w:val="TableContents"/>
              <w:bidi w:val="0"/>
              <w:spacing w:before="0" w:after="0"/>
              <w:ind w:left="0" w:right="0" w:hanging="0"/>
              <w:jc w:val="both"/>
              <w:rPr>
                <w:color w:val="000000"/>
              </w:rPr>
            </w:pPr>
            <w:r>
              <w:rPr>
                <w:color w:val="000000"/>
              </w:rPr>
              <w:t>•</w:t>
            </w:r>
          </w:p>
        </w:tc>
        <w:tc>
          <w:tcPr>
            <w:tcW w:w="997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greater financial and human resources for product development, sales, and marketing; and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9"/>
        <w:gridCol w:w="110"/>
        <w:gridCol w:w="10036"/>
      </w:tblGrid>
      <w:tr>
        <w:trPr/>
        <w:tc>
          <w:tcPr>
            <w:tcW w:w="59" w:type="dxa"/>
            <w:tcBorders/>
          </w:tcPr>
          <w:p>
            <w:pPr>
              <w:pStyle w:val="TableContents"/>
              <w:pBdr/>
              <w:bidi w:val="0"/>
              <w:spacing w:before="0" w:after="0"/>
              <w:ind w:left="0" w:right="0" w:hanging="0"/>
              <w:jc w:val="both"/>
              <w:rPr>
                <w:color w:val="000000"/>
              </w:rPr>
            </w:pPr>
            <w:r>
              <w:rPr>
                <w:color w:val="000000"/>
              </w:rPr>
              <w:t> </w:t>
            </w:r>
          </w:p>
        </w:tc>
        <w:tc>
          <w:tcPr>
            <w:tcW w:w="110" w:type="dxa"/>
            <w:tcBorders/>
          </w:tcPr>
          <w:p>
            <w:pPr>
              <w:pStyle w:val="TableContents"/>
              <w:pBdr/>
              <w:bidi w:val="0"/>
              <w:spacing w:before="0" w:after="0"/>
              <w:ind w:left="0" w:right="0" w:hanging="0"/>
              <w:jc w:val="both"/>
              <w:rPr>
                <w:color w:val="000000"/>
              </w:rPr>
            </w:pPr>
            <w:r>
              <w:rPr>
                <w:color w:val="000000"/>
              </w:rPr>
              <w:t>•</w:t>
            </w:r>
          </w:p>
        </w:tc>
        <w:tc>
          <w:tcPr>
            <w:tcW w:w="10036" w:type="dxa"/>
            <w:tcBorders/>
          </w:tcPr>
          <w:p>
            <w:pPr>
              <w:pStyle w:val="TableContents"/>
              <w:pBdr/>
              <w:bidi w:val="0"/>
              <w:spacing w:before="0" w:after="120"/>
              <w:ind w:left="0" w:right="0" w:hanging="0"/>
              <w:jc w:val="both"/>
              <w:rPr>
                <w:rFonts w:ascii="times new roman;times" w:hAnsi="times new roman;times"/>
                <w:color w:val="000000"/>
                <w:sz w:val="20"/>
              </w:rPr>
            </w:pPr>
            <w:r>
              <w:rPr>
                <w:rFonts w:ascii="times new roman;times" w:hAnsi="times new roman;times"/>
                <w:color w:val="000000"/>
                <w:sz w:val="20"/>
              </w:rPr>
              <w:t>greater experience in and resources for conducting research and development, clinical studies, manufacturing, preparing regulatory submissions, obtaining regulatory clearance or approval for products and marketing approved products.</w:t>
            </w:r>
          </w:p>
        </w:tc>
      </w:tr>
    </w:tbl>
    <w:p>
      <w:pPr>
        <w:pStyle w:val="TextBody"/>
        <w:widowControl/>
        <w:bidi w:val="0"/>
        <w:spacing w:lineRule="auto" w:line="288"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Many of our competitors are large, well-established companies with substantially greater resources than us and have a long history of competing in the migraine or general wellness markets.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of our current and potential primary headache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Pfizer Inc.,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Nerivo, Savi Dual, or any other neuromodulation devices that may be marketed for use in treating pain associated with primary headache. Cefaly has been granted an OTC clearance allowing it to be sold without a prescription, and the impact of this clearance on the competitive landscape remains to be seen. Given the size of the existing and potential market in the United States, we expect that, as we continue our commercial efforts in the United States, our current and future competitors, including any who may compete with us in the direct-to-consumer channel, will take aggressive action to protect their current share of the market.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migraine headache may be reluctant to try new products from a source with which they are less familiar. If these physicians do not try, and subsequently adopt, our product, then, our financial performance would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United Kingdom, three of the CGRP monoclonal antibody therapies have been recommended for use in the National Health Service by the National Institute Health and Care Excellence for the prevention of migraine. All of our current business with the National Health Service in the United Kingdom is for the prevention and treatment of cluster headache, and these recommendations may limit our ability to penetrate the NHS migraine market in the United Kingdom.</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 perception by physicians, payors, or patients that a competitor’s product is superior to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or offers comparable benefits at a lower cost or lower incidence of undesirable side effects as compared against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among other perception-driven outcomes in the market following competitors’ completion of their clinical trials, could have a material adverse effect on us.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34</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b w:val="false"/>
          <w:i w:val="false"/>
          <w:caps w:val="false"/>
          <w:smallCaps w:val="false"/>
          <w:color w:val="000000"/>
          <w:spacing w:val="0"/>
          <w:sz w:val="20"/>
        </w:rPr>
        <w:t>Given our nascent entry into the diverse human performance and general wellness market, we expect that the barriers of entry and competitive effects may be significant factors impacting our success in the research and development, advertising, marketing, promotion, distribution, and sale of our general wellness products, Truvaga and TAC-STIM branded products, respectively. We expect to continue to perform, or engage with consultants to perform, where appropriate, extensive market research and other economic analysis to appropriately understand market participants’ product offerings and contextualize various empirical and conjectural properties of market structure, including pricing patterns, competitive or anticompetitive tendencies, collaborative ventures and synergies, and cross-market product substitutions and other consumer behavior inferences, among other factors. To effectively compete with more established marker participants in the general wellness industry, we may need to expand our product offerings and distribution channels, which, in the </w:t>
      </w:r>
      <w:r>
        <w:rPr>
          <w:rFonts w:ascii="times new roman;times" w:hAnsi="times new roman;times"/>
          <w:b w:val="false"/>
          <w:i w:val="false"/>
          <w:caps w:val="false"/>
          <w:smallCaps w:val="false"/>
          <w:color w:val="000000"/>
          <w:spacing w:val="0"/>
          <w:sz w:val="20"/>
        </w:rPr>
        <w:t>interim, could increase our research and development costs and decrease our operating margins, thereby adversely impacting our business, financial condition, and results of operations. Some of the world’s largest technology companies that have not historically operated in the general wellness and/or medical device spaces, such as Alphabet </w:t>
      </w:r>
      <w:r>
        <w:rPr>
          <w:rFonts w:ascii="Times New Roman;serif" w:hAnsi="Times New Roman;serif"/>
          <w:sz w:val="20"/>
        </w:rPr>
        <w:t>Inc</w:t>
      </w:r>
      <w:r>
        <w:rPr>
          <w:rFonts w:ascii="times new roman;times" w:hAnsi="times new roman;times"/>
          <w:b w:val="false"/>
          <w:i w:val="false"/>
          <w:caps w:val="false"/>
          <w:smallCaps w:val="false"/>
          <w:color w:val="000000"/>
          <w:spacing w:val="0"/>
          <w:sz w:val="20"/>
        </w:rPr>
        <w:t>., Amazon.com, </w:t>
      </w:r>
      <w:r>
        <w:rPr>
          <w:rFonts w:ascii="Times New Roman;serif" w:hAnsi="Times New Roman;serif"/>
          <w:sz w:val="20"/>
        </w:rPr>
        <w:t>Inc</w:t>
      </w:r>
      <w:r>
        <w:rPr>
          <w:rFonts w:ascii="times new roman;times" w:hAnsi="times new roman;times"/>
          <w:b w:val="false"/>
          <w:i w:val="false"/>
          <w:caps w:val="false"/>
          <w:smallCaps w:val="false"/>
          <w:color w:val="000000"/>
          <w:spacing w:val="0"/>
          <w:sz w:val="20"/>
        </w:rPr>
        <w:t>., Apple </w:t>
      </w:r>
      <w:r>
        <w:rPr>
          <w:rFonts w:ascii="Times New Roman;serif" w:hAnsi="Times New Roman;serif"/>
          <w:sz w:val="20"/>
        </w:rPr>
        <w:t>Inc</w:t>
      </w:r>
      <w:r>
        <w:rPr>
          <w:rFonts w:ascii="times new roman;times" w:hAnsi="times new roman;times"/>
          <w:b w:val="false"/>
          <w:i w:val="false"/>
          <w:caps w:val="false"/>
          <w:smallCaps w:val="false"/>
          <w:color w:val="000000"/>
          <w:spacing w:val="0"/>
          <w:sz w:val="20"/>
        </w:rPr>
        <w:t>., </w:t>
      </w:r>
      <w:r>
        <w:rPr>
          <w:rFonts w:ascii="Times New Roman;serif" w:hAnsi="Times New Roman;serif"/>
          <w:sz w:val="20"/>
        </w:rPr>
        <w:t>Samsung</w:t>
      </w:r>
      <w:r>
        <w:rPr>
          <w:rFonts w:ascii="Times New Roman;serif" w:hAnsi="Times New Roman;serif"/>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Electronics Co., Ltd., and others have notably developed or may in the future develop products and technologies that may compete with our current or future products and technologies. Such companies have substantially greater capital, research and development, and sales resources than we have. Future research or investigative reports or publicity that is perceived as unfavorable or that question certain claims associated with or methods underlying our general wellness products could result in a decline in our revenues. Because of our final dependence on consumer perceptions, adverse publicity associated with illness or other undesirable effects resulting from the use of our products or similar products by competitors, whether or not accurate, could also damage customer confidence in our existing and any future general wellness products and result in a decline in revenues. Adverse publicity could arise even if the unfavorable effects associated with our general wellness products resulted from the user’s failure to use such products appropriately.</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expend our limited resources to pursue a particular product candidate or disease and fail to capitalize on product candidates or diseases that may be more profitable or for which there is a greater likelihood of success.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Because we have limited financial and managerial resources, we focus our research programs and product candidates on specific conditions. As a result, we may forego or delay the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international operations subject us to certain operating and compliance risks, which could adversely impact our results of operations and financial condition.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2012, commercial operations began in the United Kingdom and Germany, and we now sell our prescription gammaCore therapy in Europe from our UK based subsidiary and via distribution partners. Outside of Europe, we have a network of distribution partners tasked with selling our prescription gammaCore therapy to patients in select global markets. The sale and shipment of our prescription gammaCore therapy across international borders and the purchase of components from international sources subjects us to U.S. and foreign governmental trade and customs regulations and laws.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Compliance with these regulations and laws is costly and exposes us to penalties for non-compliance. Other laws and regulations that can significantly impact us include various anti-bribery laws, including the U.S. Foreign Corrupt Practices Act of 1977 (or FCPA), as amended, and export controls laws. The failure to comply with U.S. Foreign Corrupt Practices Act and similar worldwide anti-bribery laws in non-U.S. jurisdictions could materially adversely affect our business and result in civil and/or criminal sanctions.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With regard to FCPA, the UK Bribery Act, and similar worldwide anti-bribery laws in non-U.S. jurisdictions, such laws generally prohibit companies and their intermediaries from making improper payments to non-U.S. government officials and, in some instances, other persons for the purpose of obtaining or retaining business. Because of the predominance of government-sponsored healthcare systems around the world, most of our customer relationships outside of the United States are or will be with governmental entities and are therefore potentially subject to such anti-bribery laws. Notably, global enforcement of anti-corruption and anti-bribery laws, which are typically interpreted broadly to prohibit generally companies, their employees, and their third-party intermediaries from authorizing, offering, or providing, directly or indirectly, improper payments or benefits to recipients in the public or private sector, has increased substantially in recent years, which has in part led to more frequent voluntary self-disclosures by companies, aggressive investigations and enforcement proceedings by U.S. and foreign governmental agencies, and assessment of significant fines and penalties against companies and individuals in various cases.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Thus, our international operations create the risk of unauthorized payments or offers of payments by one of our employees, consultants, sales agents, or distributors because these parties are not always subject to our direct oversight and control. As we increase our international sales and direct greater levels of business and sales toward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w:t>
      </w:r>
      <w:r>
        <w:rPr>
          <w:rFonts w:ascii="Times New Roman;serif" w:hAnsi="Times New Roman;serif"/>
          <w:color w:val="000000"/>
          <w:sz w:val="20"/>
        </w:rPr>
        <w:t xml:space="preserve"> </w:t>
      </w:r>
      <w:r>
        <w:rPr>
          <w:rFonts w:ascii="times new roman;times" w:hAnsi="times new roman;times"/>
          <w:color w:val="000000"/>
          <w:sz w:val="20"/>
        </w:rPr>
        <w:t>It is therefore our policy to implement safeguards to educate our employees and agents on these legal requirements and discourage improper practices. However, our existing safeguards and any future improvements may prove to be less than effective, and our employees, contractors or consultants, partners, sales agents, or distributors may engage in conduct for which we might be held ultimately responsible as principal. Specifically, we can be held liable for the corrupt or other illegal activities of these third-party intermediaries, our employees, representatives, contractors or consultants, partners, and sales agents, or distributors, even if we do not explicitly authorize such activities. Detecting, investigating, and resolving actual or alleged violations of anti-corruption and other laws can require a significant diversion of time, resources, and attention from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government agencies may seek to hold us liable for successor liability for anti-corruption law violations committed by any companies in which we invest or that we acquire in the future. Any alleged or actual violations of these regulations may subject us to expensive government scrutiny, severe criminal or civil sanctions and other liabilities, including exclusion from government contracting, reputational harm, adverse media coverage, and such alleged or actual violations could disrupt our business and result in a material adverse effect on our business, financial condition, and results of operations. As we expand contract relations internationally, our risks under these laws may increase.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general, any failure to comply with the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U.S. administration of President Trump may support potential trade proposals (including import tariffs and other tariffs on China and other U.S. trading partners),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 Additionally, our international operations expose us and our distributors to risks inherent in operating in foreign jurisdictions. These risks include:</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pBdr/>
              <w:bidi w:val="0"/>
              <w:spacing w:before="0" w:after="0"/>
              <w:ind w:left="0" w:right="0" w:hanging="0"/>
              <w:jc w:val="both"/>
              <w:rPr>
                <w:color w:val="000000"/>
              </w:rPr>
            </w:pPr>
            <w:r>
              <w:rPr>
                <w:color w:val="000000"/>
              </w:rPr>
              <w:t xml:space="preserve">  </w:t>
            </w:r>
          </w:p>
        </w:tc>
        <w:tc>
          <w:tcPr>
            <w:tcW w:w="143" w:type="dxa"/>
            <w:tcBorders/>
          </w:tcPr>
          <w:p>
            <w:pPr>
              <w:pStyle w:val="TableContents"/>
              <w:pBdr/>
              <w:bidi w:val="0"/>
              <w:spacing w:before="0" w:after="0"/>
              <w:ind w:left="0" w:right="0" w:hanging="0"/>
              <w:jc w:val="both"/>
              <w:rPr>
                <w:color w:val="000000"/>
              </w:rPr>
            </w:pPr>
            <w:r>
              <w:rPr>
                <w:color w:val="000000"/>
              </w:rPr>
              <w:t xml:space="preserve">• </w:t>
            </w:r>
          </w:p>
        </w:tc>
        <w:tc>
          <w:tcPr>
            <w:tcW w:w="9970" w:type="dxa"/>
            <w:tcBorders/>
          </w:tcPr>
          <w:p>
            <w:pPr>
              <w:pStyle w:val="TableContents"/>
              <w:pBd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enforcing our intellectual property rights and in defending against third-party threats and intellectual property enforcement actions against us, our distributors, or any of our third-party suppliers;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3"/>
        <w:gridCol w:w="260"/>
        <w:gridCol w:w="9762"/>
      </w:tblGrid>
      <w:tr>
        <w:trPr/>
        <w:tc>
          <w:tcPr>
            <w:tcW w:w="183" w:type="dxa"/>
            <w:tcBorders/>
          </w:tcPr>
          <w:p>
            <w:pPr>
              <w:pStyle w:val="TableContents"/>
              <w:bidi w:val="0"/>
              <w:spacing w:before="0" w:after="0"/>
              <w:ind w:left="0" w:right="0" w:hanging="0"/>
              <w:jc w:val="both"/>
              <w:rPr>
                <w:color w:val="000000"/>
              </w:rPr>
            </w:pPr>
            <w:r>
              <w:rPr>
                <w:color w:val="000000"/>
              </w:rPr>
              <w:t xml:space="preserve">  </w:t>
            </w:r>
          </w:p>
        </w:tc>
        <w:tc>
          <w:tcPr>
            <w:tcW w:w="260" w:type="dxa"/>
            <w:tcBorders/>
          </w:tcPr>
          <w:p>
            <w:pPr>
              <w:pStyle w:val="TableContents"/>
              <w:bidi w:val="0"/>
              <w:spacing w:before="0" w:after="0"/>
              <w:ind w:left="0" w:right="0" w:hanging="0"/>
              <w:jc w:val="both"/>
              <w:rPr>
                <w:color w:val="000000"/>
              </w:rPr>
            </w:pPr>
            <w:r>
              <w:rPr>
                <w:color w:val="000000"/>
              </w:rPr>
              <w:t xml:space="preserve">• </w:t>
            </w:r>
          </w:p>
        </w:tc>
        <w:tc>
          <w:tcPr>
            <w:tcW w:w="97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reduced or varied protection for intellectual property rights in some countries;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9"/>
        <w:gridCol w:w="353"/>
        <w:gridCol w:w="9603"/>
      </w:tblGrid>
      <w:tr>
        <w:trPr/>
        <w:tc>
          <w:tcPr>
            <w:tcW w:w="249" w:type="dxa"/>
            <w:tcBorders/>
          </w:tcPr>
          <w:p>
            <w:pPr>
              <w:pStyle w:val="TableContents"/>
              <w:bidi w:val="0"/>
              <w:spacing w:before="0" w:after="0"/>
              <w:ind w:left="0" w:right="0" w:hanging="0"/>
              <w:jc w:val="both"/>
              <w:rPr>
                <w:color w:val="000000"/>
              </w:rPr>
            </w:pPr>
            <w:r>
              <w:rPr>
                <w:color w:val="000000"/>
              </w:rPr>
              <w:t xml:space="preserve">  </w:t>
            </w:r>
          </w:p>
        </w:tc>
        <w:tc>
          <w:tcPr>
            <w:tcW w:w="353" w:type="dxa"/>
            <w:tcBorders/>
          </w:tcPr>
          <w:p>
            <w:pPr>
              <w:pStyle w:val="TableContents"/>
              <w:bidi w:val="0"/>
              <w:spacing w:before="0" w:after="0"/>
              <w:ind w:left="0" w:right="0" w:hanging="0"/>
              <w:jc w:val="both"/>
              <w:rPr>
                <w:color w:val="000000"/>
              </w:rPr>
            </w:pPr>
            <w:r>
              <w:rPr>
                <w:color w:val="000000"/>
              </w:rPr>
              <w:t xml:space="preserve">• </w:t>
            </w:r>
          </w:p>
        </w:tc>
        <w:tc>
          <w:tcPr>
            <w:tcW w:w="96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pricing pressure that we may experience internationally;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53"/>
        <w:gridCol w:w="360"/>
        <w:gridCol w:w="9592"/>
      </w:tblGrid>
      <w:tr>
        <w:trPr/>
        <w:tc>
          <w:tcPr>
            <w:tcW w:w="253" w:type="dxa"/>
            <w:tcBorders/>
          </w:tcPr>
          <w:p>
            <w:pPr>
              <w:pStyle w:val="TableContents"/>
              <w:bidi w:val="0"/>
              <w:spacing w:before="0" w:after="0"/>
              <w:ind w:left="0" w:right="0" w:hanging="0"/>
              <w:jc w:val="both"/>
              <w:rPr>
                <w:color w:val="000000"/>
              </w:rPr>
            </w:pPr>
            <w:r>
              <w:rPr>
                <w:color w:val="000000"/>
              </w:rPr>
              <w:t xml:space="preserve">  </w:t>
            </w:r>
          </w:p>
        </w:tc>
        <w:tc>
          <w:tcPr>
            <w:tcW w:w="360" w:type="dxa"/>
            <w:tcBorders/>
          </w:tcPr>
          <w:p>
            <w:pPr>
              <w:pStyle w:val="TableContents"/>
              <w:bidi w:val="0"/>
              <w:spacing w:before="0" w:after="0"/>
              <w:ind w:left="0" w:right="0" w:hanging="0"/>
              <w:jc w:val="both"/>
              <w:rPr>
                <w:color w:val="000000"/>
              </w:rPr>
            </w:pPr>
            <w:r>
              <w:rPr>
                <w:color w:val="000000"/>
              </w:rPr>
              <w:t xml:space="preserve">• </w:t>
            </w:r>
          </w:p>
        </w:tc>
        <w:tc>
          <w:tcPr>
            <w:tcW w:w="959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 shortage of high-quality salespeople and distributors;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third-party reimbursement policies that may require some of the patients who receive our products to directly absorb medical costs, or that may necessitate the reduction of the selling prices of gammaCore;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3"/>
        <w:gridCol w:w="231"/>
        <w:gridCol w:w="9811"/>
      </w:tblGrid>
      <w:tr>
        <w:trPr/>
        <w:tc>
          <w:tcPr>
            <w:tcW w:w="163" w:type="dxa"/>
            <w:tcBorders/>
          </w:tcPr>
          <w:p>
            <w:pPr>
              <w:pStyle w:val="TableContents"/>
              <w:bidi w:val="0"/>
              <w:spacing w:before="0" w:after="0"/>
              <w:ind w:left="0" w:right="0" w:hanging="0"/>
              <w:jc w:val="both"/>
              <w:rPr>
                <w:color w:val="000000"/>
              </w:rPr>
            </w:pPr>
            <w:r>
              <w:rPr>
                <w:color w:val="000000"/>
              </w:rPr>
              <w:t xml:space="preserve">  </w:t>
            </w:r>
          </w:p>
        </w:tc>
        <w:tc>
          <w:tcPr>
            <w:tcW w:w="231" w:type="dxa"/>
            <w:tcBorders/>
          </w:tcPr>
          <w:p>
            <w:pPr>
              <w:pStyle w:val="TableContents"/>
              <w:bidi w:val="0"/>
              <w:spacing w:before="0" w:after="0"/>
              <w:ind w:left="0" w:right="0" w:hanging="0"/>
              <w:jc w:val="both"/>
              <w:rPr>
                <w:color w:val="000000"/>
              </w:rPr>
            </w:pPr>
            <w:r>
              <w:rPr>
                <w:color w:val="000000"/>
              </w:rPr>
              <w:t xml:space="preserve">• </w:t>
            </w:r>
          </w:p>
        </w:tc>
        <w:tc>
          <w:tcPr>
            <w:tcW w:w="981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competitive disadvantage to firms with established business and customer relationships;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0"/>
        <w:gridCol w:w="440"/>
        <w:gridCol w:w="9455"/>
      </w:tblGrid>
      <w:tr>
        <w:trPr/>
        <w:tc>
          <w:tcPr>
            <w:tcW w:w="310" w:type="dxa"/>
            <w:tcBorders/>
          </w:tcPr>
          <w:p>
            <w:pPr>
              <w:pStyle w:val="TableContents"/>
              <w:bidi w:val="0"/>
              <w:spacing w:before="0" w:after="0"/>
              <w:ind w:left="0" w:right="0" w:hanging="0"/>
              <w:jc w:val="both"/>
              <w:rPr>
                <w:color w:val="000000"/>
              </w:rPr>
            </w:pPr>
            <w:r>
              <w:rPr>
                <w:color w:val="000000"/>
              </w:rPr>
              <w:t xml:space="preserve">  </w:t>
            </w:r>
          </w:p>
        </w:tc>
        <w:tc>
          <w:tcPr>
            <w:tcW w:w="440" w:type="dxa"/>
            <w:tcBorders/>
          </w:tcPr>
          <w:p>
            <w:pPr>
              <w:pStyle w:val="TableContents"/>
              <w:bidi w:val="0"/>
              <w:spacing w:before="0" w:after="0"/>
              <w:ind w:left="0" w:right="0" w:hanging="0"/>
              <w:jc w:val="both"/>
              <w:rPr>
                <w:color w:val="000000"/>
              </w:rPr>
            </w:pPr>
            <w:r>
              <w:rPr>
                <w:color w:val="000000"/>
              </w:rPr>
              <w:t xml:space="preserve">• </w:t>
            </w:r>
          </w:p>
        </w:tc>
        <w:tc>
          <w:tcPr>
            <w:tcW w:w="945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foreign currency exchange rate fluctuations;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2"/>
        <w:gridCol w:w="245"/>
        <w:gridCol w:w="9788"/>
      </w:tblGrid>
      <w:tr>
        <w:trPr/>
        <w:tc>
          <w:tcPr>
            <w:tcW w:w="172" w:type="dxa"/>
            <w:tcBorders/>
          </w:tcPr>
          <w:p>
            <w:pPr>
              <w:pStyle w:val="TableContents"/>
              <w:bidi w:val="0"/>
              <w:spacing w:before="0" w:after="0"/>
              <w:ind w:left="0" w:right="0" w:hanging="0"/>
              <w:jc w:val="both"/>
              <w:rPr>
                <w:color w:val="000000"/>
              </w:rPr>
            </w:pPr>
            <w:r>
              <w:rPr>
                <w:color w:val="000000"/>
              </w:rPr>
              <w:t xml:space="preserve">  </w:t>
            </w:r>
          </w:p>
        </w:tc>
        <w:tc>
          <w:tcPr>
            <w:tcW w:w="245" w:type="dxa"/>
            <w:tcBorders/>
          </w:tcPr>
          <w:p>
            <w:pPr>
              <w:pStyle w:val="TableContents"/>
              <w:bidi w:val="0"/>
              <w:spacing w:before="0" w:after="0"/>
              <w:ind w:left="0" w:right="0" w:hanging="0"/>
              <w:jc w:val="both"/>
              <w:rPr>
                <w:color w:val="000000"/>
              </w:rPr>
            </w:pPr>
            <w:r>
              <w:rPr>
                <w:color w:val="000000"/>
              </w:rPr>
              <w:t xml:space="preserve">• </w:t>
            </w:r>
          </w:p>
        </w:tc>
        <w:tc>
          <w:tcPr>
            <w:tcW w:w="97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additional U.S. and foreign governmental controls or regulations;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84"/>
        <w:gridCol w:w="828"/>
        <w:gridCol w:w="8793"/>
      </w:tblGrid>
      <w:tr>
        <w:trPr/>
        <w:tc>
          <w:tcPr>
            <w:tcW w:w="584" w:type="dxa"/>
            <w:tcBorders/>
          </w:tcPr>
          <w:p>
            <w:pPr>
              <w:pStyle w:val="TableContents"/>
              <w:bidi w:val="0"/>
              <w:spacing w:before="0" w:after="0"/>
              <w:ind w:left="0" w:right="0" w:hanging="0"/>
              <w:jc w:val="both"/>
              <w:rPr>
                <w:color w:val="000000"/>
              </w:rPr>
            </w:pPr>
            <w:r>
              <w:rPr>
                <w:color w:val="000000"/>
              </w:rPr>
              <w:t xml:space="preserve">  </w:t>
            </w:r>
          </w:p>
        </w:tc>
        <w:tc>
          <w:tcPr>
            <w:tcW w:w="828" w:type="dxa"/>
            <w:tcBorders/>
          </w:tcPr>
          <w:p>
            <w:pPr>
              <w:pStyle w:val="TableContents"/>
              <w:bidi w:val="0"/>
              <w:spacing w:before="0" w:after="0"/>
              <w:ind w:left="0" w:right="0" w:hanging="0"/>
              <w:jc w:val="both"/>
              <w:rPr>
                <w:color w:val="000000"/>
              </w:rPr>
            </w:pPr>
            <w:r>
              <w:rPr>
                <w:color w:val="000000"/>
              </w:rPr>
              <w:t xml:space="preserve">• </w:t>
            </w:r>
          </w:p>
        </w:tc>
        <w:tc>
          <w:tcPr>
            <w:tcW w:w="879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economic instability;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8"/>
        <w:gridCol w:w="238"/>
        <w:gridCol w:w="9799"/>
      </w:tblGrid>
      <w:tr>
        <w:trPr/>
        <w:tc>
          <w:tcPr>
            <w:tcW w:w="168" w:type="dxa"/>
            <w:tcBorders/>
          </w:tcPr>
          <w:p>
            <w:pPr>
              <w:pStyle w:val="TableContents"/>
              <w:bidi w:val="0"/>
              <w:spacing w:before="0" w:after="0"/>
              <w:ind w:left="0" w:right="0" w:hanging="0"/>
              <w:jc w:val="both"/>
              <w:rPr>
                <w:color w:val="000000"/>
              </w:rPr>
            </w:pPr>
            <w:r>
              <w:rPr>
                <w:color w:val="000000"/>
              </w:rPr>
              <w:t xml:space="preserve">  </w:t>
            </w:r>
          </w:p>
        </w:tc>
        <w:tc>
          <w:tcPr>
            <w:tcW w:w="238" w:type="dxa"/>
            <w:tcBorders/>
          </w:tcPr>
          <w:p>
            <w:pPr>
              <w:pStyle w:val="TableContents"/>
              <w:bidi w:val="0"/>
              <w:spacing w:before="0" w:after="0"/>
              <w:ind w:left="0" w:right="0" w:hanging="0"/>
              <w:jc w:val="both"/>
              <w:rPr>
                <w:color w:val="000000"/>
              </w:rPr>
            </w:pPr>
            <w:r>
              <w:rPr>
                <w:color w:val="000000"/>
              </w:rPr>
              <w:t xml:space="preserve">• </w:t>
            </w:r>
          </w:p>
        </w:tc>
        <w:tc>
          <w:tcPr>
            <w:tcW w:w="97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duties and tariffs, license obligations, and other non-tariff barriers to trade;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9"/>
        <w:gridCol w:w="212"/>
        <w:gridCol w:w="9844"/>
      </w:tblGrid>
      <w:tr>
        <w:trPr/>
        <w:tc>
          <w:tcPr>
            <w:tcW w:w="149" w:type="dxa"/>
            <w:tcBorders/>
          </w:tcPr>
          <w:p>
            <w:pPr>
              <w:pStyle w:val="TableContents"/>
              <w:bidi w:val="0"/>
              <w:spacing w:before="0" w:after="0"/>
              <w:ind w:left="0" w:right="0" w:hanging="0"/>
              <w:jc w:val="both"/>
              <w:rPr>
                <w:color w:val="000000"/>
              </w:rPr>
            </w:pPr>
            <w:r>
              <w:rPr>
                <w:color w:val="000000"/>
              </w:rPr>
              <w:t xml:space="preserve">  </w:t>
            </w:r>
          </w:p>
        </w:tc>
        <w:tc>
          <w:tcPr>
            <w:tcW w:w="212" w:type="dxa"/>
            <w:tcBorders/>
          </w:tcPr>
          <w:p>
            <w:pPr>
              <w:pStyle w:val="TableContents"/>
              <w:bidi w:val="0"/>
              <w:spacing w:before="0" w:after="0"/>
              <w:ind w:left="0" w:right="0" w:hanging="0"/>
              <w:jc w:val="both"/>
              <w:rPr>
                <w:color w:val="000000"/>
              </w:rPr>
            </w:pPr>
            <w:r>
              <w:rPr>
                <w:color w:val="000000"/>
              </w:rPr>
              <w:t xml:space="preserve">• </w:t>
            </w:r>
          </w:p>
        </w:tc>
        <w:tc>
          <w:tcPr>
            <w:tcW w:w="984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restrictions on the activities of foreign agents, representatives, and distributors;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120"/>
              <w:ind w:left="0" w:right="0" w:hanging="0"/>
              <w:jc w:val="both"/>
              <w:rPr>
                <w:rFonts w:ascii="times new roman;times" w:hAnsi="times new roman;times"/>
                <w:color w:val="000000"/>
                <w:sz w:val="20"/>
              </w:rPr>
            </w:pPr>
            <w:r>
              <w:rPr>
                <w:rFonts w:ascii="times new roman;times" w:hAnsi="times new roman;times"/>
                <w:color w:val="000000"/>
                <w:sz w:val="20"/>
              </w:rPr>
              <w:t xml:space="preserve">scrutiny of foreign tax authorities, which could result in significant fines, penalties, and additional taxes being imposed on us;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0"/>
        <w:gridCol w:w="375"/>
        <w:gridCol w:w="9780"/>
      </w:tblGrid>
      <w:tr>
        <w:trPr/>
        <w:tc>
          <w:tcPr>
            <w:tcW w:w="50" w:type="dxa"/>
            <w:tcBorders/>
          </w:tcPr>
          <w:p>
            <w:pPr>
              <w:pStyle w:val="TableContents"/>
              <w:bidi w:val="0"/>
              <w:spacing w:before="0" w:after="283"/>
              <w:ind w:left="0" w:right="0" w:hanging="0"/>
              <w:jc w:val="left"/>
              <w:rPr/>
            </w:pPr>
            <w:r>
              <w:rPr/>
            </w:r>
          </w:p>
        </w:tc>
        <w:tc>
          <w:tcPr>
            <w:tcW w:w="375" w:type="dxa"/>
            <w:tcBorders/>
          </w:tcPr>
          <w:p>
            <w:pPr>
              <w:pStyle w:val="TableContents"/>
              <w:pBdr/>
              <w:bidi w:val="0"/>
              <w:spacing w:before="0" w:after="0"/>
              <w:ind w:left="0" w:right="0" w:hanging="0"/>
              <w:jc w:val="both"/>
              <w:rPr>
                <w:color w:val="000000"/>
              </w:rPr>
            </w:pPr>
            <w:r>
              <w:rPr>
                <w:color w:val="000000"/>
              </w:rPr>
              <w:t xml:space="preserve">• </w:t>
            </w:r>
          </w:p>
        </w:tc>
        <w:tc>
          <w:tcPr>
            <w:tcW w:w="9780"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laws and business practices favoring local companies;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45"/>
        <w:gridCol w:w="773"/>
        <w:gridCol w:w="8887"/>
      </w:tblGrid>
      <w:tr>
        <w:trPr/>
        <w:tc>
          <w:tcPr>
            <w:tcW w:w="545" w:type="dxa"/>
            <w:tcBorders/>
          </w:tcPr>
          <w:p>
            <w:pPr>
              <w:pStyle w:val="TableContents"/>
              <w:bidi w:val="0"/>
              <w:spacing w:before="0" w:after="0"/>
              <w:ind w:left="0" w:right="0" w:hanging="0"/>
              <w:jc w:val="both"/>
              <w:rPr>
                <w:color w:val="000000"/>
              </w:rPr>
            </w:pPr>
            <w:r>
              <w:rPr>
                <w:color w:val="000000"/>
              </w:rPr>
              <w:t xml:space="preserve">  </w:t>
            </w:r>
          </w:p>
        </w:tc>
        <w:tc>
          <w:tcPr>
            <w:tcW w:w="773" w:type="dxa"/>
            <w:tcBorders/>
          </w:tcPr>
          <w:p>
            <w:pPr>
              <w:pStyle w:val="TableContents"/>
              <w:bidi w:val="0"/>
              <w:spacing w:before="0" w:after="0"/>
              <w:ind w:left="0" w:right="0" w:hanging="0"/>
              <w:jc w:val="both"/>
              <w:rPr>
                <w:color w:val="000000"/>
              </w:rPr>
            </w:pPr>
            <w:r>
              <w:rPr>
                <w:color w:val="000000"/>
              </w:rPr>
              <w:t xml:space="preserve">• </w:t>
            </w:r>
          </w:p>
        </w:tc>
        <w:tc>
          <w:tcPr>
            <w:tcW w:w="888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longer payment cycles;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9"/>
        <w:gridCol w:w="297"/>
        <w:gridCol w:w="9699"/>
      </w:tblGrid>
      <w:tr>
        <w:trPr/>
        <w:tc>
          <w:tcPr>
            <w:tcW w:w="209" w:type="dxa"/>
            <w:tcBorders/>
          </w:tcPr>
          <w:p>
            <w:pPr>
              <w:pStyle w:val="TableContents"/>
              <w:bidi w:val="0"/>
              <w:spacing w:before="0" w:after="0"/>
              <w:ind w:left="0" w:right="0" w:hanging="0"/>
              <w:jc w:val="both"/>
              <w:rPr>
                <w:color w:val="000000"/>
              </w:rPr>
            </w:pPr>
            <w:r>
              <w:rPr>
                <w:color w:val="000000"/>
              </w:rPr>
              <w:t xml:space="preserve">  </w:t>
            </w:r>
          </w:p>
        </w:tc>
        <w:tc>
          <w:tcPr>
            <w:tcW w:w="297" w:type="dxa"/>
            <w:tcBorders/>
          </w:tcPr>
          <w:p>
            <w:pPr>
              <w:pStyle w:val="TableContents"/>
              <w:bidi w:val="0"/>
              <w:spacing w:before="0" w:after="0"/>
              <w:ind w:left="0" w:right="0" w:hanging="0"/>
              <w:jc w:val="both"/>
              <w:rPr>
                <w:color w:val="000000"/>
              </w:rPr>
            </w:pPr>
            <w:r>
              <w:rPr>
                <w:color w:val="000000"/>
              </w:rPr>
              <w:t xml:space="preserve">• </w:t>
            </w:r>
          </w:p>
        </w:tc>
        <w:tc>
          <w:tcPr>
            <w:tcW w:w="96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maintaining consistency with our internal guidelines;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3"/>
        <w:gridCol w:w="204"/>
        <w:gridCol w:w="9858"/>
      </w:tblGrid>
      <w:tr>
        <w:trPr/>
        <w:tc>
          <w:tcPr>
            <w:tcW w:w="143" w:type="dxa"/>
            <w:tcBorders/>
          </w:tcPr>
          <w:p>
            <w:pPr>
              <w:pStyle w:val="TableContents"/>
              <w:bidi w:val="0"/>
              <w:spacing w:before="0" w:after="0"/>
              <w:ind w:left="0" w:right="0" w:hanging="0"/>
              <w:jc w:val="both"/>
              <w:rPr>
                <w:color w:val="000000"/>
              </w:rPr>
            </w:pPr>
            <w:r>
              <w:rPr>
                <w:color w:val="000000"/>
              </w:rPr>
              <w:t xml:space="preserve">  </w:t>
            </w:r>
          </w:p>
        </w:tc>
        <w:tc>
          <w:tcPr>
            <w:tcW w:w="204" w:type="dxa"/>
            <w:tcBorders/>
          </w:tcPr>
          <w:p>
            <w:pPr>
              <w:pStyle w:val="TableContents"/>
              <w:bidi w:val="0"/>
              <w:spacing w:before="0" w:after="0"/>
              <w:ind w:left="0" w:right="0" w:hanging="0"/>
              <w:jc w:val="both"/>
              <w:rPr>
                <w:color w:val="000000"/>
              </w:rPr>
            </w:pPr>
            <w:r>
              <w:rPr>
                <w:color w:val="000000"/>
              </w:rPr>
              <w:t xml:space="preserve">• </w:t>
            </w:r>
          </w:p>
        </w:tc>
        <w:tc>
          <w:tcPr>
            <w:tcW w:w="985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enforcing agreements and collecting receivables through certain foreign legal systems;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7"/>
        <w:gridCol w:w="279"/>
        <w:gridCol w:w="9729"/>
      </w:tblGrid>
      <w:tr>
        <w:trPr/>
        <w:tc>
          <w:tcPr>
            <w:tcW w:w="197" w:type="dxa"/>
            <w:tcBorders/>
          </w:tcPr>
          <w:p>
            <w:pPr>
              <w:pStyle w:val="TableContents"/>
              <w:bidi w:val="0"/>
              <w:spacing w:before="0" w:after="0"/>
              <w:ind w:left="0" w:right="0" w:hanging="0"/>
              <w:jc w:val="both"/>
              <w:rPr>
                <w:color w:val="000000"/>
              </w:rPr>
            </w:pPr>
            <w:r>
              <w:rPr>
                <w:color w:val="000000"/>
              </w:rPr>
              <w:t xml:space="preserve">  </w:t>
            </w:r>
          </w:p>
        </w:tc>
        <w:tc>
          <w:tcPr>
            <w:tcW w:w="279" w:type="dxa"/>
            <w:tcBorders/>
          </w:tcPr>
          <w:p>
            <w:pPr>
              <w:pStyle w:val="TableContents"/>
              <w:bidi w:val="0"/>
              <w:spacing w:before="0" w:after="0"/>
              <w:ind w:left="0" w:right="0" w:hanging="0"/>
              <w:jc w:val="both"/>
              <w:rPr>
                <w:color w:val="000000"/>
              </w:rPr>
            </w:pPr>
            <w:r>
              <w:rPr>
                <w:color w:val="000000"/>
              </w:rPr>
              <w:t xml:space="preserve">• </w:t>
            </w:r>
          </w:p>
        </w:tc>
        <w:tc>
          <w:tcPr>
            <w:tcW w:w="972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costly and lengthy new export licensing requirements;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9"/>
        <w:gridCol w:w="140"/>
        <w:gridCol w:w="9976"/>
      </w:tblGrid>
      <w:tr>
        <w:trPr/>
        <w:tc>
          <w:tcPr>
            <w:tcW w:w="89" w:type="dxa"/>
            <w:tcBorders/>
          </w:tcPr>
          <w:p>
            <w:pPr>
              <w:pStyle w:val="TableContents"/>
              <w:bidi w:val="0"/>
              <w:spacing w:before="0" w:after="0"/>
              <w:ind w:left="0" w:right="0" w:hanging="0"/>
              <w:jc w:val="both"/>
              <w:rPr>
                <w:color w:val="000000"/>
              </w:rPr>
            </w:pPr>
            <w:r>
              <w:rPr>
                <w:color w:val="000000"/>
              </w:rPr>
              <w:t xml:space="preserve">  </w:t>
            </w:r>
          </w:p>
        </w:tc>
        <w:tc>
          <w:tcPr>
            <w:tcW w:w="140" w:type="dxa"/>
            <w:tcBorders/>
          </w:tcPr>
          <w:p>
            <w:pPr>
              <w:pStyle w:val="TableContents"/>
              <w:bidi w:val="0"/>
              <w:spacing w:before="0" w:after="0"/>
              <w:ind w:left="0" w:right="0" w:hanging="0"/>
              <w:jc w:val="both"/>
              <w:rPr>
                <w:color w:val="000000"/>
              </w:rPr>
            </w:pPr>
            <w:r>
              <w:rPr>
                <w:color w:val="000000"/>
              </w:rPr>
              <w:t xml:space="preserve">• </w:t>
            </w:r>
          </w:p>
        </w:tc>
        <w:tc>
          <w:tcPr>
            <w:tcW w:w="997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U.S. or international sanctions against a country, company, person, or entity with whom we do business that would restrict or prohibit continued business with the sanctioned country, company, person, or entity;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2"/>
        <w:gridCol w:w="203"/>
        <w:gridCol w:w="9860"/>
      </w:tblGrid>
      <w:tr>
        <w:trPr/>
        <w:tc>
          <w:tcPr>
            <w:tcW w:w="142" w:type="dxa"/>
            <w:tcBorders/>
          </w:tcPr>
          <w:p>
            <w:pPr>
              <w:pStyle w:val="TableContents"/>
              <w:bidi w:val="0"/>
              <w:spacing w:before="0" w:after="0"/>
              <w:ind w:left="0" w:right="0" w:hanging="0"/>
              <w:jc w:val="both"/>
              <w:rPr>
                <w:color w:val="000000"/>
              </w:rPr>
            </w:pPr>
            <w:r>
              <w:rPr>
                <w:color w:val="000000"/>
              </w:rPr>
              <w:t xml:space="preserve">  </w:t>
            </w:r>
          </w:p>
        </w:tc>
        <w:tc>
          <w:tcPr>
            <w:tcW w:w="203" w:type="dxa"/>
            <w:tcBorders/>
          </w:tcPr>
          <w:p>
            <w:pPr>
              <w:pStyle w:val="TableContents"/>
              <w:bidi w:val="0"/>
              <w:spacing w:before="0" w:after="0"/>
              <w:ind w:left="0" w:right="0" w:hanging="0"/>
              <w:jc w:val="both"/>
              <w:rPr>
                <w:color w:val="000000"/>
              </w:rPr>
            </w:pPr>
            <w:r>
              <w:rPr>
                <w:color w:val="000000"/>
              </w:rPr>
              <w:t xml:space="preserve">• </w:t>
            </w:r>
          </w:p>
        </w:tc>
        <w:tc>
          <w:tcPr>
            <w:tcW w:w="986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new trade restrictions; and </w:t>
            </w:r>
          </w:p>
        </w:tc>
      </w:tr>
      <w:tr>
        <w:trPr/>
        <w:tc>
          <w:tcPr>
            <w:tcW w:w="142" w:type="dxa"/>
            <w:tcBorders/>
          </w:tcPr>
          <w:p>
            <w:pPr>
              <w:pStyle w:val="TableContents"/>
              <w:bidi w:val="0"/>
              <w:spacing w:before="0" w:after="283"/>
              <w:ind w:left="0" w:right="0" w:hanging="0"/>
              <w:jc w:val="left"/>
              <w:rPr/>
            </w:pPr>
            <w:r>
              <w:rPr/>
            </w:r>
          </w:p>
        </w:tc>
        <w:tc>
          <w:tcPr>
            <w:tcW w:w="203"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60" w:type="dxa"/>
            <w:tcBorders/>
          </w:tcPr>
          <w:p>
            <w:pPr>
              <w:pStyle w:val="TableContents"/>
              <w:bidi w:val="0"/>
              <w:spacing w:before="0" w:after="0"/>
              <w:jc w:val="left"/>
              <w:rPr/>
            </w:pPr>
            <w:r>
              <w:rPr>
                <w:rFonts w:ascii="times new roman;times" w:hAnsi="times new roman;times"/>
              </w:rPr>
              <w:t>divergences in UK and EU regulation, increasing the regulatory burden on </w:t>
            </w:r>
            <w:r>
              <w:rPr/>
              <w:t>electroCore</w:t>
            </w:r>
            <w:r>
              <w:rPr>
                <w:rFonts w:ascii="times new roman;times" w:hAnsi="times new roman;times"/>
              </w:rPr>
              <w:t>.</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experience any of these risks, our sales in non-U.S. jurisdictions may be harmed, and our results of operations would suffer.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results may be impacted by changes in foreign currency exchange rates.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international operations and, as a result, an increase in the value of the U.S. dollar relative to foreign currencies could require us to reduce our selling price or risk making our products less competitive in international markets. Our general costs of doing business could increase. Also, if our international sales increase, we may enter into a greater number of transactions denominated in non-U.S. dollars, which could expose us to increased foreign currency risks, including currency fluctuations and exchange rate risks and indirect effects from net capital flows related risks, such as capital flight and any cross-border capital controls. We do not currently engage in any hedging transactions. If we are unable to address these risks and challenges effectively, our international operations may not be successful, and our business could be harmed.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able to establish or strengthen our brands.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believe that establishing and strengthening the electroCore, gammaCore, Truvaga, and TAC-STIM brands are critical to achieving widespread acceptance of our nVNS platform technology. We believe that brand awareness considerations are particularly significant in light of the highly competitive nature of the burgeoning markets for headache therapies and general wellness products. Promoting and positioning our brand will depend largely on the success of our marketing efforts, our direct-to-consumer initiatives, and our ability to provide physicians, patients, and consumers with a reliable product. Given the established nature of our competitors, our relative lack of commercialization in the United States and our lack of experience in the direct-to-consumer channels, it is likely that our future marketing efforts will require us to incur significant additional expenses. These brand promotional activities may not yield increased sales and, even if they do, any sales increases may not offset the expenses we incur to promote our brands. If we fail to successfully promote, expand, and maintain our brands, or if we incur substantial expenses in an unsuccessful attempt to promote, expand, and maintain our brands, nVNS platform technology may not be accepted by physicians and consumers, which would adversely affect our business, results of operations, and financial condition.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face product liability claims that could result in costly litigation and significant liabilities.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Manufacturing and marketing of our nVNS platform technology and clinical testing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expose us to individual product liability claims, class action lawsuits or actions, and other individual or mass tort claims. Regardless of the merits or eventual outcome, liability claims may result in any of the following: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5000" w:type="pct"/>
        <w:jc w:val="left"/>
        <w:tblInd w:w="0" w:type="dxa"/>
        <w:tblLayout w:type="fixed"/>
        <w:tblCellMar>
          <w:top w:w="0" w:type="dxa"/>
          <w:left w:w="0" w:type="dxa"/>
          <w:bottom w:w="0" w:type="dxa"/>
          <w:right w:w="0" w:type="dxa"/>
        </w:tblCellMar>
      </w:tblPr>
      <w:tblGrid>
        <w:gridCol w:w="177"/>
        <w:gridCol w:w="251"/>
        <w:gridCol w:w="9777"/>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1" w:type="dxa"/>
            <w:tcBorders/>
          </w:tcPr>
          <w:p>
            <w:pPr>
              <w:pStyle w:val="TableContents"/>
              <w:bidi w:val="0"/>
              <w:spacing w:before="0" w:after="0"/>
              <w:ind w:left="0" w:right="0" w:hanging="0"/>
              <w:jc w:val="both"/>
              <w:rPr>
                <w:color w:val="000000"/>
              </w:rPr>
            </w:pPr>
            <w:r>
              <w:rPr>
                <w:color w:val="000000"/>
              </w:rPr>
              <w:t xml:space="preserve">• </w:t>
            </w:r>
          </w:p>
        </w:tc>
        <w:tc>
          <w:tcPr>
            <w:tcW w:w="9777"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decreased demand for our products or products that we may develop in the future;</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decline in price charged for our products;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loss of revenue;</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injury to our reputation;</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initiation of investigations by regulators;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costs to defend the related litigation;</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 diversion of management’s time and our resources;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substantial monetary awards to trial participants;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product recalls or withdrawals;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labeling, packaging, marketing or promotional modifications or restrictions;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exhaustion of any available insurance and our capital resources;</w:t>
            </w:r>
          </w:p>
        </w:tc>
      </w:tr>
      <w:tr>
        <w:trPr/>
        <w:tc>
          <w:tcPr>
            <w:tcW w:w="177" w:type="dxa"/>
            <w:tcBorders/>
          </w:tcPr>
          <w:p>
            <w:pPr>
              <w:pStyle w:val="TableContents"/>
              <w:bidi w:val="0"/>
              <w:spacing w:before="0" w:after="283"/>
              <w:ind w:left="0" w:right="0" w:hanging="0"/>
              <w:jc w:val="left"/>
              <w:rPr/>
            </w:pPr>
            <w:r>
              <w:rPr/>
            </w:r>
          </w:p>
        </w:tc>
        <w:tc>
          <w:tcPr>
            <w:tcW w:w="251"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the inability to commercialize our existing or future products; and</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 decline in our stock price.</w:t>
            </w:r>
          </w:p>
        </w:tc>
      </w:tr>
    </w:tbl>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have, and intend to maintain, liability insurance, the insurers may deny our claims, and coverage limits of our insurance policies may not be adequate. Specifically, we may have to pay any amount awarded by a court or negotiated in a settlement that exceed our coverage limitations, or that are not covered by the terms and conditions of our insurance policies, and we may not have, or be able to obtain, sufficient capital to pay such amounts. Even if our agreements entitle us to indemnification against losses, such indemnification may not be available or adequate should any claim arise. These risks are particularly heightened in the event any product recalls take place as a result of any product design defect or defect in product warnings or labelling. One or more successful claims brought against us may have a material adverse effect on our business and results of operations. Even successful defense would require significant financial and management resources.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operating results and profitability may be adversely affected by increases in reserves for product returns, doubtful accounts receivable, and inventory.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net sales and profitability are affected by changes in reserves to account for product returns, doubtful accounts receivable, and inventory. Significant management judgment must be used, and estimates must be made in relation to establishing the foregoing reserves, and any increase thereto could adversely affect our reported financial results by reducing our net revenues and/or profitability for the given reporting period.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the financial condition of our customers were to deteriorate, resulting in an impairment of their ability to make payments, or if third-party payors were to deny claims, additional provisions for doubtful accounts may be required.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permit the return of damaged or defective products and accept Truvaga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(v) result in punitive actions from regulatory bodies and (vi) subject us to liability for damages and divert our resources from other tasks, any of which could materially and adversely affect our business, asset valuations, results of operations, and financial condition.</w:t>
      </w: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retain our key executives or recruit and hire new employees, our operations and financial results may be adversely affected while we attract other highly qualified personnel.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w:t>
      </w:r>
      <w:r>
        <w:rPr>
          <w:rFonts w:ascii="times new roman;times" w:hAnsi="times new roman;times"/>
          <w:b w:val="false"/>
          <w:i w:val="false"/>
          <w:caps w:val="false"/>
          <w:smallCaps w:val="false"/>
          <w:color w:val="000000"/>
          <w:spacing w:val="0"/>
          <w:sz w:val="20"/>
        </w:rPr>
        <w:t>would </w:t>
      </w:r>
      <w:r>
        <w:rPr>
          <w:rFonts w:ascii="times new roman;times" w:hAnsi="times new roman;times"/>
          <w:color w:val="000000"/>
          <w:sz w:val="20"/>
        </w:rPr>
        <w:t>likely involve significant time and costs, may significantly delay or prevent the achievement of our business objectives, and may harm our business.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This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while they seek to protect their market position, particularly as we prepare to expand in new or existing markets.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If we are unable to retain or attract the independent contractors in our sales force, our sales efforts may be adversely impacted.</w:t>
      </w:r>
    </w:p>
    <w:p>
      <w:pPr>
        <w:pStyle w:val="TextBody"/>
        <w:shd w:fill="FFFFFF" w:val="clear"/>
        <w:bidi w:val="0"/>
        <w:spacing w:lineRule="atLeast" w:line="240" w:before="0" w:after="0"/>
        <w:ind w:left="0" w:right="0" w:hanging="0"/>
        <w:jc w:val="left"/>
        <w:rPr/>
      </w:pPr>
      <w:r>
        <w:rPr/>
      </w:r>
    </w:p>
    <w:p>
      <w:pPr>
        <w:pStyle w:val="TextBody"/>
        <w:shd w:fill="FFFFFF" w:val="clear"/>
        <w:bidi w:val="0"/>
        <w:spacing w:lineRule="auto" w:line="288" w:before="0" w:after="200"/>
        <w:ind w:left="0" w:right="0" w:hanging="0"/>
        <w:jc w:val="left"/>
        <w:rPr>
          <w:rFonts w:ascii="Times New Roman;serif" w:hAnsi="Times New Roman;serif"/>
          <w:color w:val="000000"/>
          <w:sz w:val="20"/>
        </w:rPr>
      </w:pPr>
      <w:r>
        <w:rPr>
          <w:rFonts w:ascii="Times New Roman;serif" w:hAnsi="Times New Roman;serif"/>
          <w:color w:val="000000"/>
          <w:sz w:val="20"/>
        </w:rPr>
        <w:t>The independent contractors in our sales force may terminate their services at any time. We have experienced and are likely to continue to experience turnover among independent contractors. The departure for any reason of any of our independent contractors could have a negative impact on our sales and operating results. While we take steps to help train, motivate, and retain independent contractors, we cannot accurately predict the number or sales productivity of our independent contractors.</w:t>
      </w:r>
    </w:p>
    <w:p>
      <w:pPr>
        <w:pStyle w:val="TextBody"/>
        <w:shd w:fill="FFFFFF" w:val="clear"/>
        <w:bidi w:val="0"/>
        <w:spacing w:lineRule="atLeast" w:line="240" w:before="200" w:after="0"/>
        <w:ind w:left="0" w:right="0" w:hanging="0"/>
        <w:jc w:val="both"/>
        <w:rPr>
          <w:rFonts w:ascii="Times New Roman;serif" w:hAnsi="Times New Roman;serif"/>
          <w:color w:val="000000"/>
          <w:sz w:val="20"/>
        </w:rPr>
      </w:pPr>
      <w:r>
        <w:rPr>
          <w:rFonts w:ascii="Times New Roman;serif" w:hAnsi="Times New Roman;serif"/>
          <w:color w:val="000000"/>
          <w:sz w:val="20"/>
        </w:rPr>
        <w:t>Our operating results will be harmed if we and the independent contractors in our sales force do not generate sufficient interest in our products to retain such contractors and attract new contractors. The number and sales productivity of the contractors could be harmed by several factors, including:</w:t>
      </w:r>
    </w:p>
    <w:p>
      <w:pPr>
        <w:pStyle w:val="TextBody"/>
        <w:shd w:fill="FFFFFF" w:val="clear"/>
        <w:bidi w:val="0"/>
        <w:spacing w:lineRule="auto" w:line="288" w:before="0" w:after="0"/>
        <w:ind w:left="0" w:right="0" w:hanging="0"/>
        <w:jc w:val="left"/>
        <w:rPr/>
      </w:pPr>
      <w:r>
        <w:rPr/>
      </w:r>
    </w:p>
    <w:tbl>
      <w:tblPr>
        <w:tblW w:w="8076" w:type="dxa"/>
        <w:jc w:val="left"/>
        <w:tblInd w:w="0" w:type="dxa"/>
        <w:tblLayout w:type="fixed"/>
        <w:tblCellMar>
          <w:top w:w="0" w:type="dxa"/>
          <w:left w:w="0" w:type="dxa"/>
          <w:bottom w:w="0" w:type="dxa"/>
          <w:right w:w="0" w:type="dxa"/>
        </w:tblCellMar>
      </w:tblPr>
      <w:tblGrid>
        <w:gridCol w:w="124"/>
        <w:gridCol w:w="196"/>
        <w:gridCol w:w="7756"/>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7756" w:type="dxa"/>
            <w:tcBorders/>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adverse publicity regarding us, our products, our distribution channel, or our competitors;</w:t>
            </w:r>
          </w:p>
        </w:tc>
      </w:tr>
    </w:tbl>
    <w:tbl>
      <w:tblPr>
        <w:tblW w:w="9801" w:type="dxa"/>
        <w:jc w:val="left"/>
        <w:tblInd w:w="0" w:type="dxa"/>
        <w:tblLayout w:type="fixed"/>
        <w:tblCellMar>
          <w:top w:w="0" w:type="dxa"/>
          <w:left w:w="0" w:type="dxa"/>
          <w:bottom w:w="0" w:type="dxa"/>
          <w:right w:w="0" w:type="dxa"/>
        </w:tblCellMar>
      </w:tblPr>
      <w:tblGrid>
        <w:gridCol w:w="124"/>
        <w:gridCol w:w="196"/>
        <w:gridCol w:w="9481"/>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481"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non-compliance by our independent consultants with applicable legal requirements or our policies and procedures;</w:t>
            </w:r>
          </w:p>
        </w:tc>
      </w:tr>
    </w:tbl>
    <w:tbl>
      <w:tblPr>
        <w:tblW w:w="7701" w:type="dxa"/>
        <w:jc w:val="left"/>
        <w:tblInd w:w="0" w:type="dxa"/>
        <w:tblLayout w:type="fixed"/>
        <w:tblCellMar>
          <w:top w:w="0" w:type="dxa"/>
          <w:left w:w="0" w:type="dxa"/>
          <w:bottom w:w="0" w:type="dxa"/>
          <w:right w:w="0" w:type="dxa"/>
        </w:tblCellMar>
      </w:tblPr>
      <w:tblGrid>
        <w:gridCol w:w="124"/>
        <w:gridCol w:w="196"/>
        <w:gridCol w:w="7381"/>
      </w:tblGrid>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7381"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lack of interest in existing or new products or their failure to achieve desired sales results;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lack of a compelling business opportunity sufficient to generate the interest and commitment of new independent contractors;</w:t>
            </w:r>
          </w:p>
        </w:tc>
      </w:tr>
    </w:tbl>
    <w:tbl>
      <w:tblPr>
        <w:tblW w:w="7371" w:type="dxa"/>
        <w:jc w:val="left"/>
        <w:tblInd w:w="0" w:type="dxa"/>
        <w:tblLayout w:type="fixed"/>
        <w:tblCellMar>
          <w:top w:w="0" w:type="dxa"/>
          <w:left w:w="0" w:type="dxa"/>
          <w:bottom w:w="0" w:type="dxa"/>
          <w:right w:w="0" w:type="dxa"/>
        </w:tblCellMar>
      </w:tblPr>
      <w:tblGrid>
        <w:gridCol w:w="124"/>
        <w:gridCol w:w="196"/>
        <w:gridCol w:w="7051"/>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7051" w:type="dxa"/>
            <w:tcBorders/>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changes we might make to our independent contractors sales compensation plan;</w:t>
            </w:r>
          </w:p>
        </w:tc>
      </w:tr>
    </w:tbl>
    <w:tbl>
      <w:tblPr>
        <w:tblW w:w="5661" w:type="dxa"/>
        <w:jc w:val="left"/>
        <w:tblInd w:w="0" w:type="dxa"/>
        <w:tblLayout w:type="fixed"/>
        <w:tblCellMar>
          <w:top w:w="0" w:type="dxa"/>
          <w:left w:w="0" w:type="dxa"/>
          <w:bottom w:w="0" w:type="dxa"/>
          <w:right w:w="0" w:type="dxa"/>
        </w:tblCellMar>
      </w:tblPr>
      <w:tblGrid>
        <w:gridCol w:w="124"/>
        <w:gridCol w:w="196"/>
        <w:gridCol w:w="5341"/>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5341"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negative public perception of our company or our products;</w:t>
            </w:r>
          </w:p>
        </w:tc>
      </w:tr>
    </w:tbl>
    <w:tbl>
      <w:tblPr>
        <w:tblW w:w="5601" w:type="dxa"/>
        <w:jc w:val="left"/>
        <w:tblInd w:w="0" w:type="dxa"/>
        <w:tblLayout w:type="fixed"/>
        <w:tblCellMar>
          <w:top w:w="0" w:type="dxa"/>
          <w:left w:w="0" w:type="dxa"/>
          <w:bottom w:w="0" w:type="dxa"/>
          <w:right w:w="0" w:type="dxa"/>
        </w:tblCellMar>
      </w:tblPr>
      <w:tblGrid>
        <w:gridCol w:w="124"/>
        <w:gridCol w:w="196"/>
        <w:gridCol w:w="5281"/>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528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negative public perception of our independent contractors;</w:t>
            </w:r>
          </w:p>
        </w:tc>
      </w:tr>
    </w:tbl>
    <w:tbl>
      <w:tblPr>
        <w:tblW w:w="6411" w:type="dxa"/>
        <w:jc w:val="left"/>
        <w:tblInd w:w="0" w:type="dxa"/>
        <w:tblLayout w:type="fixed"/>
        <w:tblCellMar>
          <w:top w:w="0" w:type="dxa"/>
          <w:left w:w="0" w:type="dxa"/>
          <w:bottom w:w="0" w:type="dxa"/>
          <w:right w:w="0" w:type="dxa"/>
        </w:tblCellMar>
      </w:tblPr>
      <w:tblGrid>
        <w:gridCol w:w="124"/>
        <w:gridCol w:w="196"/>
        <w:gridCol w:w="6091"/>
      </w:tblGrid>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actions to enforce our policies and procedures;</w:t>
            </w:r>
          </w:p>
        </w:tc>
      </w:tr>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efforts to sell our products through competitive channels;</w:t>
            </w:r>
          </w:p>
        </w:tc>
      </w:tr>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regulatory actions or charges against us or others in our industry; and</w:t>
            </w:r>
          </w:p>
        </w:tc>
      </w:tr>
      <w:tr>
        <w:trPr/>
        <w:tc>
          <w:tcPr>
            <w:tcW w:w="124" w:type="dxa"/>
            <w:tcBorders/>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general economic and business conditions.</w:t>
            </w:r>
          </w:p>
        </w:tc>
      </w:tr>
    </w:tbl>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180"/>
        <w:ind w:left="0" w:right="0" w:hanging="0"/>
        <w:jc w:val="left"/>
        <w:rPr>
          <w:rFonts w:ascii="Times New Roman;serif" w:hAnsi="Times New Roman;serif"/>
          <w:sz w:val="24"/>
        </w:rPr>
      </w:pPr>
      <w:r>
        <w:rPr>
          <w:rFonts w:ascii="Times New Roman;serif" w:hAnsi="Times New Roman;serif"/>
          <w:b/>
          <w:i/>
          <w:color w:val="000000"/>
          <w:sz w:val="20"/>
        </w:rPr>
        <w:t>We may be held responsible for certain taxes or asses</w:t>
      </w:r>
      <w:r>
        <w:rPr>
          <w:rFonts w:ascii="times new roman;times" w:hAnsi="times new roman;times"/>
          <w:b/>
          <w:i/>
          <w:color w:val="000000"/>
          <w:sz w:val="20"/>
        </w:rPr>
        <w:t>sments and other obligations relating to the activities of our independent contractors, which could harm our financial condition and operating results.</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Our independent contractors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w:t>
      </w:r>
      <w:r>
        <w:rPr>
          <w:rFonts w:ascii="times new roman;times" w:hAnsi="times new roman;times"/>
          <w:b w:val="false"/>
          <w:i w:val="false"/>
          <w:caps w:val="false"/>
          <w:smallCaps w:val="false"/>
          <w:color w:val="000000"/>
          <w:spacing w:val="0"/>
          <w:sz w:val="20"/>
        </w:rPr>
        <w:t>consultants </w:t>
      </w:r>
      <w:r>
        <w:rPr>
          <w:rFonts w:ascii="times new roman;times" w:hAnsi="times new roman;times"/>
          <w:color w:val="000000"/>
          <w:sz w:val="20"/>
        </w:rPr>
        <w:t xml:space="preserve">are deemed by local regulatory authorities in one or more of the jurisdictions in which we operate to be our employees rather than independent contractors under existing laws and interpretations, or our independent </w:t>
      </w:r>
      <w:r>
        <w:rPr>
          <w:rFonts w:ascii="times new roman;times" w:hAnsi="times new roman;times"/>
          <w:b w:val="false"/>
          <w:i w:val="false"/>
          <w:caps w:val="false"/>
          <w:smallCaps w:val="false"/>
          <w:color w:val="000000"/>
          <w:spacing w:val="0"/>
          <w:sz w:val="20"/>
        </w:rPr>
        <w:t>contractors </w:t>
      </w:r>
      <w:r>
        <w:rPr>
          <w:rFonts w:ascii="times new roman;times" w:hAnsi="times new roman;times"/>
          <w:color w:val="000000"/>
          <w:sz w:val="20"/>
        </w:rPr>
        <w:t>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contractors were deemed to be employees rather than independent contractors, we may be obligated to pay certain employee benefits, such as workers compensation and unemployment insurance. Further, if our independent contractors are misclassified as employees, we would also face the threat of increased vicarious liability for their actions.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future success depends on our leadership development and succession planning.</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Effective succession planning is important to our long-term success. Failure to ensure effective transfer of knowledge and smooth transitions involving key employees and senior executives could hinder our strategic planning and execution. Our ability to execute our business strategies, ensure a cohesive management team, and attract and retain key executives may be adversely affected by the uncertainty that could be associated with the transition to new senior leadership.</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employees, independent contractors, consultants, commercial collaborators, principal investigators, CROs, and vendors may engage in misconduct or other improper activities, including non-compliance with regulatory standards and requirements.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exposed to the risk that our employees, independent contractors, independent contractor influencers, other content creators, consultants, commercial collaborators, principal investigators, CROs, and vendors may engage in fraudulent conduct or other illegal activity. Possible misconduct by these parties, including intentional, reckless, or negligent conduct or otherwise unauthorized activities, that violates the (1) laws and regulations of the FDA, FTC,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advertising and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advertising, marketing and promotion, sales commission, customer incentive programs, and other business arrangements. Misconduct by the foregoing parties could also involve the improper use of individually identifiable information, including information obtained in the course of clinical trials, creation of fraudulent data in our preclinical studies or clinical trials, or illegal misappropriation of product candidates, which could result in regulatory sanctions and serious harm to our reputation.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Regarding advertising risk in the United States in particular, the FTC and states’ attorneys general are primarily responsible for enforcing the consumer protection laws by, among other things, investigating and initiating enforcement actions against business practices they deem to be deceptive or fraudulent under applicable laws. We are thus subject to consumer protection laws that regulate our marketing practices and prohibit unfair or deceptive acts or practices. Our actual or perceived failure to comply with such obligations could harm our business, and changes in such regulations or laws could require us to modify our products or marketing or advertising efforts. In connection with the marketing or advertisement of our products, we could be the target of claims relating to false, misleading, deceptive or otherwise noncompliant advertising or marketing practices, including under the auspices of the FTC and state consumer protection statutes. If we rely on third parties to provide any marketing and advertising of our products, we could be liable for, or face reputational harm as a result of, their marketing practices if, for example, they fail to comply with applicable statutory and regulatory requirements. We cannot ensure that all marketing materials currently used for our products comply with applicable laws, rules, and regulations, including bans on false and misleading product related claims. Any failure to comply with these restrictions could subject us to assertions of claims of false advertising and misrepresentation, which potentially bring forth significant financial penalties, costly mandatory product recalls, or relabeling requirements, any of which could have a material adverse effect on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100"/>
        <w:ind w:left="0" w:right="0" w:hanging="0"/>
        <w:jc w:val="left"/>
        <w:rPr>
          <w:rFonts w:ascii="times new roman;times" w:hAnsi="times new roman;times"/>
          <w:color w:val="000000"/>
          <w:sz w:val="20"/>
        </w:rPr>
      </w:pPr>
      <w:r>
        <w:rPr>
          <w:rFonts w:ascii="times new roman;times" w:hAnsi="times new roman;times"/>
          <w:color w:val="000000"/>
          <w:sz w:val="20"/>
        </w:rPr>
        <w:t xml:space="preserve">If we are found to have breached any consumer protection, advertising, unfair competition or other laws or regulations, we may be subject to enforcement actions that generally require us to amend our marketing and business practices in a manner that may negatively impact us. This could also result in litigation, fines, penalties, and adverse publicity that could cause reputational harm and loss of customer trust, which could have a material adverse effect on our business, financial condition and results of operations.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increasing use of social media could give rise to liability.</w:t>
      </w:r>
    </w:p>
    <w:p>
      <w:pPr>
        <w:pStyle w:val="TextBody"/>
        <w:bidi w:val="0"/>
        <w:spacing w:lineRule="auto" w:line="288"/>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20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Social media, including Instagram, Snapchat, TikTok, Facebook, </w:t>
      </w:r>
      <w:r>
        <w:rPr>
          <w:rFonts w:ascii="Times New Roman;serif" w:hAnsi="Times New Roman;serif"/>
          <w:color w:val="000000"/>
          <w:sz w:val="20"/>
          <w:shd w:fill="FFFFFF" w:val="clear"/>
        </w:rPr>
        <w:t>LinkedIn and X, the social media platform formerly known as</w:t>
      </w:r>
      <w:r>
        <w:rPr>
          <w:rFonts w:ascii="times new roman;times" w:hAnsi="times new roman;times"/>
          <w:color w:val="000000"/>
          <w:sz w:val="20"/>
          <w:shd w:fill="FFFFFF" w:val="clear"/>
        </w:rPr>
        <w:t> Twitter, are increasingly being used to communicate about our products, clinical development programs, and, at present, the conditions our </w:t>
      </w:r>
      <w:r>
        <w:rPr>
          <w:rFonts w:ascii="times new roman;times" w:hAnsi="times new roman;times"/>
          <w:b w:val="false"/>
          <w:i w:val="false"/>
          <w:caps w:val="false"/>
          <w:smallCaps w:val="false"/>
          <w:color w:val="000000"/>
          <w:spacing w:val="0"/>
          <w:sz w:val="20"/>
          <w:shd w:fill="FFFFFF" w:val="clear"/>
        </w:rPr>
        <w:t>prescription</w:t>
      </w:r>
      <w:r>
        <w:rPr>
          <w:rFonts w:ascii="times new roman;times" w:hAnsi="times new roman;times"/>
          <w:color w:val="000000"/>
          <w:sz w:val="20"/>
          <w:shd w:fill="FFFFFF" w:val="clear"/>
        </w:rPr>
        <w:t xml:space="preserve"> gammaCore therapy is being developed to treat and potential general wellness improvements. We are engaging in what we believe is appropriate social media usage in connection with our commercialization efforts for indications for which our therapy has been approved </w:t>
      </w:r>
      <w:r>
        <w:rPr>
          <w:rFonts w:ascii="Times New Roman;serif" w:hAnsi="Times New Roman;serif"/>
          <w:color w:val="000000"/>
          <w:sz w:val="20"/>
          <w:shd w:fill="FFFFFF" w:val="clear"/>
        </w:rPr>
        <w:t>and for potential general wellness improvements</w:t>
      </w:r>
      <w:r>
        <w:rPr>
          <w:rFonts w:ascii="times new roman;times" w:hAnsi="times new roman;times"/>
          <w:color w:val="000000"/>
          <w:sz w:val="20"/>
          <w:shd w:fill="FFFFFF" w:val="clear"/>
        </w:rPr>
        <w:t xml:space="preserve">. We intend to do the same for any future indications or products, if approved. Social media practices in the medical device and general wellness industries continue to evolve, and regulations and regulatory guidance relating to such practices are mutable and unclear at times. This evolution creates uncertainty and elevated risk of non-compliance with regulations applicable to our business, which can result in potential regulatory actions against us or potential litigation related to “off-label” marketing or other prohibited activities. For example, for our clinical-stage candidates, patients and consumers may use social media channels to comment on their experience in an ongoing blinded clinical study or to report an alleged adverse event. When such disclosures occur, there is a risk that study enrollment may be adversely impacted, or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participants, customers, consumers, and others. Our efforts to promote our products via marketing and social media initiatives may subject us in the future to additional scrutiny of our practices of effective communication of risk information, benefits, or claims, by the FDA, FTC, or both. If any of the aforesaid events were to occur, or we otherwise fail to comply with applicable regulations, we could incur liability, face regulatory actions, or cause other injury to our business and stockholders. </w:t>
      </w:r>
    </w:p>
    <w:p>
      <w:pPr>
        <w:pStyle w:val="TextBody"/>
        <w:bidi w:val="0"/>
        <w:spacing w:lineRule="auto" w:line="288" w:before="0" w:after="20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our Dependence on Third Parties</w:t>
      </w:r>
    </w:p>
    <w:p>
      <w:pPr>
        <w:pStyle w:val="TextBody"/>
        <w:shd w:fill="FFFFFF" w:val="clear"/>
        <w:bidi w:val="0"/>
        <w:spacing w:lineRule="auto" w:line="288" w:before="200" w:after="200"/>
        <w:ind w:left="0" w:right="0" w:hanging="0"/>
        <w:jc w:val="left"/>
        <w:rPr>
          <w:rFonts w:ascii="Times New Roman;serif" w:hAnsi="Times New Roman;serif"/>
          <w:sz w:val="20"/>
        </w:rPr>
      </w:pPr>
      <w:r>
        <w:rPr>
          <w:rFonts w:ascii="Times New Roman;serif" w:hAnsi="Times New Roman;serif"/>
          <w:b/>
          <w:i/>
          <w:color w:val="000000"/>
          <w:sz w:val="20"/>
        </w:rPr>
        <w:t>We </w:t>
      </w:r>
      <w:r>
        <w:rPr>
          <w:rFonts w:ascii="Times New Roman;serif" w:hAnsi="Times New Roman;serif"/>
          <w:b/>
          <w:i/>
          <w:sz w:val="20"/>
        </w:rPr>
        <w:t xml:space="preserve">have signed a distribution agreement with Lovell to sell certain gammaCore products throughout the government channel through Lovell’s contract vehicles, and we may therefore be dependent on Lovell.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Between November 2023 and January 2024, certain gammaCore products were added to the FSS, the DAPA, GSA Advantage, and Defense Logistics Agency’s ECAT system procurement portals through the Lovell contract vehicles. We expect an increasing portion of our 2025 sales will be made pursuant to the distribution agreement with Lovell and its contract vehicles. Furthermore, we have submitted a follow-on offer application to replace our existing FSS contract which is set to expire on June 14, 2025. If our follow-on offer application for renewal is not accepted, our sales within the government channel will be largely dependent on the Lovell contract vehicles. Any delay in payments by our customers as well as any disagreement disruption or change in the status of the relationship with Lovell or other customers or Lovell’s ability to execute orders could negatively impact our business, results of operations, and financial condition.</w:t>
      </w:r>
    </w:p>
    <w:p>
      <w:pPr>
        <w:pStyle w:val="TextBody"/>
        <w:shd w:fill="FFFFFF" w:val="clear"/>
        <w:bidi w:val="0"/>
        <w:spacing w:lineRule="auto" w:line="288" w:before="0" w:after="0"/>
        <w:ind w:left="0" w:right="0" w:hanging="0"/>
        <w:jc w:val="left"/>
        <w:rPr/>
      </w:pPr>
      <w:r>
        <w:rPr/>
      </w:r>
    </w:p>
    <w:p>
      <w:pPr>
        <w:pStyle w:val="TextBody"/>
        <w:bidi w:val="0"/>
        <w:spacing w:lineRule="auto" w:line="288" w:before="200" w:after="200"/>
        <w:ind w:left="0" w:right="0" w:hanging="0"/>
        <w:jc w:val="left"/>
        <w:rPr>
          <w:rFonts w:ascii="times new roman;times" w:hAnsi="times new roman;times"/>
          <w:b/>
          <w:i/>
          <w:sz w:val="20"/>
          <w:shd w:fill="FFFFFF" w:val="clear"/>
        </w:rPr>
      </w:pPr>
      <w:r>
        <w:rPr>
          <w:rFonts w:ascii="times new roman;times" w:hAnsi="times new roman;times"/>
          <w:b/>
          <w:i/>
          <w:sz w:val="20"/>
          <w:shd w:fill="FFFFFF" w:val="clear"/>
        </w:rPr>
        <w:t>We are offering products to government customers through two different contracting vehicles, which may cause confusion for purchasing agents and result in frustration by customers.</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Beginning in November 2023, gammaCore products have been available to government customers directly through our existing FSS contract, via open market purchases for individual VA facilities, and through Lovell. Offering different products at different price points may cause confusion for purchasing agents, which may result in loss or delay of sales to customers. </w:t>
      </w:r>
      <w:r>
        <w:rPr>
          <w:rFonts w:ascii="times new roman;times" w:hAnsi="times new roman;times"/>
          <w:b w:val="false"/>
          <w:i w:val="false"/>
          <w:caps w:val="false"/>
          <w:smallCaps w:val="false"/>
          <w:color w:val="000000"/>
          <w:spacing w:val="0"/>
          <w:sz w:val="20"/>
        </w:rPr>
        <w:t>Furthermore, we have submitted a follow-on offer application to replace our existing FSS contract which is set to expire on June 14, 2025. The replacement contract, if granted, will have a different contract number than what was previously used for purchases by customers.</w:t>
      </w:r>
      <w:r>
        <w:rPr>
          <w:rFonts w:ascii="times new roman;times" w:hAnsi="times new roman;times"/>
          <w:color w:val="000000"/>
          <w:sz w:val="20"/>
        </w:rPr>
        <w:t xml:space="preserve"> Any frustration or confusion by customers associated with gammaCore offerings through multiple procurement contracts or contract identifiers may adversely impact our business, results of operations, and financial condition</w:t>
      </w:r>
      <w:r>
        <w:rPr>
          <w:rFonts w:ascii="times new roman;times" w:hAnsi="times new roman;times"/>
          <w:b/>
          <w:i/>
          <w:color w:val="000000"/>
          <w:sz w:val="20"/>
        </w:rPr>
        <w:t>.</w:t>
      </w:r>
    </w:p>
    <w:p>
      <w:pPr>
        <w:pStyle w:val="TextBody"/>
        <w:shd w:fill="FFFFFF" w:val="clear"/>
        <w:bidi w:val="0"/>
        <w:spacing w:lineRule="auto" w:line="288" w:before="200" w:after="200"/>
        <w:ind w:left="0" w:right="0" w:hanging="0"/>
        <w:jc w:val="left"/>
        <w:rPr>
          <w:rFonts w:ascii="Times New Roman;serif" w:hAnsi="Times New Roman;serif"/>
          <w:b/>
          <w:i/>
          <w:color w:val="000000"/>
          <w:sz w:val="20"/>
        </w:rPr>
      </w:pPr>
      <w:r>
        <w:rPr>
          <w:rFonts w:ascii="Times New Roman;serif" w:hAnsi="Times New Roman;serif"/>
          <w:b/>
          <w:i/>
          <w:color w:val="000000"/>
          <w:sz w:val="20"/>
        </w:rPr>
        <w:t xml:space="preserve">We have signed a distribution agreement with Joerns Healthcare (“Joerns”) to sell certain gammaCore products throughout certain managed healthcare systems through the Joerns contract vehicles which puts a significant dependence on Joerns. </w:t>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In October 2022, certain gammaCore products were added to the Joerns DME catalog for distribution throughout certain managed care healthcare systems. We expect a portion of our 2025 sales will be made pursuant to the distribution agreement with Joerns and their contract vehicles. Any change in the status of the relationship or Joerns’ ability to execute orders could negatively impact our business. </w:t>
      </w:r>
    </w:p>
    <w:p>
      <w:pPr>
        <w:pStyle w:val="TextBody"/>
        <w:shd w:fill="FFFFFF" w:val="clear"/>
        <w:bidi w:val="0"/>
        <w:spacing w:lineRule="atLeast" w:line="240"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Our new app-enabled consumer product relies on third-party vendors for application development and management which puts a significant dependency on the third-party vendor.</w:t>
      </w:r>
    </w:p>
    <w:p>
      <w:pPr>
        <w:pStyle w:val="TextBody"/>
        <w:shd w:fill="FFFFFF" w:val="clear"/>
        <w:bidi w:val="0"/>
        <w:spacing w:lineRule="atLeast" w:line="240" w:before="0" w:after="0"/>
        <w:ind w:left="0" w:right="0" w:hanging="0"/>
        <w:jc w:val="left"/>
        <w:rPr>
          <w:color w:val="000000"/>
        </w:rPr>
      </w:pPr>
      <w:r>
        <w:rPr>
          <w:color w:val="000000"/>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color w:val="000000"/>
          <w:sz w:val="20"/>
        </w:rPr>
        <w:t xml:space="preserve">We launched our next generation app-enabled consumer product under the Truvaga brand in 2024. The customer-facing application was developed by a third-party vendor on their proprietary platform. </w:t>
      </w:r>
      <w:r>
        <w:rPr>
          <w:rFonts w:ascii="Times New Roman;serif" w:hAnsi="Times New Roman;serif"/>
          <w:sz w:val="20"/>
        </w:rPr>
        <w:t>We depend on our technology vendors to manage “up-time” of the front-end customer-facing application, device connectivity, and back-end administration portals. Any failure on the part of our third-party application developer, or in our ability to transition third-party services effectively, could result in lost sales and harm our business.</w:t>
      </w:r>
    </w:p>
    <w:p>
      <w:pPr>
        <w:pStyle w:val="TextBody"/>
        <w:bidi w:val="0"/>
        <w:spacing w:lineRule="atLeast" w:line="240"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The third-party application developer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systems, if these systems are breached or suffer severe damage, disruption, or shutdown, and we are unable to effectively resolve the issues in a timely manner, our business and operating results may suffer.</w:t>
      </w:r>
    </w:p>
    <w:p>
      <w:pPr>
        <w:pStyle w:val="TextBody"/>
        <w:shd w:fill="FFFFFF" w:val="clear"/>
        <w:bidi w:val="0"/>
        <w:spacing w:lineRule="auto" w:line="288" w:before="20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w:t>
      </w:r>
      <w:r>
        <w:rPr>
          <w:rFonts w:ascii="Times New Roman;serif" w:hAnsi="Times New Roman;serif"/>
          <w:color w:val="000000"/>
          <w:sz w:val="20"/>
        </w:rPr>
        <w:t>,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the armed conflict between Russia and Ukraine, trade sanctions, and similar events. It may be difficult for us to assess the ability of our suppliers to timely meet our demand in the future based on past performance. While our suppliers have generally met our demand for their products on a timely basis in the past, they may subordinate our needs in the future to their other customers.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Establishing additional or replacement suppliers for the components or processes used in gammaCore, if required, may not be accomplished quickly. If we are able to find a replacement supplier </w:t>
      </w:r>
      <w:r>
        <w:rPr>
          <w:rFonts w:ascii="Times New Roman;serif" w:hAnsi="Times New Roman;serif"/>
          <w:color w:val="000000"/>
          <w:sz w:val="20"/>
        </w:rPr>
        <w:t>within the safety stock level</w:t>
      </w:r>
      <w:r>
        <w:rPr>
          <w:rFonts w:ascii="times new roman;times" w:hAnsi="times new roman;times"/>
          <w:color w:val="000000"/>
          <w:sz w:val="20"/>
        </w:rPr>
        <w:t>, such a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pStyle w:val="TextBody"/>
        <w:shd w:fill="FFFFFF" w:val="clear"/>
        <w:bidi w:val="0"/>
        <w:spacing w:lineRule="auto" w:line="288" w:before="24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42</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 xml:space="preserve">We have limited experience with the supply chain of our next generation app-enabled consumer general wellness product under the brand Truvaga and are dependent on third parties for related software development. </w:t>
      </w:r>
    </w:p>
    <w:p>
      <w:pPr>
        <w:pStyle w:val="TextBody"/>
        <w:bidi w:val="0"/>
        <w:spacing w:lineRule="auto" w:line="288" w:before="12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Many of the critical components that are used in our next generation app-enabled consumer general wellness product that we launched under the brand name Truvaga are supplied to us from either a primary or secondary manufacturer, as well as multiple suppliers of high-demand consumer electronic components, certain of whom are sole-source suppliers. We also have limited experience in selling an app-enabled consumer wellness product, and therefore we may be unable to reliably forecast the demand and inventory requirements for this type of product, which could directly or indirectly have an adverse effect on our business, results of operations and financial condition. In addition, we rely entirely on third-party software developers for the design and development of the software for this next generation product.  If our third-party suppliers fail to deliver the required commercial quantities of materials, or our software developers fail to deliver or the level and quality of services, we require, on a timely basis and at commercially reasonable prices, and we are unable to find one or more replacement suppliers or developers capable of production or development at a substantially equivalent cost in substantially equivalent volumes and quality and on a timely basis, the continued commercialization of this product would be impeded, delayed, limited, or prevented, which could have an adverse effect on our business, results of operations, financial condition and prospects. </w:t>
      </w:r>
    </w:p>
    <w:p>
      <w:pPr>
        <w:pStyle w:val="TextBody"/>
        <w:widowControl/>
        <w:shd w:fill="FFFFFF" w:val="clear"/>
        <w:bidi w:val="0"/>
        <w:spacing w:lineRule="auto" w:line="288" w:before="200" w:after="20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t xml:space="preserve">We have limited experience with the supply chain of our human performance product under the brand TAC-STIM and are dependent on third parties for related software development. </w:t>
      </w:r>
    </w:p>
    <w:p>
      <w:pPr>
        <w:pStyle w:val="TextBody"/>
        <w:shd w:fill="FFFFFF" w:val="clear"/>
        <w:bidi w:val="0"/>
        <w:spacing w:lineRule="auto" w:line="288" w:before="12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Many of the critical components that we use in our human performance product under the brand name TAC-STIM are supplied to us from either a primary or secondary manufacturer, as well as multiple suppliers of high-demand consumer electronic components, certain of whom are sole-source suppliers. Orders through government customers are affected by a variety of factors and therefore we may be unable to reliably forecast the demand and inventory requirements for this type of product, which could directly or indirectly have an adverse effect on our business, results of operations and financial condition. If our third-party suppliers fail to deliver the required commercial quantities of materials on a timely basis and at commercially reasonable prices, and we are unable to find one or more replacement suppliers or developers capable of production or development at a substantially equivalent cost in substantially equivalent volumes and quality and on a timely basis, the continued commercialization of this product would be impeded, delayed, limited, or prevented, which could have an adverse effect on our business, results of operations, financial condition and prospects.</w:t>
      </w:r>
    </w:p>
    <w:p>
      <w:pPr>
        <w:pStyle w:val="TextBody"/>
        <w:shd w:fill="FFFFFF" w:val="clear"/>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Outside the United States, we rely on a single third-party distributor to effectively distribute the majority of our products.</w:t>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depend in part on a single third-party distributor for the warehousing and shipment of our products in certain territories outside the United States. We depend on this distributor’s efforts; however, we are unable to control its efforts completely. This distributor typically performs the same services for a variety of other non-competing products that may limit the resources it dedicates to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If our distributor fails to effectively distribute gammaCore in full compliance with applicable laws, our operating results and business may suffer. Recruiting and retaining qualified third-party distributors and training them in our technology and product offerings require significant time and resources. To develop and expand our distribution, we must continue to scale and improve our processes and procedures that support our distributors. In addition, our ability to recruit distributors and their effectiveness may be adversely affected by the armed conflict between Ukraine and Russia.</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if our relationship with a successful distributor terminates, we may be unable to replace that distributor without disruption to our business. If we fail to maintain positive relationships with our distributor, fail to develop new relationships with other distributors (including in new markets), fail to manage, train, or incentivize our existing distributor effectively, or fail to strike agreements with attractive terms, or if our distributor is not successful in its businesses, our revenue may decrease, and our operating results, reputation, and business may be harmed.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status as a supplier to the federal government subjects us to a wide variety of regulatory compliance, pricing, and contract-based requirements. Failure to comply with these requirements could adversely impact our ability to obtain future federal contracts, which could negatively impact us and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expect that a portion of our 2025 U.S. sales of gammaCore will be made pursuant to qualifying FSS, GSA, DAPA, and ECAT contracts,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 billing, or sales of human performance and general wellness products to the U.S. Armed Forces could involve various significant compliance requirements as regards applicable laws and regulations and certain contract law covenants and conditions that collectively regulate our affairs in the ordinary course of business as a result of our status as a federal contractor.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Our potential revenue in the United Kingdom is substantially dependent on government funding arrangements, and changes in governmental policy for such arrangements could cause material harm to our business. </w:t>
      </w:r>
    </w:p>
    <w:p>
      <w:pPr>
        <w:pStyle w:val="TextBody"/>
        <w:widowControl/>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Effective April 1, 2021, gammaCore Sapphire was included in a new long-term reimbursement policy. The MTFM policy supports the use of NICE-approved, clinically effective and cost-saving medical devices, diagnostics, and digital technologies that will improve patient health. In December 2019, NICE published a Medical Technology Guidance document recommending the use of gammaCore for CH within the NHS. In 2025, we expect NICE to review the guidance document, and any changes in recommendation or pricing may adversely impact our ability to work with NHS England on the MTFM program, which could have an adverse impact on our business in the United Kingdom.</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rely on third parties to conduct and support clinical trials and investigator - initiated trials, and those third parties may not perform satisfactorily, including failing to meet deadlines for the completion of such trials.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independently conduct clinical trials for our product candidates. We rely on third parties, such as CROs, clinical data management organizations, medical institutions, and clinical investigators to perform this function. Currently, we have a number of ongoing IITs. </w:t>
      </w:r>
      <w:r>
        <w:rPr>
          <w:rFonts w:ascii="times new roman;times" w:hAnsi="times new roman;times"/>
          <w:color w:val="000000"/>
          <w:sz w:val="20"/>
        </w:rPr>
        <w:t>We frequently review both proposals for new trials and the performance of ongoing trials, and our reviews may result in changes to our future obligations. </w:t>
      </w:r>
      <w:r>
        <w:rPr>
          <w:rFonts w:ascii="times new roman;times" w:hAnsi="times new roman;times"/>
          <w:color w:val="000000"/>
          <w:sz w:val="20"/>
        </w:rPr>
        <w:t>Our reliance on third parties for clinical development activities reduces our control over these activities but does not relieve us of our responsibilities. Furthermore, some of the sites for our IIT's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clinical trials are conducted in accordance with the general investigation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patient enrollment is affected by many factors beyond our control and the control of the third parties upon whom we rely to conduct IITs. As a result, we cannot predict how successful our IITs will be at enrolling patients.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also may rely on other third parties to store and distribute supplies for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do not successfully enter into future collaborations for the development, regulatory clearance, and commercialization of our </w:t>
      </w:r>
      <w:r>
        <w:rPr>
          <w:rFonts w:ascii="times new roman;times" w:hAnsi="times new roman;times"/>
          <w:b/>
          <w:i/>
          <w:color w:val="000000"/>
          <w:sz w:val="20"/>
          <w:shd w:fill="FFFFFF" w:val="clear"/>
        </w:rPr>
        <w:t>prescription</w:t>
      </w:r>
      <w:r>
        <w:rPr>
          <w:rFonts w:ascii="times new roman;times" w:hAnsi="times new roman;times"/>
          <w:b/>
          <w:i/>
          <w:color w:val="000000"/>
          <w:sz w:val="20"/>
        </w:rPr>
        <w:t> gammaCore therapy in international markets, our business may be harmed.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choose to enter into collaboration agreements with third parties with respect to development, regulatory clearance, and commercialization of our </w:t>
      </w:r>
      <w:r>
        <w:rPr>
          <w:rFonts w:ascii="times new roman;times" w:hAnsi="times new roman;times"/>
          <w:b w:val="false"/>
          <w:color w:val="000000"/>
          <w:spacing w:val="0"/>
          <w:sz w:val="20"/>
        </w:rPr>
        <w:t>prescription</w:t>
      </w:r>
      <w:r>
        <w:rPr>
          <w:rFonts w:ascii="times new roman;times" w:hAnsi="times new roman;times"/>
          <w:color w:val="000000"/>
          <w:sz w:val="20"/>
        </w:rPr>
        <w:t> gammaCore therapy in international markets. We will have limited control over the amount and timing of resources that our collaborators dedicate to the development, regulatory clearance, or commercialization of our </w:t>
      </w:r>
      <w:r>
        <w:rPr>
          <w:rFonts w:ascii="times new roman;times" w:hAnsi="times new roman;times"/>
          <w:b w:val="false"/>
          <w:color w:val="000000"/>
          <w:spacing w:val="0"/>
          <w:sz w:val="20"/>
        </w:rPr>
        <w:t>prescription</w:t>
      </w:r>
      <w:r>
        <w:rPr>
          <w:rFonts w:ascii="times new roman;times" w:hAnsi="times new roman;times"/>
          <w:color w:val="000000"/>
          <w:sz w:val="20"/>
        </w:rPr>
        <w:t> gammaCore therapy. Our ability to generate revenues from these arrangements will depend in part on our collaborators’ abilities to successfully perform the functions assigned to them in these arrangements.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Despite carefully written collaboration agreements, collaborations involving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are subject to numerous risks, which may include the following:</w:t>
      </w: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21"/>
        <w:gridCol w:w="173"/>
        <w:gridCol w:w="9911"/>
      </w:tblGrid>
      <w:tr>
        <w:trPr/>
        <w:tc>
          <w:tcPr>
            <w:tcW w:w="121" w:type="dxa"/>
            <w:tcBorders/>
          </w:tcPr>
          <w:p>
            <w:pPr>
              <w:pStyle w:val="TableContents"/>
              <w:bidi w:val="0"/>
              <w:spacing w:before="0" w:after="120"/>
              <w:ind w:left="0" w:right="0" w:hanging="0"/>
              <w:jc w:val="both"/>
              <w:rPr>
                <w:color w:val="000000"/>
              </w:rPr>
            </w:pPr>
            <w:r>
              <w:rPr>
                <w:color w:val="000000"/>
              </w:rPr>
              <w:t xml:space="preserve">  </w:t>
            </w:r>
          </w:p>
        </w:tc>
        <w:tc>
          <w:tcPr>
            <w:tcW w:w="173" w:type="dxa"/>
            <w:tcBorders/>
          </w:tcPr>
          <w:p>
            <w:pPr>
              <w:pStyle w:val="TableContents"/>
              <w:bidi w:val="0"/>
              <w:spacing w:before="0" w:after="140"/>
              <w:ind w:left="0" w:right="0" w:hanging="0"/>
              <w:jc w:val="both"/>
              <w:rPr>
                <w:color w:val="000000"/>
              </w:rPr>
            </w:pPr>
            <w:r>
              <w:rPr>
                <w:color w:val="000000"/>
              </w:rPr>
              <w:t xml:space="preserve">• </w:t>
            </w:r>
          </w:p>
        </w:tc>
        <w:tc>
          <w:tcPr>
            <w:tcW w:w="991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have significant discretion in determining the efforts and resources that they will apply to a collaboration;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
        <w:gridCol w:w="124"/>
        <w:gridCol w:w="10008"/>
      </w:tblGrid>
      <w:tr>
        <w:trPr/>
        <w:tc>
          <w:tcPr>
            <w:tcW w:w="73" w:type="dxa"/>
            <w:tcBorders/>
          </w:tcPr>
          <w:p>
            <w:pPr>
              <w:pStyle w:val="TableContents"/>
              <w:bidi w:val="0"/>
              <w:spacing w:before="0" w:after="0"/>
              <w:ind w:left="0" w:right="0" w:hanging="0"/>
              <w:jc w:val="both"/>
              <w:rPr>
                <w:color w:val="000000"/>
              </w:rPr>
            </w:pPr>
            <w:r>
              <w:rPr>
                <w:color w:val="000000"/>
              </w:rPr>
              <w:t xml:space="preserve">  </w:t>
            </w:r>
          </w:p>
        </w:tc>
        <w:tc>
          <w:tcPr>
            <w:tcW w:w="124" w:type="dxa"/>
            <w:tcBorders/>
          </w:tcPr>
          <w:p>
            <w:pPr>
              <w:pStyle w:val="TableContents"/>
              <w:bidi w:val="0"/>
              <w:spacing w:before="0" w:after="0"/>
              <w:ind w:left="0" w:right="0" w:hanging="0"/>
              <w:jc w:val="both"/>
              <w:rPr>
                <w:color w:val="000000"/>
              </w:rPr>
            </w:pPr>
            <w:r>
              <w:rPr>
                <w:color w:val="000000"/>
              </w:rPr>
              <w:t xml:space="preserve">• </w:t>
            </w:r>
          </w:p>
        </w:tc>
        <w:tc>
          <w:tcPr>
            <w:tcW w:w="1000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could independently develop, or develop with third parties, products that compete directly or indirectly with our products or product candidates;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7"/>
        <w:gridCol w:w="158"/>
        <w:gridCol w:w="9940"/>
      </w:tblGrid>
      <w:tr>
        <w:trPr/>
        <w:tc>
          <w:tcPr>
            <w:tcW w:w="107" w:type="dxa"/>
            <w:tcBorders/>
          </w:tcPr>
          <w:p>
            <w:pPr>
              <w:pStyle w:val="TableContents"/>
              <w:bidi w:val="0"/>
              <w:spacing w:before="0" w:after="0"/>
              <w:ind w:left="0" w:right="0" w:hanging="0"/>
              <w:jc w:val="both"/>
              <w:rPr>
                <w:color w:val="000000"/>
              </w:rPr>
            </w:pPr>
            <w:r>
              <w:rPr>
                <w:color w:val="000000"/>
              </w:rPr>
              <w:t xml:space="preserve">  </w:t>
            </w:r>
          </w:p>
        </w:tc>
        <w:tc>
          <w:tcPr>
            <w:tcW w:w="158" w:type="dxa"/>
            <w:tcBorders/>
          </w:tcPr>
          <w:p>
            <w:pPr>
              <w:pStyle w:val="TableContents"/>
              <w:bidi w:val="0"/>
              <w:spacing w:before="0" w:after="0"/>
              <w:ind w:left="0" w:right="0" w:hanging="0"/>
              <w:jc w:val="both"/>
              <w:rPr>
                <w:color w:val="000000"/>
              </w:rPr>
            </w:pPr>
            <w:r>
              <w:rPr>
                <w:color w:val="000000"/>
              </w:rPr>
              <w:t xml:space="preserve">• </w:t>
            </w:r>
          </w:p>
        </w:tc>
        <w:tc>
          <w:tcPr>
            <w:tcW w:w="9940"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a collaborator with marketing and distribution rights to one or more products may not commit sufficient resources to their marketing and distribution;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140"/>
              <w:ind w:left="0" w:right="0" w:hanging="0"/>
              <w:jc w:val="both"/>
              <w:rPr>
                <w:color w:val="000000"/>
              </w:rPr>
            </w:pPr>
            <w:r>
              <w:rPr>
                <w:color w:val="000000"/>
              </w:rPr>
              <w:t xml:space="preserve">• </w:t>
            </w:r>
          </w:p>
        </w:tc>
        <w:tc>
          <w:tcPr>
            <w:tcW w:w="9994" w:type="dxa"/>
            <w:tcBorders/>
          </w:tcPr>
          <w:p>
            <w:pPr>
              <w:pStyle w:val="TableContents"/>
              <w:bidi w:val="0"/>
              <w:spacing w:before="0" w:after="12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5"/>
        <w:gridCol w:w="146"/>
        <w:gridCol w:w="9964"/>
      </w:tblGrid>
      <w:tr>
        <w:trPr/>
        <w:tc>
          <w:tcPr>
            <w:tcW w:w="95" w:type="dxa"/>
            <w:tcBorders/>
          </w:tcPr>
          <w:p>
            <w:pPr>
              <w:pStyle w:val="TableContents"/>
              <w:bidi w:val="0"/>
              <w:spacing w:before="0" w:after="0"/>
              <w:ind w:left="0" w:right="0" w:hanging="0"/>
              <w:jc w:val="both"/>
              <w:rPr>
                <w:color w:val="000000"/>
              </w:rPr>
            </w:pPr>
            <w:r>
              <w:rPr>
                <w:color w:val="000000"/>
              </w:rPr>
              <w:t xml:space="preserve">  </w:t>
            </w:r>
          </w:p>
        </w:tc>
        <w:tc>
          <w:tcPr>
            <w:tcW w:w="146" w:type="dxa"/>
            <w:tcBorders/>
          </w:tcPr>
          <w:p>
            <w:pPr>
              <w:pStyle w:val="TableContents"/>
              <w:bidi w:val="0"/>
              <w:spacing w:before="0" w:after="0"/>
              <w:ind w:left="0" w:right="0" w:hanging="0"/>
              <w:jc w:val="both"/>
              <w:rPr>
                <w:color w:val="000000"/>
              </w:rPr>
            </w:pPr>
            <w:r>
              <w:rPr>
                <w:color w:val="000000"/>
              </w:rPr>
              <w:t xml:space="preserve">• </w:t>
            </w:r>
          </w:p>
        </w:tc>
        <w:tc>
          <w:tcPr>
            <w:tcW w:w="996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collaborations may be terminated and, if terminated, may result in a need for additional capital to pursue further development or commercialization of the applicable product candidates;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0"/>
        <w:gridCol w:w="141"/>
        <w:gridCol w:w="9974"/>
      </w:tblGrid>
      <w:tr>
        <w:trPr/>
        <w:tc>
          <w:tcPr>
            <w:tcW w:w="90" w:type="dxa"/>
            <w:tcBorders/>
          </w:tcPr>
          <w:p>
            <w:pPr>
              <w:pStyle w:val="TableContents"/>
              <w:bidi w:val="0"/>
              <w:spacing w:before="0" w:after="0"/>
              <w:ind w:left="0" w:right="0" w:hanging="0"/>
              <w:jc w:val="both"/>
              <w:rPr>
                <w:color w:val="000000"/>
              </w:rPr>
            </w:pPr>
            <w:r>
              <w:rPr>
                <w:color w:val="000000"/>
              </w:rPr>
              <w:t xml:space="preserve">  </w:t>
            </w:r>
          </w:p>
        </w:tc>
        <w:tc>
          <w:tcPr>
            <w:tcW w:w="141" w:type="dxa"/>
            <w:tcBorders/>
          </w:tcPr>
          <w:p>
            <w:pPr>
              <w:pStyle w:val="TableContents"/>
              <w:bidi w:val="0"/>
              <w:spacing w:before="0" w:after="0"/>
              <w:ind w:left="0" w:right="0" w:hanging="0"/>
              <w:jc w:val="both"/>
              <w:rPr>
                <w:color w:val="000000"/>
              </w:rPr>
            </w:pPr>
            <w:r>
              <w:rPr>
                <w:color w:val="000000"/>
              </w:rPr>
              <w:t xml:space="preserve">• </w:t>
            </w:r>
          </w:p>
        </w:tc>
        <w:tc>
          <w:tcPr>
            <w:tcW w:w="9974"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collaborators may own or co-own intellectual property covering our products that result from our collaborating with them, and in such cases, we would not have the exclusive right to commercialize such intellectual property.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termination or disruption of any future collaboration could result in delayed development of product candidates, increased cost to develop product candidates, or termination of development of a product candidate.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are not able to establish or maintain collaborations, we may have to alter some of our future development, regulatory clearance, and commercialization plans.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product development programs, regulatory clearance, and potential commercialization of our nVNS platform technology will require substantial additional capital to fund expenses. For some of our product candidates, we may decide to collaborate with pharmaceutical and medical device or consumer electronics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We, or third-party manufacturers on whom we rely, may be unable to successfully sustain and to further scale-up manufacturing of our nVNS technology platform or its component parts in sufficient quality and quantity, which would delay or prevent us from developing and commercializing any approved products.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order to commercialize products, we, or our manufacturers, will need to manufacture products in large quantities.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There are technical challenges to increasing manufacturing capacity, including equipment design, automation, validation and installation, contractor issues and delays, licensing and permitting delays or rejections, materials procurement, manufacturing site expansion, problems with production yields, and quality control and assurance. Continuing to develop or enhance commercial-scale manufacturing facilities could require the investment of substantial additional funds and the hiring and retention of additional management, quality assurance, quality control, and technical personnel who have the necessary manufacturing experience.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scaling of manufacturing capacity is subject to numerous risks and uncertainties and may lead to variability in product quality or reliability and increased construction timelines and resources required to design, install, and maintain manufacturing equipment, among others, all of which can lead to unexpected delays in manufacturing output. In addition, any changes to manufacturing processes may trigger the need for submissions or notifications to, and in some cases advance approval from, the FDA or other regulatory authorities because of the potential impact of changes on previously cleared, approved, and/or authorized devices. Our facilities are subject to inspections by the FDA and corresponding state and international agencies on an ongoing basis, and thus, we must comply with Good Manufacturing Practices, which generally require us to maintain compliant processes, controls, and record keeping, and to comply with FDA Quality System Regulations (or QSR), and applicable state-law requirements. We may be unable to adequately maintain, develop, and expand our manufacturing process and operations or maintain compliance with FDA and state agency requirements, and manufacturing issues could impact our cleared and approved products. If we are unable to manufacture a sufficient supply of our current products or any future products for which we may receive approval or clearance, maintain control over expenses or otherwise adapt to anticipated growth, or if we underestimate growth, we may not have the capability to satisfy market demand, contractual obligations, and our business will suffer. </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light of the above considerations,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if appropriate, of our nVNS technology platform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successfully.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We are required to maintain </w:t>
      </w:r>
      <w:r>
        <w:rPr>
          <w:rFonts w:ascii="Times New Roman;serif" w:hAnsi="Times New Roman;serif"/>
          <w:b/>
          <w:i/>
          <w:sz w:val="20"/>
        </w:rPr>
        <w:t xml:space="preserve">adequate </w:t>
      </w:r>
      <w:r>
        <w:rPr>
          <w:rFonts w:ascii="times new roman;times" w:hAnsi="times new roman;times"/>
          <w:b/>
          <w:i/>
          <w:sz w:val="20"/>
        </w:rPr>
        <w:t>levels of inventory due to lead times with single-source consumer electronic components vendors, which could consume a significant amount of our resources, reduce our cash flows, and lead to inventory impairment charges.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nVNS technology platform consists of a substantial number of individual components. In order to market and sell effectively, we often must maintain high levels of inventory of the product and its components.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manufacturing process requires lengthy lead times during which electronic components of our nVNS technology platform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2024, we had approximately $1.7 million of inventory. There are risks that growth in our business, including our recently launched non-prescription, human performance and general wellness offerings, may result in demand that could </w:t>
      </w:r>
      <w:r>
        <w:rPr>
          <w:rFonts w:ascii="Times New Roman;serif" w:hAnsi="Times New Roman;serif"/>
          <w:color w:val="000000"/>
          <w:sz w:val="20"/>
        </w:rPr>
        <w:t xml:space="preserve">exceed </w:t>
      </w:r>
      <w:r>
        <w:rPr>
          <w:rFonts w:ascii="times new roman;times" w:hAnsi="times new roman;times"/>
          <w:color w:val="000000"/>
          <w:sz w:val="20"/>
        </w:rPr>
        <w:t>our current inventory, in which case we would be subject to various supply chain, manufacturing, and operational risks. If not mitigated fully, this could negatively impact our ability to commercialize our products and have a material adverse effect on our brands, revenues, expenses, results of operations, and financial condition.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Moreover, we have limited experience in selling the new app-enabled consumer wellness product, and we may be unable to forecast the demand and inventory requirement. This could negatively impact our ability to commercialize our products and have a material adverse effect on our brands, revenues, expenses,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Intellectual Property</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product development initiatives may be delayed or fail to succeed and could also lead to challenging intellectual property rights issues.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may seek to develop new products, software applications and technologies, including enhancements of our existing products for nVNS. Developing new products and improving our existing products to meet the needs of current and future patients and consumers require significant investment in research and development. We do not know whether any such product development activities will result in products that meet necessary standards and performance criteria, whether the development will be completed on a timely basis, or, if the development is completed, whether it will lead to market acceptance and commercial success. We will need to carefully manage our introduction of any new products. If potential purchasers of new products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 Even if we are able to develop enhancements or new generations of our products successfully, these enhancements or new generations of products may not produce sales in excess of the costs of development, and they may be quickly rendered obsolete by changing patient and customer preferences, or the introduction by competitors of products embodying new technologies or features. Delays could occur based on a number of issues, including the need to investigate third party patents and potential infringement matters, which could impair our development and commercialization efforts.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brands and business and copyright applications to protect our software</w:t>
      </w:r>
      <w:r>
        <w:rPr>
          <w:rFonts w:ascii="Times New Roman;serif" w:hAnsi="Times New Roman;serif"/>
          <w:color w:val="000000"/>
          <w:sz w:val="20"/>
        </w:rPr>
        <w:t>, digital devices and related software applications, and certain User Manuals, Guides and Instructions for Use for some of our commercial products</w:t>
      </w:r>
      <w:r>
        <w:rPr>
          <w:rFonts w:ascii="times new roman;times" w:hAnsi="times new roman;times"/>
          <w:color w:val="000000"/>
          <w:sz w:val="20"/>
        </w:rPr>
        <w:t>.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However, we face the risks that:</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120"/>
              <w:ind w:left="0" w:right="0" w:hanging="0"/>
              <w:jc w:val="both"/>
              <w:rPr>
                <w:color w:val="000000"/>
              </w:rPr>
            </w:pPr>
            <w:r>
              <w:rPr>
                <w:color w:val="000000"/>
              </w:rPr>
              <w:t xml:space="preserve">• </w:t>
            </w:r>
          </w:p>
        </w:tc>
        <w:tc>
          <w:tcPr>
            <w:tcW w:w="9998"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fail to secure necessary patents, potentially permitting competitors to market competing products, related software applications and services and make, use, or sell products or offer services that are substantially the same as ours without incurring the sizeable development costs that we have incurred, which would adversely affect our ability to compete.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1"/>
        <w:gridCol w:w="271"/>
        <w:gridCol w:w="9743"/>
      </w:tblGrid>
      <w:tr>
        <w:trPr/>
        <w:tc>
          <w:tcPr>
            <w:tcW w:w="191" w:type="dxa"/>
            <w:tcBorders/>
          </w:tcPr>
          <w:p>
            <w:pPr>
              <w:pStyle w:val="TableContents"/>
              <w:bidi w:val="0"/>
              <w:spacing w:before="0" w:after="0"/>
              <w:ind w:left="0" w:right="0" w:hanging="0"/>
              <w:jc w:val="both"/>
              <w:rPr>
                <w:color w:val="000000"/>
              </w:rPr>
            </w:pPr>
            <w:r>
              <w:rPr>
                <w:color w:val="000000"/>
              </w:rPr>
              <w:t xml:space="preserve">  </w:t>
            </w:r>
          </w:p>
        </w:tc>
        <w:tc>
          <w:tcPr>
            <w:tcW w:w="271" w:type="dxa"/>
            <w:tcBorders/>
          </w:tcPr>
          <w:p>
            <w:pPr>
              <w:pStyle w:val="TableContents"/>
              <w:bidi w:val="0"/>
              <w:spacing w:before="0" w:after="0"/>
              <w:ind w:left="0" w:right="0" w:hanging="0"/>
              <w:jc w:val="both"/>
              <w:rPr>
                <w:color w:val="000000"/>
              </w:rPr>
            </w:pPr>
            <w:r>
              <w:rPr>
                <w:color w:val="000000"/>
              </w:rPr>
              <w:t xml:space="preserve">• </w:t>
            </w:r>
          </w:p>
        </w:tc>
        <w:tc>
          <w:tcPr>
            <w:tcW w:w="9743"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Patents may not issue from currently pending or future patent applications.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
        <w:gridCol w:w="127"/>
        <w:gridCol w:w="10002"/>
      </w:tblGrid>
      <w:tr>
        <w:trPr/>
        <w:tc>
          <w:tcPr>
            <w:tcW w:w="76" w:type="dxa"/>
            <w:tcBorders/>
          </w:tcPr>
          <w:p>
            <w:pPr>
              <w:pStyle w:val="TableContents"/>
              <w:bidi w:val="0"/>
              <w:spacing w:before="0" w:after="0"/>
              <w:ind w:left="0" w:right="0" w:hanging="0"/>
              <w:jc w:val="both"/>
              <w:rPr>
                <w:color w:val="000000"/>
              </w:rPr>
            </w:pPr>
            <w:r>
              <w:rPr>
                <w:color w:val="000000"/>
              </w:rPr>
              <w:t xml:space="preserve">  </w:t>
            </w:r>
          </w:p>
        </w:tc>
        <w:tc>
          <w:tcPr>
            <w:tcW w:w="127" w:type="dxa"/>
            <w:tcBorders/>
          </w:tcPr>
          <w:p>
            <w:pPr>
              <w:pStyle w:val="TableContents"/>
              <w:bidi w:val="0"/>
              <w:spacing w:before="0" w:after="0"/>
              <w:ind w:left="0" w:right="0" w:hanging="0"/>
              <w:jc w:val="both"/>
              <w:rPr>
                <w:color w:val="000000"/>
              </w:rPr>
            </w:pPr>
            <w:r>
              <w:rPr>
                <w:color w:val="000000"/>
              </w:rPr>
              <w:t xml:space="preserve">• </w:t>
            </w:r>
          </w:p>
        </w:tc>
        <w:tc>
          <w:tcPr>
            <w:tcW w:w="1000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2"/>
        <w:gridCol w:w="113"/>
        <w:gridCol w:w="10030"/>
      </w:tblGrid>
      <w:tr>
        <w:trPr/>
        <w:tc>
          <w:tcPr>
            <w:tcW w:w="62" w:type="dxa"/>
            <w:tcBorders/>
          </w:tcPr>
          <w:p>
            <w:pPr>
              <w:pStyle w:val="TableContents"/>
              <w:pBdr/>
              <w:bidi w:val="0"/>
              <w:spacing w:before="0" w:after="0"/>
              <w:ind w:left="0" w:right="0" w:hanging="0"/>
              <w:jc w:val="both"/>
              <w:rPr>
                <w:color w:val="000000"/>
              </w:rPr>
            </w:pPr>
            <w:r>
              <w:rPr>
                <w:color w:val="000000"/>
              </w:rPr>
              <w:t xml:space="preserve">  </w:t>
            </w:r>
          </w:p>
        </w:tc>
        <w:tc>
          <w:tcPr>
            <w:tcW w:w="113" w:type="dxa"/>
            <w:tcBorders/>
          </w:tcPr>
          <w:p>
            <w:pPr>
              <w:pStyle w:val="TableContents"/>
              <w:pBdr/>
              <w:bidi w:val="0"/>
              <w:spacing w:before="0" w:after="0"/>
              <w:ind w:left="0" w:right="0" w:hanging="0"/>
              <w:jc w:val="both"/>
              <w:rPr>
                <w:color w:val="000000"/>
              </w:rPr>
            </w:pPr>
            <w:r>
              <w:rPr>
                <w:color w:val="000000"/>
              </w:rPr>
              <w:t xml:space="preserve">• </w:t>
            </w:r>
          </w:p>
        </w:tc>
        <w:tc>
          <w:tcPr>
            <w:tcW w:w="10030" w:type="dxa"/>
            <w:tcBorders/>
          </w:tcPr>
          <w:p>
            <w:pPr>
              <w:pStyle w:val="TableContents"/>
              <w:pBd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w:t>
            </w:r>
            <w:r>
              <w:rPr>
                <w:rFonts w:ascii="times new roman;times" w:hAnsi="times new roman;times"/>
                <w:color w:val="000000"/>
                <w:sz w:val="20"/>
              </w:rPr>
              <w:t>18</w:t>
            </w:r>
            <w:r>
              <w:rPr>
                <w:rFonts w:ascii="times new roman;times" w:hAnsi="times new roman;times"/>
                <w:color w:val="000000"/>
                <w:sz w:val="20"/>
              </w:rPr>
              <w:t>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There may be prior public disclosures of which we are not aware that could invalidate our patents or a portion of the claims of our patents. Further, we may not develop additional proprietary technologies and, even if we do, they may not be patentable. </w:t>
            </w:r>
          </w:p>
        </w:tc>
      </w:tr>
      <w:tr>
        <w:trPr/>
        <w:tc>
          <w:tcPr>
            <w:tcW w:w="62" w:type="dxa"/>
            <w:tcBorders/>
            <w:vAlign w:val="center"/>
          </w:tcPr>
          <w:p>
            <w:pPr>
              <w:pStyle w:val="TableContents"/>
              <w:bidi w:val="0"/>
              <w:spacing w:before="0" w:after="283"/>
              <w:ind w:left="0" w:right="0" w:hanging="0"/>
              <w:jc w:val="left"/>
              <w:rPr/>
            </w:pPr>
            <w:r>
              <w:rPr/>
            </w:r>
          </w:p>
        </w:tc>
        <w:tc>
          <w:tcPr>
            <w:tcW w:w="113"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47</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1"/>
        <w:gridCol w:w="112"/>
        <w:gridCol w:w="10032"/>
      </w:tblGrid>
      <w:tr>
        <w:trPr/>
        <w:tc>
          <w:tcPr>
            <w:tcW w:w="61" w:type="dxa"/>
            <w:tcBorders/>
          </w:tcPr>
          <w:p>
            <w:pPr>
              <w:pStyle w:val="TableContents"/>
              <w:bidi w:val="0"/>
              <w:spacing w:before="60" w:after="0"/>
              <w:ind w:left="0" w:right="0" w:hanging="0"/>
              <w:jc w:val="both"/>
              <w:rPr>
                <w:color w:val="000000"/>
              </w:rPr>
            </w:pPr>
            <w:r>
              <w:rPr>
                <w:color w:val="000000"/>
              </w:rPr>
              <w:t xml:space="preserve">  </w:t>
            </w:r>
          </w:p>
        </w:tc>
        <w:tc>
          <w:tcPr>
            <w:tcW w:w="112" w:type="dxa"/>
            <w:tcBorders/>
          </w:tcPr>
          <w:p>
            <w:pPr>
              <w:pStyle w:val="TableContents"/>
              <w:bidi w:val="0"/>
              <w:spacing w:before="0" w:after="0"/>
              <w:ind w:left="0" w:right="0" w:hanging="0"/>
              <w:jc w:val="both"/>
              <w:rPr>
                <w:color w:val="000000"/>
              </w:rPr>
            </w:pPr>
            <w:r>
              <w:rPr>
                <w:color w:val="000000"/>
              </w:rPr>
              <w:t xml:space="preserve">• </w:t>
            </w:r>
          </w:p>
        </w:tc>
        <w:tc>
          <w:tcPr>
            <w:tcW w:w="10032" w:type="dxa"/>
            <w:tcBorders/>
          </w:tcPr>
          <w:p>
            <w:pPr>
              <w:pStyle w:val="TableContents"/>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tcPr>
          <w:p>
            <w:pPr>
              <w:pStyle w:val="TableContents"/>
              <w:bidi w:val="0"/>
              <w:spacing w:before="0" w:after="0"/>
              <w:ind w:left="0" w:right="0" w:hanging="0"/>
              <w:jc w:val="both"/>
              <w:rPr>
                <w:color w:val="000000"/>
              </w:rPr>
            </w:pPr>
            <w:r>
              <w:rPr>
                <w:color w:val="000000"/>
              </w:rPr>
              <w:t xml:space="preserve">  </w:t>
            </w:r>
          </w:p>
        </w:tc>
        <w:tc>
          <w:tcPr>
            <w:tcW w:w="125" w:type="dxa"/>
            <w:tcBorders/>
          </w:tcPr>
          <w:p>
            <w:pPr>
              <w:pStyle w:val="TableContents"/>
              <w:bidi w:val="0"/>
              <w:spacing w:before="0" w:after="0"/>
              <w:ind w:left="0" w:right="0" w:hanging="0"/>
              <w:jc w:val="both"/>
              <w:rPr>
                <w:color w:val="000000"/>
              </w:rPr>
            </w:pPr>
            <w:r>
              <w:rPr>
                <w:color w:val="000000"/>
              </w:rPr>
              <w:t xml:space="preserve">• </w:t>
            </w:r>
          </w:p>
        </w:tc>
        <w:tc>
          <w:tcPr>
            <w:tcW w:w="1000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2"/>
        <w:gridCol w:w="123"/>
        <w:gridCol w:w="10010"/>
      </w:tblGrid>
      <w:tr>
        <w:trPr/>
        <w:tc>
          <w:tcPr>
            <w:tcW w:w="72" w:type="dxa"/>
            <w:tcBorders/>
          </w:tcPr>
          <w:p>
            <w:pPr>
              <w:pStyle w:val="TableContents"/>
              <w:bidi w:val="0"/>
              <w:spacing w:before="60" w:after="0"/>
              <w:ind w:left="0" w:right="0" w:hanging="0"/>
              <w:jc w:val="both"/>
              <w:rPr>
                <w:color w:val="000000"/>
              </w:rPr>
            </w:pPr>
            <w:r>
              <w:rPr>
                <w:color w:val="000000"/>
              </w:rPr>
              <w:t xml:space="preserve">  </w:t>
            </w:r>
          </w:p>
        </w:tc>
        <w:tc>
          <w:tcPr>
            <w:tcW w:w="123" w:type="dxa"/>
            <w:tcBorders/>
          </w:tcPr>
          <w:p>
            <w:pPr>
              <w:pStyle w:val="TableContents"/>
              <w:bidi w:val="0"/>
              <w:spacing w:before="60" w:after="0"/>
              <w:ind w:left="0" w:right="0" w:hanging="0"/>
              <w:jc w:val="both"/>
              <w:rPr>
                <w:color w:val="000000"/>
              </w:rPr>
            </w:pPr>
            <w:r>
              <w:rPr>
                <w:color w:val="000000"/>
              </w:rPr>
              <w:t xml:space="preserve">• </w:t>
            </w:r>
          </w:p>
        </w:tc>
        <w:tc>
          <w:tcPr>
            <w:tcW w:w="10010" w:type="dxa"/>
            <w:tcBorders/>
          </w:tcPr>
          <w:p>
            <w:pPr>
              <w:pStyle w:val="TableContents"/>
              <w:bidi w:val="0"/>
              <w:spacing w:lineRule="auto" w:line="288" w:before="6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We rely on third-party software to develop our products and significant increases in licensing costs or defects in third-party software could harm our business.</w:t>
      </w:r>
    </w:p>
    <w:p>
      <w:pPr>
        <w:pStyle w:val="TextBody"/>
        <w:shd w:fill="FFFFFF" w:val="clear"/>
        <w:bidi w:val="0"/>
        <w:spacing w:lineRule="atLeast" w:line="240"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rely on software licensed from third parties to develop our products. In addition, we may need to obtain future licenses from third parties to use software or other intellectual property associated with our products. There can be no assurance that these licenses will be available to us on acceptable terms, without significant price increases or at all. Any loss of the right to use any such software or other intellectual property required for the development and maintenance of our products could significantly increase our expenses and result in delays in the production of our products until equivalent technology is either developed by us, or, if available from others, is identified, obtained, and integrated, which could harm our business. Any errors or defects in third-party software could result in errors or a failure of our products, which could harm our business.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rely on a variety of intellectual property rights, and if we are unable to maintain or protect our intellectual property, our business and results of operations will be harmed.</w:t>
      </w:r>
    </w:p>
    <w:p>
      <w:pPr>
        <w:pStyle w:val="TextBody"/>
        <w:shd w:fill="FFFFFF" w:val="clear"/>
        <w:bidi w:val="0"/>
        <w:spacing w:lineRule="atLeast" w:line="240"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commercial success will depend, in part, on our ability to obtain and maintain intellectual property protection for our products and related software applications,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introduce products that include related software applications. Software is generally ineligible for patent protection in the United States and other countries. We may not be able to obtain patent claims that adequately cover our software applications. In the event that we do obtain such protection, it may be difficult to enforce any such patents as certain types of software patents are vulnerable to invalidity proceedings in the USPTO and foreign counterparts. Software innovations are often implemented as method patents, which have unique enforcement requirements and restrictions that may make them difficult to enforce against third parties. In addition, it may be difficult to ascertain whether third parties are implementing software that infringes our patents.  </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 Therefore, the validity, enforceability, and scope of our patents in the United States, Europe, and in other countries cannot be predicted with certainty and, as a result, any patents that we own, or license, may not provide sufficient protection against our competitors.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competent jurisdiction may find our patents invalid and/or unenforceable, or even if valid and enforceable, insufficient to provide protection against competing products and services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160"/>
        <w:ind w:left="0" w:right="0" w:hanging="0"/>
        <w:jc w:val="left"/>
        <w:rPr>
          <w:rFonts w:ascii="times new roman;times" w:hAnsi="times new roman;times"/>
          <w:color w:val="000000"/>
          <w:sz w:val="20"/>
        </w:rPr>
      </w:pPr>
      <w:r>
        <w:rPr>
          <w:rFonts w:ascii="times new roman;times" w:hAnsi="times new roman;times"/>
          <w:color w:val="000000"/>
          <w:sz w:val="20"/>
        </w:rPr>
        <w:t>The degree of future protection for our proprietary rights is uncertain because legal means afford only limited protection and may not adequately protect our rights or permit us to gain or keep a competitive advantage. For example: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3"/>
        <w:gridCol w:w="164"/>
        <w:gridCol w:w="9928"/>
      </w:tblGrid>
      <w:tr>
        <w:trPr/>
        <w:tc>
          <w:tcPr>
            <w:tcW w:w="113" w:type="dxa"/>
            <w:tcBorders/>
          </w:tcPr>
          <w:p>
            <w:pPr>
              <w:pStyle w:val="TableContents"/>
              <w:bidi w:val="0"/>
              <w:spacing w:before="0" w:after="0"/>
              <w:ind w:left="0" w:right="0" w:hanging="0"/>
              <w:jc w:val="both"/>
              <w:rPr>
                <w:color w:val="000000"/>
              </w:rPr>
            </w:pPr>
            <w:r>
              <w:rPr>
                <w:color w:val="000000"/>
              </w:rPr>
              <w:t xml:space="preserve">  </w:t>
            </w:r>
          </w:p>
        </w:tc>
        <w:tc>
          <w:tcPr>
            <w:tcW w:w="164" w:type="dxa"/>
            <w:tcBorders/>
          </w:tcPr>
          <w:p>
            <w:pPr>
              <w:pStyle w:val="TableContents"/>
              <w:bidi w:val="0"/>
              <w:spacing w:before="0" w:after="140"/>
              <w:ind w:left="0" w:right="0" w:hanging="0"/>
              <w:jc w:val="both"/>
              <w:rPr>
                <w:color w:val="000000"/>
              </w:rPr>
            </w:pPr>
            <w:r>
              <w:rPr>
                <w:color w:val="000000"/>
              </w:rPr>
              <w:t xml:space="preserve">• </w:t>
            </w:r>
          </w:p>
        </w:tc>
        <w:tc>
          <w:tcPr>
            <w:tcW w:w="992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others may be able to develop products that are similar to, or better than, ours in a way that is not covered by the claims of our patents;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0" w:after="0"/>
              <w:ind w:left="0" w:right="0" w:hanging="0"/>
              <w:jc w:val="both"/>
              <w:rPr>
                <w:color w:val="000000"/>
              </w:rPr>
            </w:pPr>
            <w:r>
              <w:rPr>
                <w:color w:val="000000"/>
              </w:rPr>
              <w:t xml:space="preserve">  </w:t>
            </w:r>
          </w:p>
        </w:tc>
        <w:tc>
          <w:tcPr>
            <w:tcW w:w="162" w:type="dxa"/>
            <w:tcBorders/>
          </w:tcPr>
          <w:p>
            <w:pPr>
              <w:pStyle w:val="TableContents"/>
              <w:bidi w:val="0"/>
              <w:spacing w:before="0" w:after="0"/>
              <w:ind w:left="0" w:right="0" w:hanging="0"/>
              <w:jc w:val="both"/>
              <w:rPr>
                <w:color w:val="000000"/>
              </w:rPr>
            </w:pPr>
            <w:r>
              <w:rPr>
                <w:color w:val="000000"/>
              </w:rPr>
              <w:t xml:space="preserve">• </w:t>
            </w:r>
          </w:p>
        </w:tc>
        <w:tc>
          <w:tcPr>
            <w:tcW w:w="993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might not have been the first to conceive of or reduce to practice the inventions covered by our patents or pending patent applications;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4"/>
        <w:gridCol w:w="261"/>
        <w:gridCol w:w="9760"/>
      </w:tblGrid>
      <w:tr>
        <w:trPr/>
        <w:tc>
          <w:tcPr>
            <w:tcW w:w="184" w:type="dxa"/>
            <w:tcBorders/>
          </w:tcPr>
          <w:p>
            <w:pPr>
              <w:pStyle w:val="TableContents"/>
              <w:bidi w:val="0"/>
              <w:spacing w:before="0" w:after="0"/>
              <w:ind w:left="0" w:right="0" w:hanging="0"/>
              <w:jc w:val="both"/>
              <w:rPr>
                <w:color w:val="000000"/>
              </w:rPr>
            </w:pPr>
            <w:r>
              <w:rPr>
                <w:color w:val="000000"/>
              </w:rPr>
              <w:t xml:space="preserve">  </w:t>
            </w:r>
          </w:p>
        </w:tc>
        <w:tc>
          <w:tcPr>
            <w:tcW w:w="261" w:type="dxa"/>
            <w:tcBorders/>
          </w:tcPr>
          <w:p>
            <w:pPr>
              <w:pStyle w:val="TableContents"/>
              <w:bidi w:val="0"/>
              <w:spacing w:before="0" w:after="0"/>
              <w:ind w:left="0" w:right="0" w:hanging="0"/>
              <w:jc w:val="both"/>
              <w:rPr>
                <w:color w:val="000000"/>
              </w:rPr>
            </w:pPr>
            <w:r>
              <w:rPr>
                <w:color w:val="000000"/>
              </w:rPr>
              <w:t xml:space="preserve">• </w:t>
            </w:r>
          </w:p>
        </w:tc>
        <w:tc>
          <w:tcPr>
            <w:tcW w:w="976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might not have been the first to file patent applications for our inventions;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0" w:after="0"/>
              <w:ind w:left="0" w:right="0" w:hanging="0"/>
              <w:jc w:val="both"/>
              <w:rPr>
                <w:color w:val="000000"/>
              </w:rPr>
            </w:pPr>
            <w:r>
              <w:rPr>
                <w:color w:val="000000"/>
              </w:rPr>
              <w:t xml:space="preserve">  </w:t>
            </w:r>
          </w:p>
        </w:tc>
        <w:tc>
          <w:tcPr>
            <w:tcW w:w="162" w:type="dxa"/>
            <w:tcBorders/>
          </w:tcPr>
          <w:p>
            <w:pPr>
              <w:pStyle w:val="TableContents"/>
              <w:bidi w:val="0"/>
              <w:spacing w:before="0" w:after="0"/>
              <w:ind w:left="0" w:right="0" w:hanging="0"/>
              <w:jc w:val="both"/>
              <w:rPr>
                <w:color w:val="000000"/>
              </w:rPr>
            </w:pPr>
            <w:r>
              <w:rPr>
                <w:color w:val="000000"/>
              </w:rPr>
              <w:t xml:space="preserve">• </w:t>
            </w:r>
          </w:p>
        </w:tc>
        <w:tc>
          <w:tcPr>
            <w:tcW w:w="993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patents that we obtain may not provide us with any competitive advantages or may ultimately be found invalid or unenforceable; or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8"/>
        <w:gridCol w:w="266"/>
        <w:gridCol w:w="9751"/>
      </w:tblGrid>
      <w:tr>
        <w:trPr/>
        <w:tc>
          <w:tcPr>
            <w:tcW w:w="188" w:type="dxa"/>
            <w:tcBorders/>
          </w:tcPr>
          <w:p>
            <w:pPr>
              <w:pStyle w:val="TableContents"/>
              <w:bidi w:val="0"/>
              <w:spacing w:before="0" w:after="0"/>
              <w:ind w:left="0" w:right="0" w:hanging="0"/>
              <w:jc w:val="both"/>
              <w:rPr>
                <w:color w:val="000000"/>
              </w:rPr>
            </w:pPr>
            <w:r>
              <w:rPr>
                <w:color w:val="000000"/>
              </w:rPr>
              <w:t xml:space="preserve">  </w:t>
            </w:r>
          </w:p>
        </w:tc>
        <w:tc>
          <w:tcPr>
            <w:tcW w:w="266" w:type="dxa"/>
            <w:tcBorders/>
          </w:tcPr>
          <w:p>
            <w:pPr>
              <w:pStyle w:val="TableContents"/>
              <w:bidi w:val="0"/>
              <w:spacing w:before="0" w:after="0"/>
              <w:ind w:left="0" w:right="0" w:hanging="0"/>
              <w:jc w:val="both"/>
              <w:rPr>
                <w:color w:val="000000"/>
              </w:rPr>
            </w:pPr>
            <w:r>
              <w:rPr>
                <w:color w:val="000000"/>
              </w:rPr>
              <w:t xml:space="preserve">• </w:t>
            </w:r>
          </w:p>
        </w:tc>
        <w:tc>
          <w:tcPr>
            <w:tcW w:w="9751"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develop additional proprietary technologies that are patentable.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49</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become involved in lawsuits to protect or enforce our patents, which could be expensive, time-consuming, and unsuccessful.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commercial success depends significantly on our ability to operate without infringing upon the intellectual property rights of third parties.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pBdr/>
              <w:bidi w:val="0"/>
              <w:spacing w:before="0" w:after="0"/>
              <w:ind w:left="0" w:right="0" w:hanging="0"/>
              <w:jc w:val="both"/>
              <w:rPr>
                <w:color w:val="000000"/>
              </w:rPr>
            </w:pPr>
            <w:r>
              <w:rPr>
                <w:color w:val="000000"/>
              </w:rPr>
              <w:t xml:space="preserve">  </w:t>
            </w:r>
          </w:p>
        </w:tc>
        <w:tc>
          <w:tcPr>
            <w:tcW w:w="138" w:type="dxa"/>
            <w:tcBorders/>
          </w:tcPr>
          <w:p>
            <w:pPr>
              <w:pStyle w:val="TableContents"/>
              <w:pBdr/>
              <w:bidi w:val="0"/>
              <w:spacing w:before="0" w:after="0"/>
              <w:ind w:left="0" w:right="0" w:hanging="0"/>
              <w:jc w:val="both"/>
              <w:rPr>
                <w:color w:val="000000"/>
              </w:rPr>
            </w:pPr>
            <w:r>
              <w:rPr>
                <w:color w:val="000000"/>
              </w:rPr>
              <w:t xml:space="preserve">• </w:t>
            </w:r>
          </w:p>
        </w:tc>
        <w:tc>
          <w:tcPr>
            <w:tcW w:w="9980"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collaborators may initiate litigation or other proceedings against third parties seeking to invalidate the patents held by those third parties, or to obtain a judgment that our products or processes do not infringe those third parties’ patents;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6"/>
        <w:gridCol w:w="147"/>
        <w:gridCol w:w="9962"/>
      </w:tblGrid>
      <w:tr>
        <w:trPr/>
        <w:tc>
          <w:tcPr>
            <w:tcW w:w="96" w:type="dxa"/>
            <w:tcBorders/>
          </w:tcPr>
          <w:p>
            <w:pPr>
              <w:pStyle w:val="TableContents"/>
              <w:bidi w:val="0"/>
              <w:spacing w:before="0" w:after="0"/>
              <w:ind w:left="0" w:right="0" w:hanging="0"/>
              <w:jc w:val="both"/>
              <w:rPr>
                <w:color w:val="000000"/>
              </w:rPr>
            </w:pPr>
            <w:r>
              <w:rPr>
                <w:color w:val="000000"/>
              </w:rPr>
              <w:t xml:space="preserve">  </w:t>
            </w:r>
          </w:p>
        </w:tc>
        <w:tc>
          <w:tcPr>
            <w:tcW w:w="147" w:type="dxa"/>
            <w:tcBorders/>
          </w:tcPr>
          <w:p>
            <w:pPr>
              <w:pStyle w:val="TableContents"/>
              <w:bidi w:val="0"/>
              <w:spacing w:before="0" w:after="0"/>
              <w:ind w:left="0" w:right="0" w:hanging="0"/>
              <w:jc w:val="both"/>
              <w:rPr>
                <w:color w:val="000000"/>
              </w:rPr>
            </w:pPr>
            <w:r>
              <w:rPr>
                <w:color w:val="000000"/>
              </w:rPr>
              <w:t xml:space="preserve">• </w:t>
            </w:r>
          </w:p>
        </w:tc>
        <w:tc>
          <w:tcPr>
            <w:tcW w:w="99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collaborators may participate at substantial cost in International Trade Commission proceedings to abate importation of products that would compete unfairly with our products;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0"/>
              <w:ind w:left="0" w:right="0" w:hanging="0"/>
              <w:jc w:val="both"/>
              <w:rPr>
                <w:color w:val="000000"/>
              </w:rPr>
            </w:pPr>
            <w:r>
              <w:rPr>
                <w:color w:val="000000"/>
              </w:rPr>
              <w:t xml:space="preserve">• </w:t>
            </w:r>
          </w:p>
        </w:tc>
        <w:tc>
          <w:tcPr>
            <w:tcW w:w="999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4"/>
        <w:gridCol w:w="145"/>
        <w:gridCol w:w="9966"/>
      </w:tblGrid>
      <w:tr>
        <w:trPr/>
        <w:tc>
          <w:tcPr>
            <w:tcW w:w="94" w:type="dxa"/>
            <w:tcBorders/>
          </w:tcPr>
          <w:p>
            <w:pPr>
              <w:pStyle w:val="TableContents"/>
              <w:bidi w:val="0"/>
              <w:spacing w:before="0" w:after="0"/>
              <w:ind w:left="0" w:right="0" w:hanging="0"/>
              <w:jc w:val="both"/>
              <w:rPr>
                <w:color w:val="000000"/>
              </w:rPr>
            </w:pPr>
            <w:r>
              <w:rPr>
                <w:color w:val="000000"/>
              </w:rPr>
              <w:t xml:space="preserve">  </w:t>
            </w:r>
          </w:p>
        </w:tc>
        <w:tc>
          <w:tcPr>
            <w:tcW w:w="145" w:type="dxa"/>
            <w:tcBorders/>
          </w:tcPr>
          <w:p>
            <w:pPr>
              <w:pStyle w:val="TableContents"/>
              <w:bidi w:val="0"/>
              <w:spacing w:before="0" w:after="0"/>
              <w:ind w:left="0" w:right="0" w:hanging="0"/>
              <w:jc w:val="both"/>
              <w:rPr>
                <w:color w:val="000000"/>
              </w:rPr>
            </w:pPr>
            <w:r>
              <w:rPr>
                <w:color w:val="000000"/>
              </w:rPr>
              <w:t xml:space="preserve">• </w:t>
            </w:r>
          </w:p>
        </w:tc>
        <w:tc>
          <w:tcPr>
            <w:tcW w:w="996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third parties initiate litigation claiming that our processes or products infringe their patent or other intellectual property rights, we and our collaborators will need to defend against such proceedings;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be subject to ownership disputes relating to intellectual property, including disputes arising from conflicting obligations of consultants or others who are involved in developing our products;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0"/>
              <w:ind w:left="0" w:right="0" w:hanging="0"/>
              <w:jc w:val="both"/>
              <w:rPr>
                <w:color w:val="000000"/>
              </w:rPr>
            </w:pPr>
            <w:r>
              <w:rPr>
                <w:color w:val="000000"/>
              </w:rPr>
              <w:t xml:space="preserve">• </w:t>
            </w:r>
          </w:p>
        </w:tc>
        <w:tc>
          <w:tcPr>
            <w:tcW w:w="9998" w:type="dxa"/>
            <w:tcBorders/>
          </w:tcPr>
          <w:p>
            <w:pPr>
              <w:pStyle w:val="TableContents"/>
              <w:bidi w:val="0"/>
              <w:spacing w:before="0" w:after="140"/>
              <w:ind w:left="0" w:right="0" w:hanging="0"/>
              <w:jc w:val="both"/>
              <w:rPr>
                <w:rFonts w:ascii="times new roman;times" w:hAnsi="times new roman;times"/>
                <w:color w:val="000000"/>
                <w:sz w:val="20"/>
              </w:rPr>
            </w:pPr>
            <w:r>
              <w:rPr>
                <w:rFonts w:ascii="times new roman;times" w:hAnsi="times new roman;times"/>
                <w:color w:val="000000"/>
                <w:sz w:val="20"/>
              </w:rPr>
              <w:t xml:space="preserve">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lawsuits and proceedings, regardless of merit, are time-consuming and expensive to initiate, maintain, defend, or settle, and could divert the time and attention of managerial and technical personnel, which could materially and adversely affect our business. Any such claim could also force use to do one or more of the following: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
        <w:gridCol w:w="128"/>
        <w:gridCol w:w="10000"/>
      </w:tblGrid>
      <w:tr>
        <w:trPr/>
        <w:tc>
          <w:tcPr>
            <w:tcW w:w="77" w:type="dxa"/>
            <w:tcBorders/>
          </w:tcPr>
          <w:p>
            <w:pPr>
              <w:pStyle w:val="TableContents"/>
              <w:bidi w:val="0"/>
              <w:spacing w:before="60" w:after="0"/>
              <w:ind w:left="0" w:right="0" w:hanging="0"/>
              <w:jc w:val="both"/>
              <w:rPr>
                <w:color w:val="000000"/>
              </w:rPr>
            </w:pPr>
            <w:r>
              <w:rPr>
                <w:color w:val="000000"/>
              </w:rPr>
              <w:t xml:space="preserve">  </w:t>
            </w:r>
          </w:p>
        </w:tc>
        <w:tc>
          <w:tcPr>
            <w:tcW w:w="128" w:type="dxa"/>
            <w:tcBorders/>
          </w:tcPr>
          <w:p>
            <w:pPr>
              <w:pStyle w:val="TableContents"/>
              <w:bidi w:val="0"/>
              <w:spacing w:before="0" w:after="0"/>
              <w:ind w:left="0" w:right="0" w:hanging="0"/>
              <w:jc w:val="both"/>
              <w:rPr>
                <w:color w:val="000000"/>
              </w:rPr>
            </w:pPr>
            <w:r>
              <w:rPr>
                <w:color w:val="000000"/>
              </w:rPr>
              <w:t xml:space="preserve">• </w:t>
            </w:r>
          </w:p>
        </w:tc>
        <w:tc>
          <w:tcPr>
            <w:tcW w:w="1000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pay substantial damages to our customers or end users to discontinue use or replace infringing technology with non-infringing technology;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4"/>
        <w:gridCol w:w="135"/>
        <w:gridCol w:w="9986"/>
      </w:tblGrid>
      <w:tr>
        <w:trPr/>
        <w:tc>
          <w:tcPr>
            <w:tcW w:w="84" w:type="dxa"/>
            <w:tcBorders/>
          </w:tcPr>
          <w:p>
            <w:pPr>
              <w:pStyle w:val="TableContents"/>
              <w:bidi w:val="0"/>
              <w:spacing w:before="0" w:after="140"/>
              <w:ind w:left="0" w:right="0" w:hanging="0"/>
              <w:jc w:val="both"/>
              <w:rPr>
                <w:color w:val="000000"/>
              </w:rPr>
            </w:pPr>
            <w:r>
              <w:rPr>
                <w:color w:val="000000"/>
              </w:rPr>
              <w:t xml:space="preserve">  </w:t>
            </w:r>
          </w:p>
        </w:tc>
        <w:tc>
          <w:tcPr>
            <w:tcW w:w="135" w:type="dxa"/>
            <w:tcBorders/>
          </w:tcPr>
          <w:p>
            <w:pPr>
              <w:pStyle w:val="TableContents"/>
              <w:bidi w:val="0"/>
              <w:spacing w:before="0" w:after="0"/>
              <w:ind w:left="0" w:right="0" w:hanging="0"/>
              <w:jc w:val="both"/>
              <w:rPr>
                <w:color w:val="000000"/>
              </w:rPr>
            </w:pPr>
            <w:r>
              <w:rPr>
                <w:color w:val="000000"/>
              </w:rPr>
              <w:t xml:space="preserve">• </w:t>
            </w:r>
          </w:p>
        </w:tc>
        <w:tc>
          <w:tcPr>
            <w:tcW w:w="998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stop manufacturing, offering for sale, selling, using, importing, exporting, or licensing the product or technology incorporating the allegedly infringing technology or stop incorporating the allegedly infringing technology into such product, service, or technology;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6"/>
        <w:gridCol w:w="137"/>
        <w:gridCol w:w="9982"/>
      </w:tblGrid>
      <w:tr>
        <w:trPr/>
        <w:tc>
          <w:tcPr>
            <w:tcW w:w="86" w:type="dxa"/>
            <w:tcBorders/>
          </w:tcPr>
          <w:p>
            <w:pPr>
              <w:pStyle w:val="TableContents"/>
              <w:bidi w:val="0"/>
              <w:spacing w:before="0" w:after="0"/>
              <w:ind w:left="0" w:right="0" w:hanging="0"/>
              <w:jc w:val="both"/>
              <w:rPr>
                <w:color w:val="000000"/>
              </w:rPr>
            </w:pPr>
            <w:r>
              <w:rPr>
                <w:color w:val="000000"/>
              </w:rPr>
              <w:t xml:space="preserve">  </w:t>
            </w:r>
          </w:p>
        </w:tc>
        <w:tc>
          <w:tcPr>
            <w:tcW w:w="137" w:type="dxa"/>
            <w:tcBorders/>
          </w:tcPr>
          <w:p>
            <w:pPr>
              <w:pStyle w:val="TableContents"/>
              <w:bidi w:val="0"/>
              <w:spacing w:before="0" w:after="0"/>
              <w:ind w:left="0" w:right="0" w:hanging="0"/>
              <w:jc w:val="both"/>
              <w:rPr>
                <w:color w:val="000000"/>
              </w:rPr>
            </w:pPr>
            <w:r>
              <w:rPr>
                <w:color w:val="000000"/>
              </w:rPr>
              <w:t xml:space="preserve">• </w:t>
            </w:r>
          </w:p>
        </w:tc>
        <w:tc>
          <w:tcPr>
            <w:tcW w:w="998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obtain from the owner of the infringed intellectual property right a license, which may require us to pay substantial upfront fees or royalties to sell or use the relevant technology and which may not be available on commercially reasonable terms, or at all;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redesign our products, services, and technology so they do not infringe or violate the third party’s intellectual property rights, which may not be possible or may require substantial monetary expenditures and time;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3"/>
        <w:gridCol w:w="188"/>
        <w:gridCol w:w="9884"/>
      </w:tblGrid>
      <w:tr>
        <w:trPr/>
        <w:tc>
          <w:tcPr>
            <w:tcW w:w="133" w:type="dxa"/>
            <w:tcBorders/>
          </w:tcPr>
          <w:p>
            <w:pPr>
              <w:pStyle w:val="TableContents"/>
              <w:bidi w:val="0"/>
              <w:spacing w:before="0" w:after="0"/>
              <w:ind w:left="0" w:right="0" w:hanging="0"/>
              <w:jc w:val="both"/>
              <w:rPr>
                <w:color w:val="000000"/>
              </w:rPr>
            </w:pPr>
            <w:r>
              <w:rPr>
                <w:color w:val="000000"/>
              </w:rPr>
              <w:t xml:space="preserve">  </w:t>
            </w:r>
          </w:p>
        </w:tc>
        <w:tc>
          <w:tcPr>
            <w:tcW w:w="188" w:type="dxa"/>
            <w:tcBorders/>
          </w:tcPr>
          <w:p>
            <w:pPr>
              <w:pStyle w:val="TableContents"/>
              <w:bidi w:val="0"/>
              <w:spacing w:before="0" w:after="0"/>
              <w:ind w:left="0" w:right="0" w:hanging="0"/>
              <w:jc w:val="both"/>
              <w:rPr>
                <w:color w:val="000000"/>
              </w:rPr>
            </w:pPr>
            <w:r>
              <w:rPr>
                <w:color w:val="000000"/>
              </w:rPr>
              <w:t xml:space="preserve">• </w:t>
            </w:r>
          </w:p>
        </w:tc>
        <w:tc>
          <w:tcPr>
            <w:tcW w:w="98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enter into cross-licenses with our competitors, which could weaken our overall intellectual property position;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9"/>
        <w:gridCol w:w="150"/>
        <w:gridCol w:w="9956"/>
      </w:tblGrid>
      <w:tr>
        <w:trPr/>
        <w:tc>
          <w:tcPr>
            <w:tcW w:w="99" w:type="dxa"/>
            <w:tcBorders/>
          </w:tcPr>
          <w:p>
            <w:pPr>
              <w:pStyle w:val="TableContents"/>
              <w:bidi w:val="0"/>
              <w:spacing w:before="0" w:after="0"/>
              <w:ind w:left="0" w:right="0" w:hanging="0"/>
              <w:jc w:val="both"/>
              <w:rPr>
                <w:color w:val="000000"/>
              </w:rPr>
            </w:pPr>
            <w:r>
              <w:rPr>
                <w:color w:val="000000"/>
              </w:rPr>
              <w:t xml:space="preserve">  </w:t>
            </w:r>
          </w:p>
        </w:tc>
        <w:tc>
          <w:tcPr>
            <w:tcW w:w="150" w:type="dxa"/>
            <w:tcBorders/>
          </w:tcPr>
          <w:p>
            <w:pPr>
              <w:pStyle w:val="TableContents"/>
              <w:bidi w:val="0"/>
              <w:spacing w:before="0" w:after="0"/>
              <w:ind w:left="0" w:right="0" w:hanging="0"/>
              <w:jc w:val="both"/>
              <w:rPr>
                <w:color w:val="000000"/>
              </w:rPr>
            </w:pPr>
            <w:r>
              <w:rPr>
                <w:color w:val="000000"/>
              </w:rPr>
              <w:t xml:space="preserve">• </w:t>
            </w:r>
          </w:p>
        </w:tc>
        <w:tc>
          <w:tcPr>
            <w:tcW w:w="995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lose the opportunity to license our technology to others or to collect royalty payments based upon successful protection and assertion of our intellectual property against others;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find alternative suppliers for non-infringing products and technologies, which could be costly and create significant delay; or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8"/>
        <w:gridCol w:w="169"/>
        <w:gridCol w:w="9918"/>
      </w:tblGrid>
      <w:tr>
        <w:trPr/>
        <w:tc>
          <w:tcPr>
            <w:tcW w:w="118" w:type="dxa"/>
            <w:tcBorders/>
          </w:tcPr>
          <w:p>
            <w:pPr>
              <w:pStyle w:val="TableContents"/>
              <w:bidi w:val="0"/>
              <w:spacing w:before="0" w:after="0"/>
              <w:ind w:left="0" w:right="0" w:hanging="0"/>
              <w:jc w:val="both"/>
              <w:rPr>
                <w:color w:val="000000"/>
              </w:rPr>
            </w:pPr>
            <w:r>
              <w:rPr>
                <w:color w:val="000000"/>
              </w:rPr>
              <w:t xml:space="preserve">  </w:t>
            </w:r>
          </w:p>
        </w:tc>
        <w:tc>
          <w:tcPr>
            <w:tcW w:w="169" w:type="dxa"/>
            <w:tcBorders/>
          </w:tcPr>
          <w:p>
            <w:pPr>
              <w:pStyle w:val="TableContents"/>
              <w:bidi w:val="0"/>
              <w:spacing w:before="0" w:after="0"/>
              <w:ind w:left="0" w:right="0" w:hanging="0"/>
              <w:jc w:val="both"/>
              <w:rPr>
                <w:color w:val="000000"/>
              </w:rPr>
            </w:pPr>
            <w:r>
              <w:rPr>
                <w:color w:val="000000"/>
              </w:rPr>
              <w:t xml:space="preserve">• </w:t>
            </w:r>
          </w:p>
        </w:tc>
        <w:tc>
          <w:tcPr>
            <w:tcW w:w="9918" w:type="dxa"/>
            <w:tcBorders/>
          </w:tcPr>
          <w:p>
            <w:pPr>
              <w:pStyle w:val="TableContents"/>
              <w:bidi w:val="0"/>
              <w:spacing w:before="0" w:after="140"/>
              <w:ind w:left="0" w:right="0" w:hanging="0"/>
              <w:jc w:val="both"/>
              <w:rPr>
                <w:rFonts w:ascii="times new roman;times" w:hAnsi="times new roman;times"/>
                <w:color w:val="000000"/>
                <w:sz w:val="20"/>
              </w:rPr>
            </w:pPr>
            <w:r>
              <w:rPr>
                <w:rFonts w:ascii="times new roman;times" w:hAnsi="times new roman;times"/>
                <w:color w:val="000000"/>
                <w:sz w:val="20"/>
              </w:rPr>
              <w:t xml:space="preserve">relinquish rights associated with one or more of our patent claims if our claims are held invalid or otherwise unenforceable.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operations, or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51</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operations, or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are unable to protect the confidentiality of our trade secrets, our business and competitive position may be harmed.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and business could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Changes in patent law could diminish the value of patents in general, thereby impairing our ability to protect our existing and future products and processes.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As is the case with other pharmaceutical and medical device companies, our success is heavily dependent on intellectual property, particularly patents. Obtaining and enforcing patents in the pharmaceutical and medical device industries involve both technological and legal complexity and is therefore costly, time-consuming, and inherently uncertain. In addition, patent reform legislation may pass in the future that could lead to additional uncertainties and increased costs surrounding the prosecution, enforcement, and defense of our patents and pending patent applications. US Supreme Court rulings have narrowed the scope of patent protection available in certain circumstances and weakened the rights of patent owners in certain other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52</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Obtaining and maintaining patent protection depend on compliance with various procedural, document submission, fee payment, and other requirements imposed by governmental patent agencies, and our patent protection could be reduced or eliminated for non-compliance with these requirements.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our trademarks and trade names are not adequately protected, then, we may not be able to build name recognition in our markets of interest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cannot show access and copying, then, our copyrights may not provide protection for our software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able to adequately protect our intellectual property rights throughout the world.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have patent rights in certain foreign countries in which a market for our products may exist. Moreover, in foreign jurisdictions where we do have patent rights, proceedings to enforce such rights could result in substantial costs and divert our efforts and attention from other aspects of our business, which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products and services in foreign countries that are the same as or similar to our products and services, and our competitive position in the international market would be harmed.</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53</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w:t>
      </w:r>
      <w:r>
        <w:rPr>
          <w:rFonts w:ascii="times new roman;times" w:hAnsi="times new roman;times"/>
          <w:color w:val="000000"/>
          <w:sz w:val="20"/>
        </w:rPr>
        <w:t>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w:t>
      </w:r>
      <w:r>
        <w:rPr>
          <w:rFonts w:ascii="times new roman;times" w:hAnsi="times new roman;times"/>
          <w:color w:val="000000"/>
          <w:sz w:val="20"/>
        </w:rPr>
        <w: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Patent terms may be inadequate to protect our competitive position on our products for an adequate amount of time.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Intellectual property rights do not necessarily address all potential threats to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283"/>
              <w:ind w:left="0" w:right="0" w:hanging="0"/>
              <w:jc w:val="left"/>
              <w:rPr/>
            </w:pPr>
            <w:r>
              <w:rPr/>
            </w:r>
          </w:p>
        </w:tc>
        <w:tc>
          <w:tcPr>
            <w:tcW w:w="138"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0"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others may be able to develop and/or practice technology that is similar to our technology or aspects of our technology, but that are not covered by the claims of the patents that we own or control, assuming such patents have issued or do issue;</w:t>
            </w:r>
          </w:p>
        </w:tc>
      </w:tr>
      <w:tr>
        <w:trPr/>
        <w:tc>
          <w:tcPr>
            <w:tcW w:w="87" w:type="dxa"/>
            <w:tcBorders/>
          </w:tcPr>
          <w:p>
            <w:pPr>
              <w:pStyle w:val="TableContents"/>
              <w:pBdr/>
              <w:bidi w:val="0"/>
              <w:spacing w:before="0" w:after="0"/>
              <w:ind w:left="0" w:right="0" w:hanging="0"/>
              <w:jc w:val="both"/>
              <w:rPr>
                <w:color w:val="000000"/>
              </w:rPr>
            </w:pPr>
            <w:r>
              <w:rPr>
                <w:color w:val="000000"/>
              </w:rPr>
              <w:t xml:space="preserve">  </w:t>
            </w:r>
          </w:p>
        </w:tc>
        <w:tc>
          <w:tcPr>
            <w:tcW w:w="138" w:type="dxa"/>
            <w:tcBorders/>
          </w:tcPr>
          <w:p>
            <w:pPr>
              <w:pStyle w:val="TableContents"/>
              <w:pBdr/>
              <w:bidi w:val="0"/>
              <w:spacing w:before="0" w:after="0"/>
              <w:ind w:left="0" w:right="0" w:hanging="0"/>
              <w:jc w:val="both"/>
              <w:rPr>
                <w:color w:val="000000"/>
              </w:rPr>
            </w:pPr>
            <w:r>
              <w:rPr>
                <w:color w:val="000000"/>
              </w:rPr>
              <w:t xml:space="preserve">• </w:t>
            </w:r>
          </w:p>
        </w:tc>
        <w:tc>
          <w:tcPr>
            <w:tcW w:w="9980"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or our licensors or any future strategic partners might not have been the first to conceive or reduce to practice the inventions covered by the issued patents or pending patent applications that we own or have exclusively licensed;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or our licensors or any future strategic partners might not have been the first to file patent applications covering certain of our inventions;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7"/>
        <w:gridCol w:w="252"/>
        <w:gridCol w:w="9776"/>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2" w:type="dxa"/>
            <w:tcBorders/>
          </w:tcPr>
          <w:p>
            <w:pPr>
              <w:pStyle w:val="TableContents"/>
              <w:bidi w:val="0"/>
              <w:spacing w:before="0" w:after="0"/>
              <w:ind w:left="0" w:right="0" w:hanging="0"/>
              <w:jc w:val="both"/>
              <w:rPr>
                <w:color w:val="000000"/>
              </w:rPr>
            </w:pPr>
            <w:r>
              <w:rPr>
                <w:color w:val="000000"/>
              </w:rPr>
              <w:t xml:space="preserve">• </w:t>
            </w:r>
          </w:p>
        </w:tc>
        <w:tc>
          <w:tcPr>
            <w:tcW w:w="977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it is possible that our pending patent applications will not lead to issued patents;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vAlign w:val="center"/>
          </w:tcPr>
          <w:p>
            <w:pPr>
              <w:pStyle w:val="TableContents"/>
              <w:bidi w:val="0"/>
              <w:spacing w:before="0" w:after="283"/>
              <w:ind w:left="0" w:right="0" w:hanging="0"/>
              <w:jc w:val="left"/>
              <w:rPr/>
            </w:pPr>
            <w:r>
              <w:rPr/>
            </w:r>
          </w:p>
        </w:tc>
        <w:tc>
          <w:tcPr>
            <w:tcW w:w="14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68" w:type="dxa"/>
            <w:tcBorders/>
            <w:vAlign w:val="center"/>
          </w:tcPr>
          <w:p>
            <w:pPr>
              <w:pStyle w:val="TableContents"/>
              <w:bidi w:val="0"/>
              <w:spacing w:before="0" w:after="0"/>
              <w:ind w:left="0" w:right="0" w:hanging="0"/>
              <w:jc w:val="left"/>
              <w:rPr/>
            </w:pPr>
            <w:r>
              <w:rPr/>
              <w:t>it is possible that our pending patent applications may not adequately cover our software applications;</w:t>
            </w:r>
          </w:p>
        </w:tc>
      </w:tr>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issued patents that we own or have exclusively licensed may not provide us with any competitive advantage, or may be held invalid or unenforceable, as a result of legal challenges by our competitors;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0"/>
        <w:gridCol w:w="151"/>
        <w:gridCol w:w="9954"/>
      </w:tblGrid>
      <w:tr>
        <w:trPr/>
        <w:tc>
          <w:tcPr>
            <w:tcW w:w="100" w:type="dxa"/>
            <w:tcBorders/>
          </w:tcPr>
          <w:p>
            <w:pPr>
              <w:pStyle w:val="TableContents"/>
              <w:bidi w:val="0"/>
              <w:spacing w:before="0" w:after="0"/>
              <w:ind w:left="0" w:right="0" w:hanging="0"/>
              <w:jc w:val="both"/>
              <w:rPr>
                <w:color w:val="000000"/>
              </w:rPr>
            </w:pPr>
            <w:r>
              <w:rPr>
                <w:color w:val="000000"/>
              </w:rPr>
              <w:t xml:space="preserve">  </w:t>
            </w:r>
          </w:p>
        </w:tc>
        <w:tc>
          <w:tcPr>
            <w:tcW w:w="151" w:type="dxa"/>
            <w:tcBorders/>
          </w:tcPr>
          <w:p>
            <w:pPr>
              <w:pStyle w:val="TableContents"/>
              <w:bidi w:val="0"/>
              <w:spacing w:before="0" w:after="0"/>
              <w:ind w:left="0" w:right="0" w:hanging="0"/>
              <w:jc w:val="both"/>
              <w:rPr>
                <w:color w:val="000000"/>
              </w:rPr>
            </w:pPr>
            <w:r>
              <w:rPr>
                <w:color w:val="000000"/>
              </w:rPr>
              <w:t xml:space="preserve">• </w:t>
            </w:r>
          </w:p>
        </w:tc>
        <w:tc>
          <w:tcPr>
            <w:tcW w:w="995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third parties performing manufacturing or testing for the use of our products or technologies could use the intellectual property of others without obtaining a proper license;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8"/>
        <w:gridCol w:w="149"/>
        <w:gridCol w:w="9958"/>
      </w:tblGrid>
      <w:tr>
        <w:trPr/>
        <w:tc>
          <w:tcPr>
            <w:tcW w:w="98" w:type="dxa"/>
            <w:tcBorders/>
          </w:tcPr>
          <w:p>
            <w:pPr>
              <w:pStyle w:val="TableContents"/>
              <w:bidi w:val="0"/>
              <w:spacing w:before="0" w:after="0"/>
              <w:ind w:left="0" w:right="0" w:hanging="0"/>
              <w:jc w:val="both"/>
              <w:rPr>
                <w:color w:val="000000"/>
              </w:rPr>
            </w:pPr>
            <w:r>
              <w:rPr>
                <w:color w:val="000000"/>
              </w:rPr>
              <w:t xml:space="preserve">  </w:t>
            </w:r>
          </w:p>
        </w:tc>
        <w:tc>
          <w:tcPr>
            <w:tcW w:w="149" w:type="dxa"/>
            <w:tcBorders/>
          </w:tcPr>
          <w:p>
            <w:pPr>
              <w:pStyle w:val="TableContents"/>
              <w:bidi w:val="0"/>
              <w:spacing w:before="0" w:after="0"/>
              <w:ind w:left="0" w:right="0" w:hanging="0"/>
              <w:jc w:val="both"/>
              <w:rPr>
                <w:color w:val="000000"/>
              </w:rPr>
            </w:pPr>
            <w:r>
              <w:rPr>
                <w:color w:val="000000"/>
              </w:rPr>
              <w:t xml:space="preserve">• </w:t>
            </w:r>
          </w:p>
        </w:tc>
        <w:tc>
          <w:tcPr>
            <w:tcW w:w="995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parties may assert an ownership interest in our intellectual property and, if successful, such disputes may preclude us from exercising exclusive rights over that intellectual property;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1"/>
        <w:gridCol w:w="229"/>
        <w:gridCol w:w="9815"/>
      </w:tblGrid>
      <w:tr>
        <w:trPr/>
        <w:tc>
          <w:tcPr>
            <w:tcW w:w="161" w:type="dxa"/>
            <w:tcBorders/>
          </w:tcPr>
          <w:p>
            <w:pPr>
              <w:pStyle w:val="TableContents"/>
              <w:bidi w:val="0"/>
              <w:spacing w:before="0" w:after="0"/>
              <w:ind w:left="0" w:right="0" w:hanging="0"/>
              <w:jc w:val="both"/>
              <w:rPr>
                <w:color w:val="000000"/>
              </w:rPr>
            </w:pPr>
            <w:r>
              <w:rPr>
                <w:color w:val="000000"/>
              </w:rPr>
              <w:t xml:space="preserve">  </w:t>
            </w:r>
          </w:p>
        </w:tc>
        <w:tc>
          <w:tcPr>
            <w:tcW w:w="229" w:type="dxa"/>
            <w:tcBorders/>
          </w:tcPr>
          <w:p>
            <w:pPr>
              <w:pStyle w:val="TableContents"/>
              <w:bidi w:val="0"/>
              <w:spacing w:before="0" w:after="0"/>
              <w:ind w:left="0" w:right="0" w:hanging="0"/>
              <w:jc w:val="both"/>
              <w:rPr>
                <w:color w:val="000000"/>
              </w:rPr>
            </w:pPr>
            <w:r>
              <w:rPr>
                <w:color w:val="000000"/>
              </w:rPr>
              <w:t xml:space="preserve">• </w:t>
            </w:r>
          </w:p>
        </w:tc>
        <w:tc>
          <w:tcPr>
            <w:tcW w:w="9815"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develop or in-license additional proprietary technologies that are patentable;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2"/>
        <w:gridCol w:w="188"/>
        <w:gridCol w:w="9885"/>
      </w:tblGrid>
      <w:tr>
        <w:trPr/>
        <w:tc>
          <w:tcPr>
            <w:tcW w:w="132" w:type="dxa"/>
            <w:tcBorders/>
          </w:tcPr>
          <w:p>
            <w:pPr>
              <w:pStyle w:val="TableContents"/>
              <w:bidi w:val="0"/>
              <w:spacing w:before="0" w:after="0"/>
              <w:ind w:left="0" w:right="0" w:hanging="0"/>
              <w:jc w:val="both"/>
              <w:rPr>
                <w:color w:val="000000"/>
              </w:rPr>
            </w:pPr>
            <w:r>
              <w:rPr>
                <w:color w:val="000000"/>
              </w:rPr>
              <w:t xml:space="preserve">  </w:t>
            </w:r>
          </w:p>
        </w:tc>
        <w:tc>
          <w:tcPr>
            <w:tcW w:w="188" w:type="dxa"/>
            <w:tcBorders/>
          </w:tcPr>
          <w:p>
            <w:pPr>
              <w:pStyle w:val="TableContents"/>
              <w:bidi w:val="0"/>
              <w:spacing w:before="0" w:after="0"/>
              <w:ind w:left="0" w:right="0" w:hanging="0"/>
              <w:jc w:val="both"/>
              <w:rPr>
                <w:color w:val="000000"/>
              </w:rPr>
            </w:pPr>
            <w:r>
              <w:rPr>
                <w:color w:val="000000"/>
              </w:rPr>
              <w:t xml:space="preserve">• </w:t>
            </w:r>
          </w:p>
        </w:tc>
        <w:tc>
          <w:tcPr>
            <w:tcW w:w="9885"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be able to obtain and maintain necessary licenses on commercially reasonable terms, or at all;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0"/>
        <w:gridCol w:w="312"/>
        <w:gridCol w:w="9673"/>
      </w:tblGrid>
      <w:tr>
        <w:trPr/>
        <w:tc>
          <w:tcPr>
            <w:tcW w:w="220" w:type="dxa"/>
            <w:tcBorders/>
          </w:tcPr>
          <w:p>
            <w:pPr>
              <w:pStyle w:val="TableContents"/>
              <w:pBdr/>
              <w:bidi w:val="0"/>
              <w:spacing w:before="0" w:after="0"/>
              <w:ind w:left="0" w:right="0" w:hanging="0"/>
              <w:jc w:val="both"/>
              <w:rPr>
                <w:color w:val="000000"/>
              </w:rPr>
            </w:pPr>
            <w:r>
              <w:rPr>
                <w:color w:val="000000"/>
              </w:rPr>
              <w:t xml:space="preserve">  </w:t>
            </w:r>
          </w:p>
        </w:tc>
        <w:tc>
          <w:tcPr>
            <w:tcW w:w="312" w:type="dxa"/>
            <w:tcBorders/>
          </w:tcPr>
          <w:p>
            <w:pPr>
              <w:pStyle w:val="TableContents"/>
              <w:pBdr/>
              <w:bidi w:val="0"/>
              <w:spacing w:before="0" w:after="0"/>
              <w:ind w:left="0" w:right="0" w:hanging="0"/>
              <w:jc w:val="both"/>
              <w:rPr>
                <w:color w:val="000000"/>
              </w:rPr>
            </w:pPr>
            <w:r>
              <w:rPr>
                <w:color w:val="000000"/>
              </w:rPr>
              <w:t xml:space="preserve">• </w:t>
            </w:r>
          </w:p>
        </w:tc>
        <w:tc>
          <w:tcPr>
            <w:tcW w:w="9673"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patents of others may have an adverse effect on our business.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Should any of these events occur, they could significantly harm our business and results of operations.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be subject to claims that our employees, consultants, or independent contractors have wrongfully used or disclosed confidential information of their former employers or other third parties.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be a distraction to management and other employees, and could result in customers seeking other sources for the technology, or in ceasing from doing business with us.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intellectual property agreements with third parties may be subject to disagreements over contract interpretation, which could narrow the scope of our rights to the relevant intellectual property or technology.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successful in obtaining necessary intellectual property rights to future products through acquisitions and in-licenses.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in-licensing and acquisition of third-party intellectual property rights for product candidates are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platform utilizes open-source software, and any failure to comply with the terms of one or more of these open source licenses could negatively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platform utilizes software governed by open-source licenses. The terms of various open-source licenses have not been interpreted by United States courts, and there is a risk that such licenses could be construed in a manner that imposes unanticipated conditions or restrictions on our ability to market our platform. By the terms of certain open-source licenses, if we combine certain proprietary software with open-source software in a specified manner, we could be required to release the source code of our proprietary software and make it available under open-source licenses. In the event that portions of our platform are determined to be subject to an open-source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open-source software can lead to greater risks than use of third-party commercial software because open-source licensors generally do not provide warranties or controls on the origin of the software. Many of the risks associated with the use of open-source software cannot be eliminated and could negatively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Cybersecurity incidents, including data security breaches or computer viruses, could harm our business by disrupting our delivery of services, damaging our reputation, or exposing us to liability.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phishing scams, acts of vandalism, software viruses, misplaced or lost data, programming and/or human errors, or other similar events which may disrupt our delivery of services or expose the confidential information of the Company,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regulatory environment governing information, cybersecurity, and privacy is increasingly demanding and continues to evolve.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Personal privacy and data security have become significant issues in the U.S., Europe, and many other jurisdictions where we offer our products. The regulatory framework for privacy and security issues worldwide is rapidly evolving and is likely to remain uncertain for the foreseeable future. For example, the recent suspension of offensive cyberoperations against Russia by U.S. Cyber Command. </w:t>
      </w:r>
      <w:r>
        <w:rPr>
          <w:rFonts w:ascii="Times New Roman;serif" w:hAnsi="Times New Roman;serif"/>
          <w:color w:val="000000"/>
          <w:sz w:val="20"/>
        </w:rPr>
        <w:t>As a result of  SEC rules on cybersecurity disclosure, we are required to disclose,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w:t>
      </w:r>
      <w:r>
        <w:rPr>
          <w:rFonts w:ascii="times new roman;times" w:hAnsi="times new roman;times"/>
          <w:color w:val="000000"/>
          <w:sz w:val="20"/>
        </w:rPr>
        <w:t>. While any insurance that we may have that covers a specific cybersecurity incident may help to prevent our realizing a significant loss from the incident, it would not protect us from the effects of adverse regulatory actions that may result from the incident or a finding that we had inadequate cybersecurity controls, including the reputational harm that could result from such regulatory actions. Such insurance can be expensive and difficult to procure and may also be limited and subject to policy terms and significant self-insured retentions. Any such insurance also may be insufficient to cover all losses or all types of claims that may arise. We have incurred significant costs in an effort to detect and prevent security breaches and incidents, and we may face increased costs and requirements to expend substantial resources in the event of an actual or perceived security breach or incident and to comply with this new SEC cyber</w:t>
      </w:r>
      <w:r>
        <w:rPr>
          <w:rFonts w:ascii="times new roman;times" w:hAnsi="times new roman;times"/>
          <w:sz w:val="20"/>
        </w:rPr>
        <w:t>security rule.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Certain U.S. and foreign laws, such as the federal Health Insurance Portability and Accountability Act of 1996 (or HIPAA), govern the transmission, security, and privacy of individually identifiable information and sensitive health and other personal information that we may obtain or have access to in connection with the operation of our business, including the conduct of clinical research trials or other research studies that may provide us with access to this information. We may be required to make costly system modifications to comply with these data privacy and security requirements. In addition, if we do not properly comply with applicable laws and regulations related to the protection of this information, we could be subject to criminal or civil penalties and sanctions. The California Consumer Privacy Act of 2018 (or CCPA), which became effective on January 1, 2020, requires us to make new disclosures to consumers about our data collection, use, and sharing practices. The CCPA also allows consumers to opt out of certain data sales to third parties, affords new consumer rights, and provides a new cause of action for data breaches with the possibility of significant statutory damage awards as well as injunctive or declaratory relief if there has been unauthorized access, theft, or disclosure of specified personal information due to failure to implement reasonable security procedures. The California Privacy Rights Act (or CPRA), which went into effect on January 1, 2023, with a 12-month look-back period for enforcement purposes, will effectively replace the CCPA. Among other changes, the CPRA expands consumers’ rights and has enhanced enforcement mechanisms, such as the creation of a new California privacy agency that will investigate and enforce the CPRA and its promulgating regulations. In addition to the CCPA and the CPRA, all 50 U.S. states have data breach notification laws that, if violated, could result in penalties, fines, and litigation. In addition, many states have implemented or are in the process of implementing related legislation, including state-specific biometric privacy laws that have resulted in class-action lawsuits against businesses. The full impact of these laws on our business is yet to be determined, but it could result in increased operating expenses and additional exposure to the risk of litigation by or on behalf of consumers.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Internationally, the General Data Protection Regulation (or GDPR) took effect in May 2018 within the European Economic Area (EEA), and many EEA jurisdictions have also adopted their own data privacy and protection laws in addition to the GDPR. Furthermore, other international jurisdictions, including Singapore, South Korea, China, Brazil, Mexico, and Australia, have also implemented laws relating to data privacy and protection. Although we believe that we are complying with the GDPR and similar laws, these laws are still relatively new. Therefore, as international data privacy and protection laws continue to evolve, and as new regulations, interpretive guidance, and enforcement information become available, we may incur incremental costs to modify our business practices to comply with these requirements. In addition, our internal control policies and procedures may not always protect us from reckless, intentional and/or criminal acts committed by our employees or agents.</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Cybersecurity risks and cyber incidents could result in the compromise of confidential data or critical data systems and give rise to potential harm to customers, remediation and other expenses, expose us to liability under HIPAA, consumer protection laws, or other common law theories, subject us to litigation and federal and state governmental inquiries, damage our reputation, and otherwise be disruptive to our business and operations.</w:t>
      </w:r>
    </w:p>
    <w:p>
      <w:pPr>
        <w:pStyle w:val="TextBody"/>
        <w:shd w:fill="FFFFFF" w:val="clear"/>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There are numerous and evolving risks to our cybersecurity and privacy from cyber threat actors. These cyber threat actors, whether internal or external to our company, are becoming more frequent, sophisticated and coordinated in their attempts to access data, including third parties with whom we conduct business through, without limitation, malicious software; data privacy breaches by employees, insiders or others with authorized access; cyber or phishing-attacks; ransomware; utilization of Artificial Intelligence; attempts to gain unauthorized access to our data and systems; and other electronic security breaches. In the ordinary course of business, we collect and store sensitive information on our network, including intellectual property, proprietary business information and personally identifiable information of individuals, such as our customers and employees. The secure maintenance of this information and technology is critical to our business operations. We are consistently implementing new security measures and technologies to protect the confidentiality, integrity and availability of this data and the systems and devices that store and transmit such data. Although our defenses are monitored and routinely tested internally and by external parties. Threats from malicious persons and groups, new vulnerabilities and advanced new attacks against information systems create enhanced risks of cybersecurity incidents.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incidents can include, but are not limited to, gaining unauthorized access to digital systems for purposes of misappropriating assets or sensitive information, corrupting data, or causing operational disruption. Because the techniques used to obtain unauthorized access, disable or degrade service, or sabotage systems change frequently and may not immediately produce signs of intrusion, we may be unable to anticipate these incidents or techniques, timely discover them, or implement adequate preventative measures.</w:t>
      </w:r>
    </w:p>
    <w:p>
      <w:pPr>
        <w:pStyle w:val="TextBody"/>
        <w:shd w:fill="FFFFFF" w:val="clear"/>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in response to the onset of the COVID-19 pandemic, we modified our business practices to adopt hybrid and remote workplace models for many of our employees. The hybrid and remote workplace models do, however, introduce additional operational risk, including increased cybersecurity risk. These cyber risks include, among other risks, increased phishing, malware, and other cybersecurity attacks, vulnerability to, or disruptions of, our information technology infrastructure and systems to support remote operations, increased risk of unauthorized access, use or dissemination of confidential information, limited ability to restore the systems in the event of a systems failure or interruption, greater risk of a security breach resulting in destruction, alteration or misuse of valuable information, including proprietary business information and personally identifiable information of individuals, all of which could expose us to risks of data or financial loss, litigation and liability.</w:t>
      </w:r>
    </w:p>
    <w:p>
      <w:pPr>
        <w:pStyle w:val="TextBody"/>
        <w:shd w:fill="FFFFFF" w:val="clear"/>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threats can come from a variety of sources, including criminal hackers, state-sponsored intrusions, industrial espionage and malfeasance by employees, contractors, or other insiders. Cyber threats may be generic, or they may be custom-crafted against our information systems or particular personnel. Over the past several years, cyber attacks have become more prevalent and much harder to detect and defend against. These threat actors may be able to penetrate our security measures, breach our information technology systems, misappropriate or compromise confidential and proprietary information of our company and our customers, cause system disruptions and shutdowns, or introduce ransomware, malware, or vulnerabilities into our products, systems, and networks or those of our customers and partners. Our network and storage applications, as well as those of our contractors, may be vulnerable to cyber attack, malicious intrusion, malfeasance, loss of data privacy or other significant disruption and may be subject to unauthorized access by hackers, employees, consultants or other service providers. In addition, products, hardware, software or applications we develop, or which we procure from third parties, may contain defects in design or manufacture, security flaws, or other problems that could unexpectedly compromise information security or the operation of our products. Our third-party vendors may experience security incidents of varying severity, including but not limited to increased ransomware attacks, network intrusions, and unauthorized data exfiltration. Targeted cyber-attacks or those that may result from a security incident directed at a third-party vendor could compromise our services and internal systems, resulting in interruptions, delays, or cessation of service that could disrupt business operations for us and our customers. Our proactive measures and remediation efforts may not be successful or timely. Unauthorized parties may also attempt to gain access to our systems or facilities through fraud, trickery or other forms of deceiving our employees, contractors and temporary staff. </w:t>
      </w:r>
      <w:r>
        <w:rPr>
          <w:rFonts w:ascii="Times New Roman;serif" w:hAnsi="Times New Roman;serif"/>
          <w:color w:val="000000"/>
          <w:sz w:val="20"/>
        </w:rPr>
        <w:t>For example, as disclosed in our Form 10-Q for the quarterly period ended September 30, 2024, it was determined that our internal controls over vendor management, as designed, would not have timely prevented an unauthorized payment based on incorrect vendor information from occurring. As such, we concluded that a material weakness exists in our internal controls over financial reporting. This material weakness did not result in any identified misstatement, and there were no changes to previously reported financial results. Our efforts to remediate this weakness are ongoing, but there can be no assurance that such remediation will succeed nor that our controls will prevent or detect any deceptive practices or the harm stemming there from.</w:t>
      </w:r>
      <w:r>
        <w:rPr>
          <w:rFonts w:ascii="times new roman;times" w:hAnsi="times new roman;times"/>
          <w:color w:val="000000"/>
          <w:sz w:val="20"/>
        </w:rPr>
        <w:t xml:space="preserve"> </w:t>
      </w:r>
    </w:p>
    <w:p>
      <w:pPr>
        <w:pStyle w:val="TextBody"/>
        <w:shd w:fill="FFFFFF" w:val="clear"/>
        <w:bidi w:val="0"/>
        <w:spacing w:lineRule="atLeast" w:line="240"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and may continue to be subject to cybersecurity incidents that bypass our security measures. Such incidents may impact the integrity, availability or privacy of personal health information or other data subject to privacy laws or disrupt our information systems, devices or business, including our ability to deliver products and services to our customers. As a result, cybersecurity, physical security and the continued development and enhancement of our controls, processes and practices designed to protect our enterprise, information systems and data from attack, damage or unauthorized access remain a priority for us but there can be no assurance that our efforts will prevent or mitigate the risks. Moreover, as cyber threats continue to evolve, we may be required to expend significant additional resources to continue to modify or enhance our protective measures or to investigate and remediate any cybersecurity vulnerabilities. The occurrence of any of these events could result in:</w:t>
      </w:r>
    </w:p>
    <w:p>
      <w:pPr>
        <w:pStyle w:val="TextBody"/>
        <w:shd w:fill="FFFFFF" w:val="clear"/>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harm to customers and consumers;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business interruptions and delays;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the loss, misappropriation, corruption or unauthorized access of data, confidential information or intellectual property;</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litigation, including potential class action litigation, and potential liability under privacy, security and consumer protection laws or other applicable laws;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reputational damage;</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significant remediation costs, including liability for stolen customer or employee information, repairing system damage, or providing benefit to affected customers or employees;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ind w:left="0" w:right="0" w:hanging="0"/>
              <w:jc w:val="left"/>
              <w:rPr/>
            </w:pPr>
            <w:r>
              <w:rPr/>
              <w:t>increase to insurance premiums; and</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0"/>
              <w:jc w:val="left"/>
              <w:rPr/>
            </w:pPr>
            <w:r>
              <w:rPr/>
              <w:t>foreign, federal and state governmental inquires, violations or sanctions, any of which could have a material, adverse effect on our financial position and results of operations.</w:t>
            </w:r>
          </w:p>
        </w:tc>
      </w:tr>
    </w:tbl>
    <w:p>
      <w:pPr>
        <w:pStyle w:val="TextBody"/>
        <w:bidi w:val="0"/>
        <w:spacing w:lineRule="auto" w:line="276"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76" w:before="0" w:after="0"/>
        <w:ind w:left="0" w:right="0" w:hanging="0"/>
        <w:jc w:val="left"/>
        <w:rPr>
          <w:rFonts w:ascii="Times New Roman;serif" w:hAnsi="Times New Roman;serif"/>
          <w:b/>
          <w:i/>
          <w:sz w:val="20"/>
        </w:rPr>
      </w:pPr>
      <w:r>
        <w:rPr>
          <w:rFonts w:ascii="Times New Roman;serif" w:hAnsi="Times New Roman;serif"/>
          <w:b/>
          <w:i/>
          <w:sz w:val="20"/>
        </w:rPr>
        <w:t>Any significant interruptions or delays in third-party service and access could result in limited capacity, reduced demand, and loss of customers and adversely affect our business.</w:t>
      </w:r>
    </w:p>
    <w:p>
      <w:pPr>
        <w:pStyle w:val="TextBody"/>
        <w:bidi w:val="0"/>
        <w:spacing w:lineRule="auto" w:line="276" w:before="0" w:after="0"/>
        <w:ind w:left="0" w:right="0" w:hanging="0"/>
        <w:jc w:val="left"/>
        <w:rPr>
          <w:rFonts w:ascii="Times New Roman;serif" w:hAnsi="Times New Roman;serif"/>
          <w:b/>
          <w:i/>
        </w:rPr>
      </w:pPr>
      <w:r>
        <w:rPr>
          <w:rFonts w:ascii="Times New Roman;serif" w:hAnsi="Times New Roman;serif"/>
          <w:b/>
          <w:i/>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rely upon third-parties as service data storage providers, including cloud storage solution providers, for the development, availability or functionality of our medical devices and wellness products, including our next generation Truvaga app-enabled consumer product. Nearly all of our data storage and analytics are conducted on, and the data and content we create associated with sales on our apps and websites are processed through servers hosted by these providers. If our third-party vendors are unable or unwilling to provide the services necessary to support, or if our agreements with such vendors are terminated, our medical devices and wellness products, including the launch and use of our next generation Truvaga app-enabled consumer product, could be significantly affected. Some of our vendor agreements may be unilaterally terminated by the licensor for convenience, and if such agreements are terminated, we may not be able to enter into similar relationships in the future on reasonable terms or at all.</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Any damage to, or failure of, our systems or the systems of our third-party data centers or our other third-party providers that we may use could result in interruptions to the development, availability or functionality of our medical devices and wellness products, including the launch of our next generation Truvaga app-enabled consumer product. As a result, we could lose consumer data and miss opportunities to acquire and retain consumers, which could potentially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third-party providers, which increases our vulnerability to problems with the services they provide. We could experience additional expense in arranging for new facilities, technology, services and support. In addition, the failure of third-party data centers or any other third-party providers to meet our requirements could result in interruption in the development, availability or functionality of our medical devices and wellness products, including the launch and use of our Truvaga app-enabled consumer product.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satisfactory performance, reliability, development and availability of our Truvaga app-enabled consumer product is critical to our reputation and our ability to acquire and retain customers, as well as to maintain adequate customer service levels. If the interface of our next generation app is not considered user friendly by our customers or our app does not function correctly, our customers may become frustrated and not order any existing or new wellness products. Our future revenue may depend in part on the number of customers using our app in connection with our next generation consumer product in fulfilling their wellness needs. The unavailability of our app in connection with the use of our next generation consumer product could materially and adversely affect consumer perception of our brand.</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and affect the launch and use of our next generation Truvaga app-enabled consumer product.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the development, availability or functionality of our medical devices and wellness products, including the launch and use of our next generation Truvaga app-enabled consumer product. While we have disaster recovery arrangements in place, our preparations may not be adequate to account for disasters or similar events that may occur in the future and may not effectively permit consumers to use our medical devices and wellness products, including our next generation Truvaga app-enabled product after launch,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our medical devices and wellness products, including the launch and use our next generation Truvaga app-enabled consumer product, could be impaired and our business, financial condition and results of operations may be materially and adversely affected.</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Failure to protect our information technology infrastructure against cyber attacks, network security breaches, service interruptions, or data corruption could significantly disrupt our operations and adversely affect our business and operating results.</w:t>
      </w:r>
    </w:p>
    <w:p>
      <w:pPr>
        <w:pStyle w:val="TextBody"/>
        <w:shd w:fill="FFFFFF" w:val="clear"/>
        <w:bidi w:val="0"/>
        <w:spacing w:lineRule="atLeast" w:line="240" w:before="0" w:after="0"/>
        <w:ind w:left="0" w:right="0" w:hanging="0"/>
        <w:jc w:val="left"/>
        <w:rPr/>
      </w:pPr>
      <w:r>
        <w:rPr/>
        <w:t> </w:t>
      </w:r>
    </w:p>
    <w:p>
      <w:pPr>
        <w:pStyle w:val="TextBody"/>
        <w:bidi w:val="0"/>
        <w:spacing w:lineRule="auto" w:line="288" w:before="0" w:after="0"/>
        <w:jc w:val="left"/>
        <w:rPr>
          <w:rFonts w:ascii="Times New Roman;serif" w:hAnsi="Times New Roman;serif"/>
          <w:sz w:val="20"/>
        </w:rPr>
      </w:pPr>
      <w:r>
        <w:rPr>
          <w:rFonts w:ascii="Times New Roman;serif" w:hAnsi="Times New Roman;serif"/>
          <w:sz w:val="20"/>
        </w:rPr>
        <w:t>We rely on information technology and telephone networks and systems, including the internet, to process and transmit sensitive electronic information and to manage or support a variety of business processes and activities, including sales, billing, customer service, procurement and supply chain, research and development, product assembly, and distribution. We use enterprise information technology systems to record, process, and summarize financial information and results of operations for internal reporting purposes and to comply with regulatory financial reporting, legal, and tax requirements. System failures or outages, including any potential disruptions due to significantly increased global demand on certain cloud-based systems, or failures to adequately scale our data platforms and architectures could compromise our ability to perform these functions in a timely manner, which could harm our ability to conduct business or delay our financial reporting. Such failures could materially adversely affect our operating results and financial condition. Our information technology systems, some of which are managed by third parties, may be susceptible to damage, disruptions or shutdowns due to computer viruses, denial-of-service attacks, phishing attacks, ransomware or other malware, attacks by computer hackers (including nation states or state-sponsored organizations), failures during the process of upgrading or replacing software, databases or components thereof, power outages, hardware failures, telecommunication failures, user errors, natural disasters, terrorist attacks, the outbreak of wars or other armed conflicts, or catastrophic events. Although we are developing systems and processes that are designed to protect customer information and prevent data loss and other security breaches, including systems and processes designed to reduce the impact of a security breach at a third-party vendor, such measures cannot provide absolute security. In addition, certain countries have implemented or may implement legislative and technological actions that either do or can effectively regulate access to the internet, including the ability of internet service providers to limit access to specific websites or content. Other countries have attempted or are attempting to change or limit the legal protections available to businesses that depend on the internet for the delivery of their services. If our systems are breached or suffer severe damage, disruption or shutdown and we are unable to effectively resolve the issues in a timely manner, our business and operating results may significantly suffer and we may be subject to litigation, government enforcement actions and other actions for which we could face financial liability and other adverse consequences which may include:</w:t>
      </w:r>
    </w:p>
    <w:p>
      <w:pPr>
        <w:pStyle w:val="TextBody"/>
        <w:bidi w:val="0"/>
        <w:spacing w:lineRule="auto" w:line="288" w:before="0" w:after="0"/>
        <w:ind w:left="0" w:right="0" w:hanging="0"/>
        <w:jc w:val="left"/>
        <w:rPr/>
      </w:pPr>
      <w:r>
        <w:rPr/>
      </w:r>
    </w:p>
    <w:tbl>
      <w:tblPr>
        <w:tblW w:w="9906" w:type="dxa"/>
        <w:jc w:val="left"/>
        <w:tblInd w:w="0" w:type="dxa"/>
        <w:tblLayout w:type="fixed"/>
        <w:tblCellMar>
          <w:top w:w="0" w:type="dxa"/>
          <w:left w:w="0" w:type="dxa"/>
          <w:bottom w:w="0" w:type="dxa"/>
          <w:right w:w="0" w:type="dxa"/>
        </w:tblCellMar>
      </w:tblPr>
      <w:tblGrid>
        <w:gridCol w:w="124"/>
        <w:gridCol w:w="196"/>
        <w:gridCol w:w="9586"/>
      </w:tblGrid>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additional government oversight of our operations;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loss of existing customers;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difficulty in attracting new customers;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problems in determining product cost estimates and establishing appropriate pricing;</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difficulty in preventing, detecting, and controlling fraud;</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disputes with customers, physicians, and other health care professionals;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increases in operating expenses, incurrence of expense, including notification and remediation costs;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regulatory fines or penalties;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individual actions or class actions for damages;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loss of revenues (including through loss of coverage or reimbursement);</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product development delays;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ind w:left="0" w:right="0" w:hanging="0"/>
              <w:jc w:val="left"/>
              <w:rPr/>
            </w:pPr>
            <w:r>
              <w:rPr/>
              <w:t>disruption of key business operations; and</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0"/>
              <w:jc w:val="left"/>
              <w:rPr/>
            </w:pPr>
            <w:r>
              <w:rPr/>
              <w:t>diversion of attention of management and key information technology resources.</w:t>
            </w:r>
          </w:p>
        </w:tc>
      </w:tr>
    </w:tbl>
    <w:p>
      <w:pPr>
        <w:pStyle w:val="TextBody"/>
        <w:bidi w:val="0"/>
        <w:spacing w:lineRule="auto" w:line="288" w:before="0" w:after="0"/>
        <w:ind w:left="0" w:right="0" w:hanging="0"/>
        <w:jc w:val="left"/>
        <w:rPr>
          <w:sz w:val="20"/>
        </w:rPr>
      </w:pPr>
      <w:r>
        <w:rPr>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61</w:t>
            </w:r>
          </w:p>
        </w:tc>
      </w:tr>
    </w:tbl>
    <w:p>
      <w:pPr>
        <w:pStyle w:val="HorizontalLine"/>
        <w:bidi w:val="0"/>
        <w:spacing w:lineRule="auto" w:line="288" w:before="0" w:after="0"/>
        <w:jc w:val="left"/>
        <w:rPr/>
      </w:pPr>
      <w:r>
        <w:rPr/>
      </w:r>
    </w:p>
    <w:p>
      <w:pPr>
        <w:pStyle w:val="TextBody"/>
        <w:bidi w:val="0"/>
        <w:spacing w:lineRule="auto" w:line="288"/>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Regulation of our Industry</w:t>
      </w:r>
    </w:p>
    <w:p>
      <w:pPr>
        <w:pStyle w:val="TextBody"/>
        <w:bidi w:val="0"/>
        <w:spacing w:lineRule="auto" w:line="288"/>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Our business is subject to extensive governmental regulation that makes it expensive and time consuming for us to bring our</w:t>
      </w:r>
      <w:r>
        <w:rPr>
          <w:rFonts w:ascii="times new roman;times" w:hAnsi="times new roman;times"/>
          <w:b/>
          <w:i/>
          <w:sz w:val="20"/>
          <w:shd w:fill="FFFFFF" w:val="clear"/>
        </w:rPr>
        <w:t> prescription</w:t>
      </w:r>
      <w:r>
        <w:rPr>
          <w:rFonts w:ascii="times new roman;times" w:hAnsi="times new roman;times"/>
          <w:b/>
          <w:i/>
          <w:sz w:val="20"/>
        </w:rPr>
        <w:t> gammaCore therapy and our general wellness products, Truvaga and TAC-STIM to market in the United States and to expand the use of our</w:t>
      </w:r>
      <w:r>
        <w:rPr>
          <w:rFonts w:ascii="times new roman;times" w:hAnsi="times new roman;times"/>
          <w:b/>
          <w:i/>
          <w:sz w:val="20"/>
          <w:shd w:fill="FFFFFF" w:val="clear"/>
        </w:rPr>
        <w:t> prescription</w:t>
      </w:r>
      <w:r>
        <w:rPr>
          <w:rFonts w:ascii="times new roman;times" w:hAnsi="times new roman;times"/>
          <w:b/>
          <w:i/>
          <w:sz w:val="20"/>
        </w:rPr>
        <w:t> gammaCore therapy to additional therapeutic indications, and to expand the reach of our general wellness initiatives.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5"/>
        <w:gridCol w:w="191"/>
        <w:gridCol w:w="9879"/>
      </w:tblGrid>
      <w:tr>
        <w:trPr/>
        <w:tc>
          <w:tcPr>
            <w:tcW w:w="135" w:type="dxa"/>
            <w:tcBorders/>
          </w:tcPr>
          <w:p>
            <w:pPr>
              <w:pStyle w:val="TableContents"/>
              <w:bidi w:val="0"/>
              <w:spacing w:before="0" w:after="140"/>
              <w:ind w:left="0" w:right="0" w:hanging="0"/>
              <w:jc w:val="both"/>
              <w:rPr>
                <w:color w:val="000000"/>
              </w:rPr>
            </w:pPr>
            <w:r>
              <w:rPr>
                <w:color w:val="000000"/>
              </w:rPr>
              <w:t xml:space="preserve">  </w:t>
            </w:r>
          </w:p>
        </w:tc>
        <w:tc>
          <w:tcPr>
            <w:tcW w:w="191" w:type="dxa"/>
            <w:tcBorders/>
          </w:tcPr>
          <w:p>
            <w:pPr>
              <w:pStyle w:val="TableContents"/>
              <w:bidi w:val="0"/>
              <w:spacing w:before="0" w:after="0"/>
              <w:ind w:left="0" w:right="0" w:hanging="0"/>
              <w:jc w:val="both"/>
              <w:rPr>
                <w:color w:val="000000"/>
              </w:rPr>
            </w:pPr>
            <w:r>
              <w:rPr>
                <w:color w:val="000000"/>
              </w:rPr>
              <w:t xml:space="preserve">• </w:t>
            </w:r>
          </w:p>
        </w:tc>
        <w:tc>
          <w:tcPr>
            <w:tcW w:w="987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Federal Food, Drug, and Cosmetic Act (FDCA) and the FDA’s implementing regulations (Title 21 CFR);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4"/>
        <w:gridCol w:w="190"/>
        <w:gridCol w:w="9881"/>
      </w:tblGrid>
      <w:tr>
        <w:trPr/>
        <w:tc>
          <w:tcPr>
            <w:tcW w:w="134" w:type="dxa"/>
            <w:tcBorders/>
          </w:tcPr>
          <w:p>
            <w:pPr>
              <w:pStyle w:val="TableContents"/>
              <w:bidi w:val="0"/>
              <w:spacing w:before="0" w:after="0"/>
              <w:ind w:left="0" w:right="0" w:hanging="0"/>
              <w:jc w:val="both"/>
              <w:rPr>
                <w:color w:val="000000"/>
              </w:rPr>
            </w:pPr>
            <w:r>
              <w:rPr>
                <w:color w:val="000000"/>
              </w:rPr>
              <w:t xml:space="preserve">  </w:t>
            </w:r>
          </w:p>
        </w:tc>
        <w:tc>
          <w:tcPr>
            <w:tcW w:w="190" w:type="dxa"/>
            <w:tcBorders/>
          </w:tcPr>
          <w:p>
            <w:pPr>
              <w:pStyle w:val="TableContents"/>
              <w:bidi w:val="0"/>
              <w:spacing w:before="0" w:after="0"/>
              <w:ind w:left="0" w:right="0" w:hanging="0"/>
              <w:jc w:val="both"/>
              <w:rPr>
                <w:color w:val="000000"/>
              </w:rPr>
            </w:pPr>
            <w:r>
              <w:rPr>
                <w:color w:val="000000"/>
              </w:rPr>
              <w:t xml:space="preserve">• </w:t>
            </w:r>
          </w:p>
        </w:tc>
        <w:tc>
          <w:tcPr>
            <w:tcW w:w="988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CE mark requirements of the European Union (or EU) and UKCA mark requirements of the United Kingdom;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0"/>
        <w:gridCol w:w="255"/>
        <w:gridCol w:w="9770"/>
      </w:tblGrid>
      <w:tr>
        <w:trPr/>
        <w:tc>
          <w:tcPr>
            <w:tcW w:w="180" w:type="dxa"/>
            <w:tcBorders/>
          </w:tcPr>
          <w:p>
            <w:pPr>
              <w:pStyle w:val="TableContents"/>
              <w:bidi w:val="0"/>
              <w:spacing w:before="0" w:after="0"/>
              <w:ind w:left="0" w:right="0" w:hanging="0"/>
              <w:jc w:val="both"/>
              <w:rPr>
                <w:color w:val="000000"/>
              </w:rPr>
            </w:pPr>
            <w:r>
              <w:rPr>
                <w:color w:val="000000"/>
              </w:rPr>
              <w:t xml:space="preserve">  </w:t>
            </w:r>
          </w:p>
        </w:tc>
        <w:tc>
          <w:tcPr>
            <w:tcW w:w="255" w:type="dxa"/>
            <w:tcBorders/>
          </w:tcPr>
          <w:p>
            <w:pPr>
              <w:pStyle w:val="TableContents"/>
              <w:bidi w:val="0"/>
              <w:spacing w:before="0" w:after="0"/>
              <w:ind w:left="0" w:right="0" w:hanging="0"/>
              <w:jc w:val="both"/>
              <w:rPr>
                <w:color w:val="000000"/>
              </w:rPr>
            </w:pPr>
            <w:r>
              <w:rPr>
                <w:color w:val="000000"/>
              </w:rPr>
              <w:t xml:space="preserve">• </w:t>
            </w:r>
          </w:p>
        </w:tc>
        <w:tc>
          <w:tcPr>
            <w:tcW w:w="97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Medical Device Quality Management System Requirements (ISO 13485:2016);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3"/>
        <w:gridCol w:w="134"/>
        <w:gridCol w:w="9988"/>
      </w:tblGrid>
      <w:tr>
        <w:trPr/>
        <w:tc>
          <w:tcPr>
            <w:tcW w:w="83" w:type="dxa"/>
            <w:tcBorders/>
          </w:tcPr>
          <w:p>
            <w:pPr>
              <w:pStyle w:val="TableContents"/>
              <w:bidi w:val="0"/>
              <w:spacing w:before="0" w:after="0"/>
              <w:ind w:left="0" w:right="0" w:hanging="0"/>
              <w:jc w:val="both"/>
              <w:rPr>
                <w:color w:val="000000"/>
              </w:rPr>
            </w:pPr>
            <w:r>
              <w:rPr>
                <w:color w:val="000000"/>
              </w:rPr>
              <w:t xml:space="preserve">  </w:t>
            </w:r>
          </w:p>
        </w:tc>
        <w:tc>
          <w:tcPr>
            <w:tcW w:w="134" w:type="dxa"/>
            <w:tcBorders/>
          </w:tcPr>
          <w:p>
            <w:pPr>
              <w:pStyle w:val="TableContents"/>
              <w:bidi w:val="0"/>
              <w:spacing w:before="0" w:after="0"/>
              <w:ind w:left="0" w:right="0" w:hanging="0"/>
              <w:jc w:val="both"/>
              <w:rPr>
                <w:color w:val="000000"/>
              </w:rPr>
            </w:pPr>
            <w:r>
              <w:rPr>
                <w:color w:val="000000"/>
              </w:rPr>
              <w:t xml:space="preserve">• </w:t>
            </w:r>
          </w:p>
        </w:tc>
        <w:tc>
          <w:tcPr>
            <w:tcW w:w="99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Occupational Safety and Health Administration requirements; </w:t>
            </w:r>
          </w:p>
        </w:tc>
      </w:tr>
      <w:tr>
        <w:trPr/>
        <w:tc>
          <w:tcPr>
            <w:tcW w:w="83" w:type="dxa"/>
            <w:tcBorders/>
            <w:vAlign w:val="center"/>
          </w:tcPr>
          <w:p>
            <w:pPr>
              <w:pStyle w:val="TableContents"/>
              <w:bidi w:val="0"/>
              <w:spacing w:before="0" w:after="283"/>
              <w:ind w:left="0" w:right="0" w:hanging="0"/>
              <w:jc w:val="left"/>
              <w:rPr/>
            </w:pPr>
            <w:r>
              <w:rPr/>
            </w:r>
          </w:p>
        </w:tc>
        <w:tc>
          <w:tcPr>
            <w:tcW w:w="13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Federal Trade Commission requirements;</w:t>
            </w:r>
          </w:p>
        </w:tc>
      </w:tr>
      <w:tr>
        <w:trPr/>
        <w:tc>
          <w:tcPr>
            <w:tcW w:w="83" w:type="dxa"/>
            <w:tcBorders/>
            <w:vAlign w:val="center"/>
          </w:tcPr>
          <w:p>
            <w:pPr>
              <w:pStyle w:val="TableContents"/>
              <w:bidi w:val="0"/>
              <w:spacing w:before="0" w:after="283"/>
              <w:ind w:left="0" w:right="0" w:hanging="0"/>
              <w:jc w:val="left"/>
              <w:rPr/>
            </w:pPr>
            <w:r>
              <w:rPr/>
            </w:r>
          </w:p>
        </w:tc>
        <w:tc>
          <w:tcPr>
            <w:tcW w:w="134"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health information privacy and security laws, including the Health Insurance Portability and Accountability Act of 1996, or HIPAA, as amended by the Health Information Technology for Economic and Clinical Health Act of 2009, or HITECH, and comparable state laws; and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3"/>
        <w:gridCol w:w="289"/>
        <w:gridCol w:w="9713"/>
      </w:tblGrid>
      <w:tr>
        <w:trPr/>
        <w:tc>
          <w:tcPr>
            <w:tcW w:w="203" w:type="dxa"/>
            <w:tcBorders/>
          </w:tcPr>
          <w:p>
            <w:pPr>
              <w:pStyle w:val="TableContents"/>
              <w:pBdr/>
              <w:bidi w:val="0"/>
              <w:spacing w:before="0" w:after="0"/>
              <w:ind w:left="0" w:right="0" w:hanging="0"/>
              <w:jc w:val="both"/>
              <w:rPr>
                <w:color w:val="000000"/>
              </w:rPr>
            </w:pPr>
            <w:r>
              <w:rPr>
                <w:color w:val="000000"/>
              </w:rPr>
              <w:t xml:space="preserve">  </w:t>
            </w:r>
          </w:p>
        </w:tc>
        <w:tc>
          <w:tcPr>
            <w:tcW w:w="289" w:type="dxa"/>
            <w:tcBorders/>
          </w:tcPr>
          <w:p>
            <w:pPr>
              <w:pStyle w:val="TableContents"/>
              <w:pBdr/>
              <w:bidi w:val="0"/>
              <w:spacing w:before="0" w:after="0"/>
              <w:ind w:left="0" w:right="0" w:hanging="0"/>
              <w:jc w:val="both"/>
              <w:rPr>
                <w:color w:val="000000"/>
              </w:rPr>
            </w:pPr>
            <w:r>
              <w:rPr>
                <w:color w:val="000000"/>
              </w:rPr>
              <w:t xml:space="preserve">• </w:t>
            </w:r>
          </w:p>
        </w:tc>
        <w:tc>
          <w:tcPr>
            <w:tcW w:w="9713"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State of New Jersey Department of Health Services legal requirements.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Government regulation may impede our ability to conduct clinical trials and manufacture and sell our existing therapy and any future products. Government regulation also could delay our marketing of new products for a considerable period of time and impose costly procedures on our activities. For instance, the FDA and other regulatory agencies may not clear or approve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additional therapeutic areas that we may pursue, on a timely basis, if at all. </w:t>
      </w:r>
      <w:r>
        <w:rPr>
          <w:rFonts w:ascii="Times New Roman;serif" w:hAnsi="Times New Roman;serif"/>
          <w:color w:val="000000"/>
          <w:sz w:val="20"/>
        </w:rPr>
        <w:t>We have recently reduced resources in research and development which may delay our receipt of regulatory approvals for additional indications. </w:t>
      </w:r>
      <w:r>
        <w:rPr>
          <w:rFonts w:ascii="times new roman;times" w:hAnsi="times new roman;times"/>
          <w:color w:val="000000"/>
          <w:sz w:val="20"/>
        </w:rPr>
        <w:t>Any delay in obtaining, or failure to obtain, such clearances or approvals could negatively impact our marketing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impede our ability to bring future products to market. Moreover, any reclassification, redesignation, or new regulatory treatment of our existing general wellness products in light of applicable law, nonbinding recommendations or other inferences resulting from complex legal analysis and interpretation of the existing regulatory framework governing wellness products and their relational position in the larger FDA scheme of enforcement may negatively impact our marketing and other activities in respect to our general wellness and human brands, Truvaga and TAC-STIM, respectively, and other future marketing and other activities in respect to future general wellness business ventures.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Even though 510(k) clearance from the FDA has been received to expand the label for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for several indications,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on our competitive and financial position.</w:t>
      </w:r>
    </w:p>
    <w:p>
      <w:pPr>
        <w:pStyle w:val="TextBody"/>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advertising, marketing, and labeling of medical devices are highly regulated by the FDA and FTC. Our efforts to promote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including via direct-to-consumer marketing or social media initiatives, could subject us to additional scrutiny of our communication of risk information, benefits or claims, by the FDA, FTC, or both agencies. Our general wellness product activity is also subject to similar marketing and promotion risk.</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2009, the FTC promulgated nonbinding Guides Concerning the Use of Endorsements and Testimonials in Advertising (or Endorsement Guides), which explained what endorsement practices the FTC views as being unfair or deceptive acts or practices. In 2020, the FTC sought public comments in connection with informal, notice and comment rulemaking on whether the Endorsement Guides should be amended in various ways. The last time the FTC sought similar public comments led to a major revision of the Endorsement Guides. Consequently, the FTC could bring an enforcement action based on practices that are possibly inconsistent with the current Endorsement Guides as the FTC considers any revisions. Under the current Endorsement Guides, advertisements that feature a consumer and convey his or her atypical experience with a product or service are required to clearly disclose the typical results that consumers can generally expect. We cannot be sure that the FTC will not challenge our advertising or other operations in the future, which could have a material adverse impact on our business.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as a general matter, regulations may change, and any additional regulation could limit or restrict our ability to use any of our technologies, which could harm our business and prospects for growth.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 for an unknown period of time. Compliance obligations under the various domestic and foreign regulations are oftentimes complex and onerous, which contributes to a risk that we could be found to be not compliant with particular requirements. The risk of being found in violation of applicable domestic and foreign regulations, as a consequence of public law-based adjudicatory or other processes (such as administrative law hearings), is further increased by the fact that many of them have not been comprehensively interpreted by regulatory agencies or judicial authorities, particularly with respect to new and emerging technologies, and regulatory provisions are typically open to various interpretations and possible juridical doctrines in certain jurisdictions that imbue greater authority to interpret the law to regulatory authorities under certain conditions or standards.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significant developments in the FDA or foreign regulatory approval standards and processes, including both legal and policy changes, could also delay, or preclude, the clearance or approval of our products submitted for review. For example, in the United States, as part of the 21</w:t>
      </w:r>
      <w:r>
        <w:rPr>
          <w:rFonts w:ascii="times new roman;times" w:hAnsi="times new roman;times"/>
          <w:color w:val="000000"/>
          <w:position w:val="6"/>
          <w:sz w:val="14"/>
          <w:sz w:val="18"/>
        </w:rPr>
        <w:t>st</w:t>
      </w:r>
      <w:r>
        <w:rPr>
          <w:rFonts w:ascii="times new roman;times" w:hAnsi="times new roman;times"/>
          <w:color w:val="000000"/>
          <w:sz w:val="20"/>
        </w:rPr>
        <w:t xml:space="preserve"> Century Cures Act passed in 2016, Congress enacted several reforms that affect medical device regulation both pre- and post-approval, and FDA implementation and development of guidance in many areas are ongoing. In August 2017, Congress enacted the FDA Reauthorization Act of 2017 (or FDARA), which reauthorized the FDA to collect device user fees, including a new user fee for de novo classification requests, and contained substantive amendments to the device provisions of the FDCA. Among other changes, FDARA mandated that the FDA update and revise its processes for scheduling inspections of device establishments, communicating about those inspections with manufacturers, and providing feedback on the manufacturer’s responses to Form 483s. The statute also mandated that the FDA study the impact of device servicing, including third-party services, and created a new process for device sponsors to request classification of accessory devices as part of the PMA application for the parent device or to request a separate classification of accessory devices. In addition, the FDA is reportedly in the process of reviewing the 510(k) approval process and criteria and has announced initiatives to improve the current pre- and post-market regulatory processes and requirements associated with infusion pumps and other home-use medical devices, for instance, and, as part of such review efforts, the FDA is evaluating adverse event reporting and recall processes for insulin pumps.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Generally, any change in the laws or regulations that govern the clearance and approval processes relating to our current and future products could make it more difficult and costly to obtain clearance or approval for new products, or to produce, market, and distribute existing products. The data contained in our submissions, including data drawn from our clinical trials, may not be sufficient to support clearance or approval of our products or additional or expanded indications. Medical device company stock prices have declined significantly in certain circumstances where companies have failed to meet expectations in regard to the timing of regulatory approval. If the FDA’s response causes product approval delays, or is not favorable for any of our products, our stock price could decline substantially. It is uncertain how potential changes to FDA regulatory approval standards and processes may impact our ability to gain clearance or approval from FDA for our products in the future.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ind w:left="0" w:right="0" w:hanging="0"/>
        <w:jc w:val="left"/>
        <w:rPr>
          <w:rFonts w:ascii="times new roman;times" w:hAnsi="times new roman;times"/>
          <w:b/>
          <w:i/>
          <w:sz w:val="20"/>
        </w:rPr>
      </w:pPr>
      <w:r>
        <w:rPr>
          <w:rFonts w:ascii="times new roman;times" w:hAnsi="times new roman;times"/>
          <w:b/>
          <w:i/>
          <w:sz w:val="20"/>
        </w:rPr>
        <w:t>Our future success in part depends on our ability to develop, receive regulatory clearance or approval for, and introduce new products or product enhancements that will be accepted by the market in a timely manner.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payors who financially support many of the procedures performed with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success of any new product offering or enhancement to an existing product will depend on a number of factors, including our ability to:</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14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identify and anticipate physician and patient needs properly;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4"/>
        <w:gridCol w:w="247"/>
        <w:gridCol w:w="9784"/>
      </w:tblGrid>
      <w:tr>
        <w:trPr/>
        <w:tc>
          <w:tcPr>
            <w:tcW w:w="174" w:type="dxa"/>
            <w:tcBorders/>
          </w:tcPr>
          <w:p>
            <w:pPr>
              <w:pStyle w:val="TableContents"/>
              <w:bidi w:val="0"/>
              <w:spacing w:before="0" w:after="0"/>
              <w:ind w:left="0" w:right="0" w:hanging="0"/>
              <w:jc w:val="both"/>
              <w:rPr>
                <w:color w:val="000000"/>
              </w:rPr>
            </w:pPr>
            <w:r>
              <w:rPr>
                <w:color w:val="000000"/>
              </w:rPr>
              <w:t xml:space="preserve">  </w:t>
            </w:r>
          </w:p>
        </w:tc>
        <w:tc>
          <w:tcPr>
            <w:tcW w:w="247" w:type="dxa"/>
            <w:tcBorders/>
          </w:tcPr>
          <w:p>
            <w:pPr>
              <w:pStyle w:val="TableContents"/>
              <w:bidi w:val="0"/>
              <w:spacing w:before="0" w:after="0"/>
              <w:ind w:left="0" w:right="0" w:hanging="0"/>
              <w:jc w:val="both"/>
              <w:rPr>
                <w:color w:val="000000"/>
              </w:rPr>
            </w:pPr>
            <w:r>
              <w:rPr>
                <w:color w:val="000000"/>
              </w:rPr>
              <w:t xml:space="preserve">• </w:t>
            </w:r>
          </w:p>
        </w:tc>
        <w:tc>
          <w:tcPr>
            <w:tcW w:w="97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develop and introduce new products or product enhancements in a timely manner;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5"/>
        <w:gridCol w:w="290"/>
        <w:gridCol w:w="9710"/>
      </w:tblGrid>
      <w:tr>
        <w:trPr/>
        <w:tc>
          <w:tcPr>
            <w:tcW w:w="205" w:type="dxa"/>
            <w:tcBorders/>
          </w:tcPr>
          <w:p>
            <w:pPr>
              <w:pStyle w:val="TableContents"/>
              <w:bidi w:val="0"/>
              <w:spacing w:before="0" w:after="0"/>
              <w:ind w:left="0" w:right="0" w:hanging="0"/>
              <w:jc w:val="both"/>
              <w:rPr>
                <w:color w:val="000000"/>
              </w:rPr>
            </w:pPr>
            <w:r>
              <w:rPr>
                <w:color w:val="000000"/>
              </w:rPr>
              <w:t xml:space="preserve">  </w:t>
            </w:r>
          </w:p>
        </w:tc>
        <w:tc>
          <w:tcPr>
            <w:tcW w:w="290" w:type="dxa"/>
            <w:tcBorders/>
          </w:tcPr>
          <w:p>
            <w:pPr>
              <w:pStyle w:val="TableContents"/>
              <w:bidi w:val="0"/>
              <w:spacing w:before="0" w:after="0"/>
              <w:ind w:left="0" w:right="0" w:hanging="0"/>
              <w:jc w:val="both"/>
              <w:rPr>
                <w:color w:val="000000"/>
              </w:rPr>
            </w:pPr>
            <w:r>
              <w:rPr>
                <w:color w:val="000000"/>
              </w:rPr>
              <w:t xml:space="preserve">• </w:t>
            </w:r>
          </w:p>
        </w:tc>
        <w:tc>
          <w:tcPr>
            <w:tcW w:w="97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avoid infringing upon the intellectual property rights of third parties;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1"/>
        <w:gridCol w:w="186"/>
        <w:gridCol w:w="9888"/>
      </w:tblGrid>
      <w:tr>
        <w:trPr/>
        <w:tc>
          <w:tcPr>
            <w:tcW w:w="131" w:type="dxa"/>
            <w:tcBorders/>
          </w:tcPr>
          <w:p>
            <w:pPr>
              <w:pStyle w:val="TableContents"/>
              <w:bidi w:val="0"/>
              <w:spacing w:before="0" w:after="0"/>
              <w:ind w:left="0" w:right="0" w:hanging="0"/>
              <w:jc w:val="both"/>
              <w:rPr>
                <w:color w:val="000000"/>
              </w:rPr>
            </w:pPr>
            <w:r>
              <w:rPr>
                <w:color w:val="000000"/>
              </w:rPr>
              <w:t xml:space="preserve">  </w:t>
            </w:r>
          </w:p>
        </w:tc>
        <w:tc>
          <w:tcPr>
            <w:tcW w:w="186" w:type="dxa"/>
            <w:tcBorders/>
          </w:tcPr>
          <w:p>
            <w:pPr>
              <w:pStyle w:val="TableContents"/>
              <w:bidi w:val="0"/>
              <w:spacing w:before="0" w:after="0"/>
              <w:ind w:left="0" w:right="0" w:hanging="0"/>
              <w:jc w:val="both"/>
              <w:rPr>
                <w:color w:val="000000"/>
              </w:rPr>
            </w:pPr>
            <w:r>
              <w:rPr>
                <w:color w:val="000000"/>
              </w:rPr>
              <w:t xml:space="preserve">• </w:t>
            </w:r>
          </w:p>
        </w:tc>
        <w:tc>
          <w:tcPr>
            <w:tcW w:w="98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demonstrate, if required, the safety and efficacy of new products with data from preclinical and clinical studies;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6"/>
        <w:gridCol w:w="207"/>
        <w:gridCol w:w="9852"/>
      </w:tblGrid>
      <w:tr>
        <w:trPr/>
        <w:tc>
          <w:tcPr>
            <w:tcW w:w="146" w:type="dxa"/>
            <w:tcBorders/>
          </w:tcPr>
          <w:p>
            <w:pPr>
              <w:pStyle w:val="TableContents"/>
              <w:bidi w:val="0"/>
              <w:spacing w:before="0" w:after="0"/>
              <w:ind w:left="0" w:right="0" w:hanging="0"/>
              <w:jc w:val="both"/>
              <w:rPr>
                <w:color w:val="000000"/>
              </w:rPr>
            </w:pPr>
            <w:r>
              <w:rPr>
                <w:color w:val="000000"/>
              </w:rPr>
              <w:t xml:space="preserve">  </w:t>
            </w:r>
          </w:p>
        </w:tc>
        <w:tc>
          <w:tcPr>
            <w:tcW w:w="207" w:type="dxa"/>
            <w:tcBorders/>
          </w:tcPr>
          <w:p>
            <w:pPr>
              <w:pStyle w:val="TableContents"/>
              <w:bidi w:val="0"/>
              <w:spacing w:before="0" w:after="0"/>
              <w:ind w:left="0" w:right="0" w:hanging="0"/>
              <w:jc w:val="both"/>
              <w:rPr>
                <w:color w:val="000000"/>
              </w:rPr>
            </w:pPr>
            <w:r>
              <w:rPr>
                <w:color w:val="000000"/>
              </w:rPr>
              <w:t xml:space="preserve">• </w:t>
            </w:r>
          </w:p>
        </w:tc>
        <w:tc>
          <w:tcPr>
            <w:tcW w:w="985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obtain the necessary regulatory clearances or approvals for new products or product enhancements;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6"/>
        <w:gridCol w:w="208"/>
        <w:gridCol w:w="9851"/>
      </w:tblGrid>
      <w:tr>
        <w:trPr/>
        <w:tc>
          <w:tcPr>
            <w:tcW w:w="146" w:type="dxa"/>
            <w:tcBorders/>
          </w:tcPr>
          <w:p>
            <w:pPr>
              <w:pStyle w:val="TableContents"/>
              <w:bidi w:val="0"/>
              <w:spacing w:before="0" w:after="0"/>
              <w:ind w:left="0" w:right="0" w:hanging="0"/>
              <w:jc w:val="both"/>
              <w:rPr>
                <w:color w:val="000000"/>
              </w:rPr>
            </w:pPr>
            <w:r>
              <w:rPr>
                <w:color w:val="000000"/>
              </w:rPr>
              <w:t xml:space="preserve">  </w:t>
            </w:r>
          </w:p>
        </w:tc>
        <w:tc>
          <w:tcPr>
            <w:tcW w:w="208" w:type="dxa"/>
            <w:tcBorders/>
          </w:tcPr>
          <w:p>
            <w:pPr>
              <w:pStyle w:val="TableContents"/>
              <w:bidi w:val="0"/>
              <w:spacing w:before="0" w:after="0"/>
              <w:ind w:left="0" w:right="0" w:hanging="0"/>
              <w:jc w:val="both"/>
              <w:rPr>
                <w:color w:val="000000"/>
              </w:rPr>
            </w:pPr>
            <w:r>
              <w:rPr>
                <w:color w:val="000000"/>
              </w:rPr>
              <w:t xml:space="preserve">• </w:t>
            </w:r>
          </w:p>
        </w:tc>
        <w:tc>
          <w:tcPr>
            <w:tcW w:w="985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comply fully with FDA and foreign regulations on marketing of new devices or modified products;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19"/>
        <w:gridCol w:w="311"/>
        <w:gridCol w:w="9675"/>
      </w:tblGrid>
      <w:tr>
        <w:trPr/>
        <w:tc>
          <w:tcPr>
            <w:tcW w:w="219" w:type="dxa"/>
            <w:tcBorders/>
          </w:tcPr>
          <w:p>
            <w:pPr>
              <w:pStyle w:val="TableContents"/>
              <w:bidi w:val="0"/>
              <w:spacing w:before="0" w:after="0"/>
              <w:ind w:left="0" w:right="0" w:hanging="0"/>
              <w:jc w:val="both"/>
              <w:rPr>
                <w:color w:val="000000"/>
              </w:rPr>
            </w:pPr>
            <w:r>
              <w:rPr>
                <w:color w:val="000000"/>
              </w:rPr>
              <w:t xml:space="preserve">  </w:t>
            </w:r>
          </w:p>
        </w:tc>
        <w:tc>
          <w:tcPr>
            <w:tcW w:w="311" w:type="dxa"/>
            <w:tcBorders/>
          </w:tcPr>
          <w:p>
            <w:pPr>
              <w:pStyle w:val="TableContents"/>
              <w:bidi w:val="0"/>
              <w:spacing w:before="0" w:after="0"/>
              <w:ind w:left="0" w:right="0" w:hanging="0"/>
              <w:jc w:val="both"/>
              <w:rPr>
                <w:color w:val="000000"/>
              </w:rPr>
            </w:pPr>
            <w:r>
              <w:rPr>
                <w:color w:val="000000"/>
              </w:rPr>
              <w:t xml:space="preserve">• </w:t>
            </w:r>
          </w:p>
        </w:tc>
        <w:tc>
          <w:tcPr>
            <w:tcW w:w="967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provide adequate training to potential users of our products;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9"/>
        <w:gridCol w:w="226"/>
        <w:gridCol w:w="9820"/>
      </w:tblGrid>
      <w:tr>
        <w:trPr/>
        <w:tc>
          <w:tcPr>
            <w:tcW w:w="159" w:type="dxa"/>
            <w:tcBorders/>
          </w:tcPr>
          <w:p>
            <w:pPr>
              <w:pStyle w:val="TableContents"/>
              <w:bidi w:val="0"/>
              <w:spacing w:before="0" w:after="0"/>
              <w:ind w:left="0" w:right="0" w:hanging="0"/>
              <w:jc w:val="both"/>
              <w:rPr>
                <w:color w:val="000000"/>
              </w:rPr>
            </w:pPr>
            <w:r>
              <w:rPr>
                <w:color w:val="000000"/>
              </w:rPr>
              <w:t xml:space="preserve">  </w:t>
            </w:r>
          </w:p>
        </w:tc>
        <w:tc>
          <w:tcPr>
            <w:tcW w:w="226" w:type="dxa"/>
            <w:tcBorders/>
          </w:tcPr>
          <w:p>
            <w:pPr>
              <w:pStyle w:val="TableContents"/>
              <w:bidi w:val="0"/>
              <w:spacing w:before="0" w:after="0"/>
              <w:ind w:left="0" w:right="0" w:hanging="0"/>
              <w:jc w:val="both"/>
              <w:rPr>
                <w:color w:val="000000"/>
              </w:rPr>
            </w:pPr>
            <w:r>
              <w:rPr>
                <w:color w:val="000000"/>
              </w:rPr>
              <w:t xml:space="preserve">• </w:t>
            </w:r>
          </w:p>
        </w:tc>
        <w:tc>
          <w:tcPr>
            <w:tcW w:w="9820" w:type="dxa"/>
            <w:tcBorders/>
          </w:tcPr>
          <w:p>
            <w:pPr>
              <w:pStyle w:val="TableContents"/>
              <w:bidi w:val="0"/>
              <w:spacing w:before="0" w:after="140"/>
              <w:ind w:left="0" w:right="0" w:hanging="0"/>
              <w:jc w:val="both"/>
              <w:rPr>
                <w:rFonts w:ascii="times new roman;times" w:hAnsi="times new roman;times"/>
                <w:color w:val="000000"/>
                <w:sz w:val="20"/>
              </w:rPr>
            </w:pPr>
            <w:r>
              <w:rPr>
                <w:rFonts w:ascii="times new roman;times" w:hAnsi="times new roman;times"/>
                <w:color w:val="000000"/>
                <w:sz w:val="20"/>
              </w:rPr>
              <w:t xml:space="preserve">receive adequate coverage and reimbursement for procedures performed with our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gammaCore is subject to extensive governmental regulation, and our failure to comply with applicable requirements could cause our business to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FTC, and other U.S., EEA, and foreign governmental agencies and authorities regulate and oversee, among other things, with respect to medical devices: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8"/>
        <w:gridCol w:w="465"/>
        <w:gridCol w:w="9412"/>
      </w:tblGrid>
      <w:tr>
        <w:trPr/>
        <w:tc>
          <w:tcPr>
            <w:tcW w:w="328" w:type="dxa"/>
            <w:tcBorders/>
          </w:tcPr>
          <w:p>
            <w:pPr>
              <w:pStyle w:val="TableContents"/>
              <w:pBdr/>
              <w:bidi w:val="0"/>
              <w:spacing w:before="0" w:after="140"/>
              <w:ind w:left="0" w:right="0" w:hanging="0"/>
              <w:jc w:val="both"/>
              <w:rPr>
                <w:color w:val="000000"/>
              </w:rPr>
            </w:pPr>
            <w:r>
              <w:rPr>
                <w:color w:val="000000"/>
              </w:rPr>
              <w:t xml:space="preserve">  </w:t>
            </w:r>
          </w:p>
        </w:tc>
        <w:tc>
          <w:tcPr>
            <w:tcW w:w="465" w:type="dxa"/>
            <w:tcBorders/>
          </w:tcPr>
          <w:p>
            <w:pPr>
              <w:pStyle w:val="TableContents"/>
              <w:pBdr/>
              <w:bidi w:val="0"/>
              <w:spacing w:before="0" w:after="0"/>
              <w:ind w:left="0" w:right="0" w:hanging="0"/>
              <w:jc w:val="both"/>
              <w:rPr>
                <w:color w:val="000000"/>
              </w:rPr>
            </w:pPr>
            <w:r>
              <w:rPr>
                <w:color w:val="000000"/>
              </w:rPr>
              <w:t xml:space="preserve">• </w:t>
            </w:r>
          </w:p>
        </w:tc>
        <w:tc>
          <w:tcPr>
            <w:tcW w:w="941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design, development, and manufacturing;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2"/>
        <w:gridCol w:w="273"/>
        <w:gridCol w:w="9740"/>
      </w:tblGrid>
      <w:tr>
        <w:trPr/>
        <w:tc>
          <w:tcPr>
            <w:tcW w:w="192" w:type="dxa"/>
            <w:tcBorders/>
          </w:tcPr>
          <w:p>
            <w:pPr>
              <w:pStyle w:val="TableContents"/>
              <w:pBdr/>
              <w:bidi w:val="0"/>
              <w:spacing w:before="0" w:after="0"/>
              <w:ind w:left="0" w:right="0" w:hanging="0"/>
              <w:jc w:val="both"/>
              <w:rPr>
                <w:color w:val="000000"/>
              </w:rPr>
            </w:pPr>
            <w:r>
              <w:rPr>
                <w:color w:val="000000"/>
              </w:rPr>
              <w:t xml:space="preserve">  </w:t>
            </w:r>
          </w:p>
        </w:tc>
        <w:tc>
          <w:tcPr>
            <w:tcW w:w="273" w:type="dxa"/>
            <w:tcBorders/>
          </w:tcPr>
          <w:p>
            <w:pPr>
              <w:pStyle w:val="TableContents"/>
              <w:pBdr/>
              <w:bidi w:val="0"/>
              <w:spacing w:before="0" w:after="0"/>
              <w:ind w:left="0" w:right="0" w:hanging="0"/>
              <w:jc w:val="both"/>
              <w:rPr>
                <w:color w:val="000000"/>
              </w:rPr>
            </w:pPr>
            <w:r>
              <w:rPr>
                <w:color w:val="000000"/>
              </w:rPr>
              <w:t xml:space="preserve">• </w:t>
            </w:r>
          </w:p>
        </w:tc>
        <w:tc>
          <w:tcPr>
            <w:tcW w:w="9740"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testing, labeling, content and language of instructions for use and storage;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7"/>
        <w:gridCol w:w="1172"/>
        <w:gridCol w:w="8206"/>
      </w:tblGrid>
      <w:tr>
        <w:trPr/>
        <w:tc>
          <w:tcPr>
            <w:tcW w:w="827" w:type="dxa"/>
            <w:tcBorders/>
          </w:tcPr>
          <w:p>
            <w:pPr>
              <w:pStyle w:val="TableContents"/>
              <w:pBdr/>
              <w:bidi w:val="0"/>
              <w:spacing w:before="0" w:after="0"/>
              <w:ind w:left="0" w:right="0" w:hanging="0"/>
              <w:jc w:val="both"/>
              <w:rPr>
                <w:color w:val="000000"/>
              </w:rPr>
            </w:pPr>
            <w:r>
              <w:rPr>
                <w:color w:val="000000"/>
              </w:rPr>
              <w:t xml:space="preserve">  </w:t>
            </w:r>
          </w:p>
        </w:tc>
        <w:tc>
          <w:tcPr>
            <w:tcW w:w="1172" w:type="dxa"/>
            <w:tcBorders/>
          </w:tcPr>
          <w:p>
            <w:pPr>
              <w:pStyle w:val="TableContents"/>
              <w:pBdr/>
              <w:bidi w:val="0"/>
              <w:spacing w:before="0" w:after="0"/>
              <w:ind w:left="0" w:right="0" w:hanging="0"/>
              <w:jc w:val="both"/>
              <w:rPr>
                <w:color w:val="000000"/>
              </w:rPr>
            </w:pPr>
            <w:r>
              <w:rPr>
                <w:color w:val="000000"/>
              </w:rPr>
              <w:t xml:space="preserve">• </w:t>
            </w:r>
          </w:p>
        </w:tc>
        <w:tc>
          <w:tcPr>
            <w:tcW w:w="820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clinical trials;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0"/>
        <w:gridCol w:w="1104"/>
        <w:gridCol w:w="8321"/>
      </w:tblGrid>
      <w:tr>
        <w:trPr/>
        <w:tc>
          <w:tcPr>
            <w:tcW w:w="780" w:type="dxa"/>
            <w:tcBorders/>
          </w:tcPr>
          <w:p>
            <w:pPr>
              <w:pStyle w:val="TableContents"/>
              <w:pBdr/>
              <w:bidi w:val="0"/>
              <w:spacing w:before="0" w:after="0"/>
              <w:ind w:left="0" w:right="0" w:hanging="0"/>
              <w:jc w:val="both"/>
              <w:rPr>
                <w:color w:val="000000"/>
              </w:rPr>
            </w:pPr>
            <w:r>
              <w:rPr>
                <w:color w:val="000000"/>
              </w:rPr>
              <w:t xml:space="preserve">  </w:t>
            </w:r>
          </w:p>
        </w:tc>
        <w:tc>
          <w:tcPr>
            <w:tcW w:w="1104" w:type="dxa"/>
            <w:tcBorders/>
          </w:tcPr>
          <w:p>
            <w:pPr>
              <w:pStyle w:val="TableContents"/>
              <w:pBdr/>
              <w:bidi w:val="0"/>
              <w:spacing w:before="0" w:after="0"/>
              <w:ind w:left="0" w:right="0" w:hanging="0"/>
              <w:jc w:val="both"/>
              <w:rPr>
                <w:color w:val="000000"/>
              </w:rPr>
            </w:pPr>
            <w:r>
              <w:rPr>
                <w:color w:val="000000"/>
              </w:rPr>
              <w:t xml:space="preserve">• </w:t>
            </w:r>
          </w:p>
        </w:tc>
        <w:tc>
          <w:tcPr>
            <w:tcW w:w="8321"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product safety;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93"/>
        <w:gridCol w:w="556"/>
        <w:gridCol w:w="9256"/>
      </w:tblGrid>
      <w:tr>
        <w:trPr/>
        <w:tc>
          <w:tcPr>
            <w:tcW w:w="393" w:type="dxa"/>
            <w:tcBorders/>
          </w:tcPr>
          <w:p>
            <w:pPr>
              <w:pStyle w:val="TableContents"/>
              <w:pBdr/>
              <w:bidi w:val="0"/>
              <w:spacing w:before="0" w:after="0"/>
              <w:ind w:left="0" w:right="0" w:hanging="0"/>
              <w:jc w:val="both"/>
              <w:rPr>
                <w:color w:val="000000"/>
              </w:rPr>
            </w:pPr>
            <w:r>
              <w:rPr>
                <w:color w:val="000000"/>
              </w:rPr>
              <w:t xml:space="preserve">  </w:t>
            </w:r>
          </w:p>
        </w:tc>
        <w:tc>
          <w:tcPr>
            <w:tcW w:w="556" w:type="dxa"/>
            <w:tcBorders/>
          </w:tcPr>
          <w:p>
            <w:pPr>
              <w:pStyle w:val="TableContents"/>
              <w:pBdr/>
              <w:bidi w:val="0"/>
              <w:spacing w:before="0" w:after="0"/>
              <w:ind w:left="0" w:right="0" w:hanging="0"/>
              <w:jc w:val="both"/>
              <w:rPr>
                <w:color w:val="000000"/>
              </w:rPr>
            </w:pPr>
            <w:r>
              <w:rPr>
                <w:color w:val="000000"/>
              </w:rPr>
              <w:t xml:space="preserve">• </w:t>
            </w:r>
          </w:p>
        </w:tc>
        <w:tc>
          <w:tcPr>
            <w:tcW w:w="92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risk assessment, and management;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98"/>
        <w:gridCol w:w="565"/>
        <w:gridCol w:w="9242"/>
      </w:tblGrid>
      <w:tr>
        <w:trPr/>
        <w:tc>
          <w:tcPr>
            <w:tcW w:w="398" w:type="dxa"/>
            <w:tcBorders/>
          </w:tcPr>
          <w:p>
            <w:pPr>
              <w:pStyle w:val="TableContents"/>
              <w:pBdr/>
              <w:bidi w:val="0"/>
              <w:spacing w:before="0" w:after="0"/>
              <w:ind w:left="0" w:right="0" w:hanging="0"/>
              <w:jc w:val="both"/>
              <w:rPr>
                <w:color w:val="000000"/>
              </w:rPr>
            </w:pPr>
            <w:r>
              <w:rPr>
                <w:color w:val="000000"/>
              </w:rPr>
              <w:t xml:space="preserve">  </w:t>
            </w:r>
          </w:p>
        </w:tc>
        <w:tc>
          <w:tcPr>
            <w:tcW w:w="565" w:type="dxa"/>
            <w:tcBorders/>
          </w:tcPr>
          <w:p>
            <w:pPr>
              <w:pStyle w:val="TableContents"/>
              <w:pBdr/>
              <w:bidi w:val="0"/>
              <w:spacing w:before="0" w:after="0"/>
              <w:ind w:left="0" w:right="0" w:hanging="0"/>
              <w:jc w:val="both"/>
              <w:rPr>
                <w:color w:val="000000"/>
              </w:rPr>
            </w:pPr>
            <w:r>
              <w:rPr>
                <w:color w:val="000000"/>
              </w:rPr>
              <w:t xml:space="preserve">• </w:t>
            </w:r>
          </w:p>
        </w:tc>
        <w:tc>
          <w:tcPr>
            <w:tcW w:w="924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marketing, sales and distribution;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9"/>
        <w:gridCol w:w="424"/>
        <w:gridCol w:w="9482"/>
      </w:tblGrid>
      <w:tr>
        <w:trPr/>
        <w:tc>
          <w:tcPr>
            <w:tcW w:w="299" w:type="dxa"/>
            <w:tcBorders/>
          </w:tcPr>
          <w:p>
            <w:pPr>
              <w:pStyle w:val="TableContents"/>
              <w:pBdr/>
              <w:bidi w:val="0"/>
              <w:spacing w:before="0" w:after="0"/>
              <w:ind w:left="0" w:right="0" w:hanging="0"/>
              <w:jc w:val="both"/>
              <w:rPr>
                <w:color w:val="000000"/>
              </w:rPr>
            </w:pPr>
            <w:r>
              <w:rPr>
                <w:color w:val="000000"/>
              </w:rPr>
              <w:t xml:space="preserve">  </w:t>
            </w:r>
          </w:p>
        </w:tc>
        <w:tc>
          <w:tcPr>
            <w:tcW w:w="424" w:type="dxa"/>
            <w:tcBorders/>
          </w:tcPr>
          <w:p>
            <w:pPr>
              <w:pStyle w:val="TableContents"/>
              <w:pBdr/>
              <w:bidi w:val="0"/>
              <w:spacing w:before="0" w:after="0"/>
              <w:ind w:left="0" w:right="0" w:hanging="0"/>
              <w:jc w:val="both"/>
              <w:rPr>
                <w:color w:val="000000"/>
              </w:rPr>
            </w:pPr>
            <w:r>
              <w:rPr>
                <w:color w:val="000000"/>
              </w:rPr>
              <w:t xml:space="preserve">• </w:t>
            </w:r>
          </w:p>
        </w:tc>
        <w:tc>
          <w:tcPr>
            <w:tcW w:w="948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pre-market regulatory clearance and approval;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85"/>
        <w:gridCol w:w="546"/>
        <w:gridCol w:w="9274"/>
      </w:tblGrid>
      <w:tr>
        <w:trPr/>
        <w:tc>
          <w:tcPr>
            <w:tcW w:w="385" w:type="dxa"/>
            <w:tcBorders/>
          </w:tcPr>
          <w:p>
            <w:pPr>
              <w:pStyle w:val="TableContents"/>
              <w:pBdr/>
              <w:bidi w:val="0"/>
              <w:spacing w:before="0" w:after="0"/>
              <w:ind w:left="0" w:right="0" w:hanging="0"/>
              <w:jc w:val="both"/>
              <w:rPr>
                <w:color w:val="000000"/>
              </w:rPr>
            </w:pPr>
            <w:r>
              <w:rPr>
                <w:color w:val="000000"/>
              </w:rPr>
              <w:t xml:space="preserve">  </w:t>
            </w:r>
          </w:p>
        </w:tc>
        <w:tc>
          <w:tcPr>
            <w:tcW w:w="546" w:type="dxa"/>
            <w:tcBorders/>
          </w:tcPr>
          <w:p>
            <w:pPr>
              <w:pStyle w:val="TableContents"/>
              <w:pBdr/>
              <w:bidi w:val="0"/>
              <w:spacing w:before="0" w:after="0"/>
              <w:ind w:left="0" w:right="0" w:hanging="0"/>
              <w:jc w:val="both"/>
              <w:rPr>
                <w:color w:val="000000"/>
              </w:rPr>
            </w:pPr>
            <w:r>
              <w:rPr>
                <w:color w:val="000000"/>
              </w:rPr>
              <w:t xml:space="preserve">• </w:t>
            </w:r>
          </w:p>
        </w:tc>
        <w:tc>
          <w:tcPr>
            <w:tcW w:w="9274"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conformity assessment procedures;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75"/>
        <w:gridCol w:w="674"/>
        <w:gridCol w:w="9056"/>
      </w:tblGrid>
      <w:tr>
        <w:trPr/>
        <w:tc>
          <w:tcPr>
            <w:tcW w:w="475" w:type="dxa"/>
            <w:tcBorders/>
          </w:tcPr>
          <w:p>
            <w:pPr>
              <w:pStyle w:val="TableContents"/>
              <w:pBdr/>
              <w:bidi w:val="0"/>
              <w:spacing w:before="0" w:after="0"/>
              <w:ind w:left="0" w:right="0" w:hanging="0"/>
              <w:jc w:val="both"/>
              <w:rPr>
                <w:color w:val="000000"/>
              </w:rPr>
            </w:pPr>
            <w:r>
              <w:rPr>
                <w:color w:val="000000"/>
              </w:rPr>
              <w:t xml:space="preserve">  </w:t>
            </w:r>
          </w:p>
        </w:tc>
        <w:tc>
          <w:tcPr>
            <w:tcW w:w="674" w:type="dxa"/>
            <w:tcBorders/>
          </w:tcPr>
          <w:p>
            <w:pPr>
              <w:pStyle w:val="TableContents"/>
              <w:pBdr/>
              <w:bidi w:val="0"/>
              <w:spacing w:before="0" w:after="0"/>
              <w:ind w:left="0" w:right="0" w:hanging="0"/>
              <w:jc w:val="both"/>
              <w:rPr>
                <w:color w:val="000000"/>
              </w:rPr>
            </w:pPr>
            <w:r>
              <w:rPr>
                <w:color w:val="000000"/>
              </w:rPr>
              <w:t xml:space="preserve">• </w:t>
            </w:r>
          </w:p>
        </w:tc>
        <w:tc>
          <w:tcPr>
            <w:tcW w:w="90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record-keeping procedures;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75"/>
        <w:gridCol w:w="674"/>
        <w:gridCol w:w="9056"/>
      </w:tblGrid>
      <w:tr>
        <w:trPr/>
        <w:tc>
          <w:tcPr>
            <w:tcW w:w="475" w:type="dxa"/>
            <w:tcBorders/>
          </w:tcPr>
          <w:p>
            <w:pPr>
              <w:pStyle w:val="TableContents"/>
              <w:pBdr/>
              <w:bidi w:val="0"/>
              <w:spacing w:before="0" w:after="0"/>
              <w:ind w:left="0" w:right="0" w:hanging="0"/>
              <w:jc w:val="both"/>
              <w:rPr>
                <w:color w:val="000000"/>
              </w:rPr>
            </w:pPr>
            <w:r>
              <w:rPr>
                <w:color w:val="000000"/>
              </w:rPr>
              <w:t xml:space="preserve">  </w:t>
            </w:r>
          </w:p>
        </w:tc>
        <w:tc>
          <w:tcPr>
            <w:tcW w:w="674" w:type="dxa"/>
            <w:tcBorders/>
          </w:tcPr>
          <w:p>
            <w:pPr>
              <w:pStyle w:val="TableContents"/>
              <w:pBdr/>
              <w:bidi w:val="0"/>
              <w:spacing w:before="0" w:after="0"/>
              <w:ind w:left="0" w:right="0" w:hanging="0"/>
              <w:jc w:val="both"/>
              <w:rPr>
                <w:color w:val="000000"/>
              </w:rPr>
            </w:pPr>
            <w:r>
              <w:rPr>
                <w:color w:val="000000"/>
              </w:rPr>
              <w:t xml:space="preserve">• </w:t>
            </w:r>
          </w:p>
        </w:tc>
        <w:tc>
          <w:tcPr>
            <w:tcW w:w="90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advertising and promotion;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pBdr/>
              <w:bidi w:val="0"/>
              <w:spacing w:before="0" w:after="0"/>
              <w:ind w:left="0" w:right="0" w:hanging="0"/>
              <w:jc w:val="both"/>
              <w:rPr>
                <w:color w:val="000000"/>
              </w:rPr>
            </w:pPr>
            <w:r>
              <w:rPr>
                <w:color w:val="000000"/>
              </w:rPr>
              <w:t xml:space="preserve">  </w:t>
            </w:r>
          </w:p>
        </w:tc>
        <w:tc>
          <w:tcPr>
            <w:tcW w:w="136" w:type="dxa"/>
            <w:tcBorders/>
          </w:tcPr>
          <w:p>
            <w:pPr>
              <w:pStyle w:val="TableContents"/>
              <w:pBdr/>
              <w:bidi w:val="0"/>
              <w:spacing w:before="0" w:after="0"/>
              <w:ind w:left="0" w:right="0" w:hanging="0"/>
              <w:jc w:val="both"/>
              <w:rPr>
                <w:color w:val="000000"/>
              </w:rPr>
            </w:pPr>
            <w:r>
              <w:rPr>
                <w:color w:val="000000"/>
              </w:rPr>
              <w:t xml:space="preserve">• </w:t>
            </w:r>
          </w:p>
        </w:tc>
        <w:tc>
          <w:tcPr>
            <w:tcW w:w="998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recalls and other field safety corrective actions, and in the case of the FDA, for example, if the FDA subsequently determines that a report was required for such recall or other field correction action that was not submitted, any subsequent related enforcement actions;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pBdr/>
              <w:bidi w:val="0"/>
              <w:spacing w:before="0" w:after="0"/>
              <w:ind w:left="0" w:right="0" w:hanging="0"/>
              <w:jc w:val="both"/>
              <w:rPr>
                <w:color w:val="000000"/>
              </w:rPr>
            </w:pPr>
            <w:r>
              <w:rPr>
                <w:color w:val="000000"/>
              </w:rPr>
              <w:t xml:space="preserve">  </w:t>
            </w:r>
          </w:p>
        </w:tc>
        <w:tc>
          <w:tcPr>
            <w:tcW w:w="156" w:type="dxa"/>
            <w:tcBorders/>
          </w:tcPr>
          <w:p>
            <w:pPr>
              <w:pStyle w:val="TableContents"/>
              <w:pBdr/>
              <w:bidi w:val="0"/>
              <w:spacing w:before="0" w:after="0"/>
              <w:ind w:left="0" w:right="0" w:hanging="0"/>
              <w:jc w:val="both"/>
              <w:rPr>
                <w:color w:val="000000"/>
              </w:rPr>
            </w:pPr>
            <w:r>
              <w:rPr>
                <w:color w:val="000000"/>
              </w:rPr>
              <w:t xml:space="preserve">• </w:t>
            </w:r>
          </w:p>
        </w:tc>
        <w:tc>
          <w:tcPr>
            <w:tcW w:w="994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post-market surveillance, including reporting of deaths or serious injuries and malfunctions that, if they were to recur, could lead to death or serious injury;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24"/>
        <w:gridCol w:w="743"/>
        <w:gridCol w:w="8938"/>
      </w:tblGrid>
      <w:tr>
        <w:trPr/>
        <w:tc>
          <w:tcPr>
            <w:tcW w:w="524" w:type="dxa"/>
            <w:tcBorders/>
          </w:tcPr>
          <w:p>
            <w:pPr>
              <w:pStyle w:val="TableContents"/>
              <w:pBdr/>
              <w:bidi w:val="0"/>
              <w:spacing w:before="0" w:after="0"/>
              <w:ind w:left="0" w:right="0" w:hanging="0"/>
              <w:jc w:val="both"/>
              <w:rPr>
                <w:color w:val="000000"/>
              </w:rPr>
            </w:pPr>
            <w:r>
              <w:rPr>
                <w:color w:val="000000"/>
              </w:rPr>
              <w:t xml:space="preserve">  </w:t>
            </w:r>
          </w:p>
        </w:tc>
        <w:tc>
          <w:tcPr>
            <w:tcW w:w="743" w:type="dxa"/>
            <w:tcBorders/>
          </w:tcPr>
          <w:p>
            <w:pPr>
              <w:pStyle w:val="TableContents"/>
              <w:pBdr/>
              <w:bidi w:val="0"/>
              <w:spacing w:before="0" w:after="0"/>
              <w:ind w:left="0" w:right="0" w:hanging="0"/>
              <w:jc w:val="both"/>
              <w:rPr>
                <w:color w:val="000000"/>
              </w:rPr>
            </w:pPr>
            <w:r>
              <w:rPr>
                <w:color w:val="000000"/>
              </w:rPr>
              <w:t xml:space="preserve">• </w:t>
            </w:r>
          </w:p>
        </w:tc>
        <w:tc>
          <w:tcPr>
            <w:tcW w:w="893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post-market studies;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83"/>
        <w:gridCol w:w="686"/>
        <w:gridCol w:w="9036"/>
      </w:tblGrid>
      <w:tr>
        <w:trPr/>
        <w:tc>
          <w:tcPr>
            <w:tcW w:w="483" w:type="dxa"/>
            <w:tcBorders/>
          </w:tcPr>
          <w:p>
            <w:pPr>
              <w:pStyle w:val="TableContents"/>
              <w:pBdr/>
              <w:bidi w:val="0"/>
              <w:spacing w:before="0" w:after="0"/>
              <w:ind w:left="0" w:right="0" w:hanging="0"/>
              <w:jc w:val="both"/>
              <w:rPr>
                <w:color w:val="000000"/>
              </w:rPr>
            </w:pPr>
            <w:r>
              <w:rPr>
                <w:color w:val="000000"/>
              </w:rPr>
              <w:t xml:space="preserve">  </w:t>
            </w:r>
          </w:p>
        </w:tc>
        <w:tc>
          <w:tcPr>
            <w:tcW w:w="686" w:type="dxa"/>
            <w:tcBorders/>
          </w:tcPr>
          <w:p>
            <w:pPr>
              <w:pStyle w:val="TableContents"/>
              <w:pBdr/>
              <w:bidi w:val="0"/>
              <w:spacing w:before="0" w:after="0"/>
              <w:ind w:left="0" w:right="0" w:hanging="0"/>
              <w:jc w:val="both"/>
              <w:rPr>
                <w:color w:val="000000"/>
              </w:rPr>
            </w:pPr>
            <w:r>
              <w:rPr>
                <w:color w:val="000000"/>
              </w:rPr>
              <w:t xml:space="preserve">• </w:t>
            </w:r>
          </w:p>
        </w:tc>
        <w:tc>
          <w:tcPr>
            <w:tcW w:w="9036" w:type="dxa"/>
            <w:tcBorders/>
          </w:tcPr>
          <w:p>
            <w:pPr>
              <w:pStyle w:val="TableContents"/>
              <w:pBdr/>
              <w:bidi w:val="0"/>
              <w:spacing w:before="0" w:after="140"/>
              <w:ind w:left="0" w:right="0" w:hanging="0"/>
              <w:jc w:val="both"/>
              <w:rPr>
                <w:rFonts w:ascii="times new roman;times" w:hAnsi="times new roman;times"/>
                <w:color w:val="000000"/>
                <w:sz w:val="20"/>
              </w:rPr>
            </w:pPr>
            <w:r>
              <w:rPr>
                <w:rFonts w:ascii="times new roman;times" w:hAnsi="times new roman;times"/>
                <w:color w:val="000000"/>
                <w:sz w:val="20"/>
              </w:rPr>
              <w:t xml:space="preserve">product import and export.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pStyle w:val="TextBody"/>
        <w:shd w:fill="FFFFFF" w:val="clear"/>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gammaCore is also subject to extensive governmental regulation in foreign jurisdictions, such as Europe, and our failure to comply with applicable requirements could cause our business to suffer. </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In the EEA and UK, gammaCore must currently comply with the Essential Requirements in Annex I to Directive 93/42/EEC, relating to the approximation of the laws of the member states concerning medical devices or the EU Medical Devices Directive (UK law, implemented through the Medical Devices Regulations 2002, continues to be based on these requirements).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 Certificate of Conformity entitles the manufacturer to affix the CE mark to its medical devices after having prepared and signed a related EC Declaration of Conformity.</w:t>
      </w:r>
    </w:p>
    <w:p>
      <w:pPr>
        <w:pStyle w:val="TextBody"/>
        <w:bidi w:val="0"/>
        <w:spacing w:lineRule="atLeast" w:line="240" w:before="0" w:after="0"/>
        <w:ind w:left="0" w:right="0" w:hanging="0"/>
        <w:jc w:val="left"/>
        <w:rPr>
          <w:color w:val="000000"/>
        </w:rPr>
      </w:pPr>
      <w:r>
        <w:rPr>
          <w:color w:val="000000"/>
        </w:rPr>
        <w:t> </w:t>
      </w:r>
    </w:p>
    <w:p>
      <w:pPr>
        <w:pStyle w:val="TextBody"/>
        <w:bidi w:val="0"/>
        <w:spacing w:lineRule="atLeast" w:line="240" w:before="0" w:after="0"/>
        <w:ind w:left="0" w:right="0" w:hanging="0"/>
        <w:jc w:val="left"/>
        <w:rPr>
          <w:rFonts w:ascii="Times New Roman;serif" w:hAnsi="Times New Roman;serif"/>
          <w:sz w:val="24"/>
        </w:rPr>
      </w:pPr>
      <w:r>
        <w:rPr>
          <w:rFonts w:ascii="Times New Roman;serif" w:hAnsi="Times New Roman;serif"/>
          <w:color w:val="000000"/>
          <w:sz w:val="20"/>
        </w:rPr>
        <w:t>Under</w:t>
      </w:r>
      <w:r>
        <w:rPr>
          <w:rFonts w:ascii="Times New Roman;serif" w:hAnsi="Times New Roman;serif"/>
          <w:sz w:val="24"/>
        </w:rPr>
        <w:t xml:space="preserve"> </w:t>
      </w:r>
      <w:r>
        <w:rPr>
          <w:rFonts w:ascii="Times New Roman;serif" w:hAnsi="Times New Roman;serif"/>
          <w:sz w:val="20"/>
        </w:rPr>
        <w:t xml:space="preserve">current guidance, CE marked medical devices may be placed on the UK market up until the sooner of the expiry of the CE </w:t>
      </w:r>
      <w:r>
        <w:rPr>
          <w:rFonts w:ascii="Times New Roman;serif" w:hAnsi="Times New Roman;serif"/>
          <w:color w:val="000000"/>
          <w:sz w:val="20"/>
        </w:rPr>
        <w:t xml:space="preserve">Certificate of Conformity </w:t>
      </w:r>
      <w:r>
        <w:rPr>
          <w:rFonts w:ascii="Times New Roman;serif" w:hAnsi="Times New Roman;serif"/>
          <w:sz w:val="20"/>
        </w:rPr>
        <w:t xml:space="preserve">or June 30, 2028. After that date, we will need to obtain UKCA marking (the UK replacement for CE marking) from a UK approved body (the new equivalent of an EU notified body) for commercialization of our gammaCore products in the UK. </w:t>
      </w:r>
      <w:r>
        <w:rPr>
          <w:rFonts w:ascii="Times New Roman;serif" w:hAnsi="Times New Roman;serif"/>
          <w:color w:val="000000"/>
          <w:sz w:val="20"/>
        </w:rPr>
        <w:t>See “Item 1 – Business – Regulatory Clearances” for additional information.</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MDR, a European Commission proposal published on January 6, 2023, stated that the overall number and capacity of conformity assessment or notified bodies remains insufficient to carry out the tasks required of them. In addition, many manufacturers are not sufficiently prepared to meet the strengthened requirements of the MDR by the end of the transition period. This was threatening the availability of medical devices on the EU market. The European Commission extended the transition period from May 26, 2024 until December 31, 2028 for Class IIa devices, which includes t</w:t>
      </w:r>
      <w:r>
        <w:rPr>
          <w:rFonts w:ascii="times new roman;times" w:hAnsi="times new roman;times"/>
          <w:b w:val="false"/>
          <w:i w:val="false"/>
          <w:caps w:val="false"/>
          <w:smallCaps w:val="false"/>
          <w:color w:val="000000"/>
          <w:spacing w:val="0"/>
          <w:sz w:val="20"/>
        </w:rPr>
        <w:t>he gammaCore products (gammaCore Sapphire, gammaCore-S). Once applicable, the new regulations will among other things:</w:t>
      </w:r>
      <w:r>
        <w:rPr>
          <w:rFonts w:ascii="times new roman;times" w:hAnsi="times new roman;times"/>
          <w:caps w:val="false"/>
          <w:smallCaps w:val="false"/>
          <w:color w:val="000000"/>
          <w:spacing w:val="0"/>
          <w:sz w:val="20"/>
        </w:rPr>
        <w:t>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9"/>
        <w:gridCol w:w="197"/>
        <w:gridCol w:w="9869"/>
      </w:tblGrid>
      <w:tr>
        <w:trPr/>
        <w:tc>
          <w:tcPr>
            <w:tcW w:w="139" w:type="dxa"/>
            <w:tcBorders/>
          </w:tcPr>
          <w:p>
            <w:pPr>
              <w:pStyle w:val="TableContents"/>
              <w:bidi w:val="0"/>
              <w:spacing w:before="0" w:after="140"/>
              <w:ind w:left="0" w:right="0" w:hanging="0"/>
              <w:jc w:val="both"/>
              <w:rPr>
                <w:color w:val="000000"/>
              </w:rPr>
            </w:pPr>
            <w:r>
              <w:rPr>
                <w:color w:val="000000"/>
              </w:rPr>
              <w:t xml:space="preserve">  </w:t>
            </w:r>
          </w:p>
        </w:tc>
        <w:tc>
          <w:tcPr>
            <w:tcW w:w="197" w:type="dxa"/>
            <w:tcBorders/>
          </w:tcPr>
          <w:p>
            <w:pPr>
              <w:pStyle w:val="TableContents"/>
              <w:bidi w:val="0"/>
              <w:spacing w:before="0" w:after="0"/>
              <w:ind w:left="0" w:right="0" w:hanging="0"/>
              <w:jc w:val="left"/>
              <w:rPr>
                <w:color w:val="000000"/>
              </w:rPr>
            </w:pPr>
            <w:r>
              <w:rPr>
                <w:color w:val="000000"/>
              </w:rPr>
              <w:t xml:space="preserve">• </w:t>
            </w:r>
          </w:p>
        </w:tc>
        <w:tc>
          <w:tcPr>
            <w:tcW w:w="9869"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strengthen the rules on placing devices on the market and reinforce surveillance once they are available;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6"/>
        <w:gridCol w:w="157"/>
        <w:gridCol w:w="9942"/>
      </w:tblGrid>
      <w:tr>
        <w:trPr/>
        <w:tc>
          <w:tcPr>
            <w:tcW w:w="106" w:type="dxa"/>
            <w:tcBorders/>
          </w:tcPr>
          <w:p>
            <w:pPr>
              <w:pStyle w:val="TableContents"/>
              <w:bidi w:val="0"/>
              <w:spacing w:before="0" w:after="0"/>
              <w:ind w:left="0" w:right="0" w:hanging="0"/>
              <w:jc w:val="both"/>
              <w:rPr>
                <w:color w:val="000000"/>
              </w:rPr>
            </w:pPr>
            <w:r>
              <w:rPr>
                <w:color w:val="000000"/>
              </w:rPr>
              <w:t xml:space="preserve">  </w:t>
            </w:r>
          </w:p>
        </w:tc>
        <w:tc>
          <w:tcPr>
            <w:tcW w:w="157" w:type="dxa"/>
            <w:tcBorders/>
          </w:tcPr>
          <w:p>
            <w:pPr>
              <w:pStyle w:val="TableContents"/>
              <w:bidi w:val="0"/>
              <w:spacing w:before="0" w:after="0"/>
              <w:ind w:left="0" w:right="0" w:hanging="0"/>
              <w:jc w:val="both"/>
              <w:rPr>
                <w:color w:val="000000"/>
              </w:rPr>
            </w:pPr>
            <w:r>
              <w:rPr>
                <w:color w:val="000000"/>
              </w:rPr>
              <w:t xml:space="preserve">• </w:t>
            </w:r>
          </w:p>
        </w:tc>
        <w:tc>
          <w:tcPr>
            <w:tcW w:w="994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establish explicit provisions on manufacturers’ responsibilities for the follow-up of the quality, performance and safety of devices placed on the market;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improve the traceability of medical devices throughout the supply chain to the end-user or patient through a unique identification number;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set up a central database to provide patients, healthcare professionals, and the public with comprehensive information on products available in the EU;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strengthen rules for the assessment of certain high-risk devices which may have to undergo an additional check by experts before they are placed on the market.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Once applicable, the MDR may impose increased compliance obligations for us to access the EU market.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In order to continue to sell gammaCore in Europe, we must maintain our CE Certificate of Conformity for the device and continue to comply with the Medical Devices Directive and with the MDR. The Medical Devices Regulation imposes a number of new requirements on manufacturers of medical devices. This may impact our activities in the EEA and in the United Kingdom,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tLeast" w:line="240" w:before="100" w:after="0"/>
        <w:ind w:left="0" w:right="0" w:hanging="0"/>
        <w:jc w:val="left"/>
        <w:rPr>
          <w:rFonts w:ascii="Times New Roman;serif" w:hAnsi="Times New Roman;serif"/>
          <w:color w:val="000000"/>
          <w:sz w:val="20"/>
        </w:rPr>
      </w:pPr>
      <w:r>
        <w:rPr>
          <w:rFonts w:ascii="Times New Roman;serif" w:hAnsi="Times New Roman;serif"/>
          <w:color w:val="000000"/>
          <w:sz w:val="20"/>
        </w:rPr>
        <w:t>On March 29, 2017, the United Kingdom formally notified the EU of its intention to withdraw from the Union pursuant to Article 50 of the Lisbon Treaty, commonly referred to as Brexit, and completed a transitional period on December 31, 2020. Following Brexit, EU law and the EU Court of Justice no longer have supremacy over British laws or its Supreme Court. The United Kingdom's European Union (Withdrawal) Act 2018 retains relevant EU law as domestic law, which can be amended or repealed. For medical devices, the key changes are that:</w:t>
      </w:r>
    </w:p>
    <w:p>
      <w:pPr>
        <w:pStyle w:val="TextBody"/>
        <w:bidi w:val="0"/>
        <w:spacing w:lineRule="atLeast" w:line="240" w:before="0" w:after="0"/>
        <w:ind w:left="0" w:right="0" w:hanging="0"/>
        <w:jc w:val="left"/>
        <w:rPr>
          <w:color w:val="000000"/>
        </w:rPr>
      </w:pPr>
      <w:r>
        <w:rPr>
          <w:color w:val="000000"/>
        </w:rPr>
        <w:t> </w:t>
      </w:r>
    </w:p>
    <w:p>
      <w:pPr>
        <w:pStyle w:val="TextBody"/>
        <w:bidi w:val="0"/>
        <w:spacing w:lineRule="atLeast" w:line="240" w:before="0" w:after="0"/>
        <w:ind w:left="720" w:right="0" w:hanging="360"/>
        <w:jc w:val="left"/>
        <w:rPr>
          <w:rFonts w:ascii="Times New Roman;serif" w:hAnsi="Times New Roman;serif"/>
          <w:sz w:val="24"/>
        </w:rPr>
      </w:pPr>
      <w:r>
        <w:rPr>
          <w:rFonts w:ascii="Times New Roman;serif" w:hAnsi="Times New Roman;serif"/>
          <w:color w:val="000000"/>
          <w:sz w:val="20"/>
        </w:rPr>
        <w:t>-</w:t>
      </w:r>
      <w:r>
        <w:rPr>
          <w:rFonts w:ascii="Times New Roman;serif" w:hAnsi="Times New Roman;serif"/>
          <w:caps w:val="false"/>
          <w:smallCaps w:val="false"/>
          <w:color w:val="000000"/>
          <w:sz w:val="20"/>
        </w:rPr>
        <w:t xml:space="preserve">        </w:t>
      </w:r>
      <w:r>
        <w:rPr>
          <w:rFonts w:ascii="Times New Roman;serif" w:hAnsi="Times New Roman;serif"/>
          <w:color w:val="000000"/>
          <w:sz w:val="20"/>
        </w:rPr>
        <w:t xml:space="preserve">UK “notified bodies” have lost this status, and are no longer able to issue CE certificates. Some, including BSI, have set up an EU entity as a new notified body to issue CE certificates. </w:t>
      </w:r>
    </w:p>
    <w:p>
      <w:pPr>
        <w:pStyle w:val="TextBody"/>
        <w:bidi w:val="0"/>
        <w:spacing w:lineRule="atLeast" w:line="240" w:before="0" w:after="0"/>
        <w:ind w:left="720" w:right="0" w:hanging="360"/>
        <w:jc w:val="left"/>
        <w:rPr>
          <w:rFonts w:ascii="Times New Roman;serif" w:hAnsi="Times New Roman;serif"/>
          <w:sz w:val="24"/>
        </w:rPr>
      </w:pPr>
      <w:r>
        <w:rPr>
          <w:rFonts w:ascii="Times New Roman;serif" w:hAnsi="Times New Roman;serif"/>
          <w:color w:val="000000"/>
          <w:sz w:val="20"/>
        </w:rPr>
        <w:t>-</w:t>
      </w:r>
      <w:r>
        <w:rPr>
          <w:rFonts w:ascii="Times New Roman;serif" w:hAnsi="Times New Roman;serif"/>
          <w:caps w:val="false"/>
          <w:smallCaps w:val="false"/>
          <w:color w:val="000000"/>
          <w:sz w:val="20"/>
        </w:rPr>
        <w:t xml:space="preserve">        </w:t>
      </w:r>
      <w:r>
        <w:rPr>
          <w:rFonts w:ascii="Times New Roman;serif" w:hAnsi="Times New Roman;serif"/>
          <w:color w:val="000000"/>
          <w:sz w:val="20"/>
        </w:rPr>
        <w:t xml:space="preserve">the UK is replacing the EU CE marking system with “UKCA” marking. The transition period has been extended, and currently </w:t>
      </w:r>
      <w:r>
        <w:rPr>
          <w:rFonts w:ascii="Times New Roman;serif" w:hAnsi="Times New Roman;serif"/>
          <w:sz w:val="20"/>
        </w:rPr>
        <w:t xml:space="preserve">CE marked medical devices may be placed on the UK market up until the sooner of the expiry of the </w:t>
      </w:r>
      <w:r>
        <w:rPr>
          <w:rFonts w:ascii="Times New Roman;serif" w:hAnsi="Times New Roman;serif"/>
          <w:color w:val="000000"/>
          <w:sz w:val="20"/>
        </w:rPr>
        <w:t xml:space="preserve">Certificate of Conformity </w:t>
      </w:r>
      <w:r>
        <w:rPr>
          <w:rFonts w:ascii="Times New Roman;serif" w:hAnsi="Times New Roman;serif"/>
          <w:sz w:val="20"/>
        </w:rPr>
        <w:t xml:space="preserve">or June 30, 2028. After this date, manufacturers will need UKCA marking to place medical devices on the UK market. Medical devices sold in the UK and EU will need both CE and UKCA marking. </w:t>
      </w:r>
    </w:p>
    <w:p>
      <w:pPr>
        <w:pStyle w:val="TextBody"/>
        <w:bidi w:val="0"/>
        <w:spacing w:lineRule="atLeast" w:line="240" w:before="0" w:after="0"/>
        <w:ind w:left="360" w:right="0" w:hanging="0"/>
        <w:jc w:val="left"/>
        <w:rPr/>
      </w:pPr>
      <w:r>
        <w:rPr/>
        <w:t>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United Kingdom’s national laws and regulations for medical devices are currently based on retained EU legislation, but may diverge in future. Potentially changing regulatory schemes and tariffs engendered by Brexit may add additional complexity, cost and delays to our UK operations, and in marketing or selling our products in both the United Kingdom and the EEA. Our revenue and profit, supply and demand for our products, and customer retention and acquisition in both the long term and short term could be adversely affected.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market, and sell these products could suffer, and, if our general wellness products no longer fall under the scope of applicable FDA guidance, such products may be subject to additional and more comprehensive regulation and/or greater regulatory uncertainty, affecting our ability to commercially distribute, market, and sell such products in the ordinary course of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of our medical device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FDCA,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general wellness products, Truvaga and TAC-STIM, which in the future may or may not be low risk general wellness products in light of applicability of, and potential, revisions to FDA guidance for such products, and which are not intended for medical use, and which we believe appropriately fall under the scope of current FDA guidance applicable to such products, are not normally subject to the rigorous regulatory processes described in the aforementioned paragraphs. Therefore, some of our products, or product features in certain circumstances, may not be subject to the aforesaid Section 510(k) process and/or other regulatory requirements in accordance with specific FDA guidance and policies. In addition, some of our products, or product features, may not be subject to statutory device prescription requirements pursuant to various provisions of the FDCA.</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Section 3060(a) of the 21</w:t>
      </w:r>
      <w:r>
        <w:rPr>
          <w:rFonts w:ascii="times new roman;times" w:hAnsi="times new roman;times"/>
          <w:color w:val="000000"/>
          <w:position w:val="7"/>
          <w:sz w:val="16"/>
          <w:sz w:val="20"/>
        </w:rPr>
        <w:t>st</w:t>
      </w:r>
      <w:r>
        <w:rPr>
          <w:rFonts w:ascii="times new roman;times" w:hAnsi="times new roman;times"/>
          <w:color w:val="000000"/>
          <w:sz w:val="20"/>
        </w:rPr>
        <w:t xml:space="preserve"> Century Cures Act amended Section 520 of the FDCA on December 13, 2016, removing certain software functions, including those intended for maintaining or encouraging a healthy lifestyle that are unrelated to the diagnosis, cure, mitigation, prevention, or treatment of a disease or condition, from the definition of device in Section 201(h) of the FDCA. Section 520(o)(1)(B) of the FDCA states that software that is intended “for maintaining or encouraging a healthy lifestyle and is unrelated to the diagnosis, cure, mitigation, prevention, or treatment of a disease or condition” is not a device under section 201(h) of such enactment. In connection with the aforesaid legislative developments, the FDA has issued the aforementioned general wellness guidance in July 2016 and the reissued guidance in 2019, clarifying at each time the FDA’s interpretation of this provision and its application to general wellness products (as defined by the Center for Devices and Radiological Health, which for the purposes of the current guidance mean products that are intended for only general wellness use, as defined in the current general wellness guidance, and that present a low risk to the safety of users and other persons). We recognize that the FDA's guidance documents, including the current general wellness guidance on low risk, general wellness products, do not create legal obligations. Instead, guidance documents describe the FDA’s contemporary thinking on a topic, which is subject to change, and should be viewed only as legally nonbinding recommendations, unless particular regulatory or statutory requirements are cited to the make the contrary inference. In light of this information, we also recognize that the current guidance does not change or otherwise rescind any legally enforceable requirements of the FDCA or any applicable regulations. Moreover, we acknowledge that the FDA’s general wellness guidance in this respect does not prohibit the FDA from consulting with the Consumer Product Safety Commission (or CPSC) as to whether or not a general wellness product is a consumer product under the CPSC’s authority or a device. The FDA may coordinate with other agencies and authorities, such as the CPSC, in ascertaining appropriate jurisdiction over products. If a product is a device under Section 201(h) of the FDCA, it is generally excluded from CPSC’s authority over “consumer products” as contemplated under the Consumer Product Safety Act, particularly under Section 2052(a)(5)(ii)(H). However, CPSC and the FDA may both assert jurisdiction over certain medical devices under other statutory authorities the CPSC is charged with implementing.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Subject to continuing analysis and review of considerations included in the FDA, general wellness guidance and any revisions to such guidance and other guidance, we have applied or otherwise made use of the guidance questions in Section 4 of the published FDA low risk, general wellness products guidance document, which assist in determining whether general wellness products are within the scope of such guidance, among other legal review. We acknowledge that such questions should be read in the context of the full written text of the guidance and represent, but do not constitute in and of themselves, the framework described in such guidance. Main considerations, including whether a product has an intended use that relates to maintaining or encouraging a general state of health or healthy activity, whether a product has an intended use that relates the role of healthy lifestyle with helping to reduce the risk or impact of certain chronic diseases or conditions, whether the product is low risk in that it is not invasive, and not implanted, and does not involve a technology that may pose a risk to the safety or users or other persons if specific regulatory controls are not applied, among other considerations, are particularly relevant to our business involving general wellness products. Descriptions of general wellness products in the aforementioned FDA guidance within Section 3 of the published document are also particularly relevant to our business involving general wellness products. We further acknowledge that the Center for Devices and Radiological Health’s general wellness policy applies only to general wellness products that are deemed to be low risk. In considering whether a product of ours is low risk for purposes of the aforementioned FDA guidance, the FDA recommends the due consideration of whether the Center for Devices and Radiological Health actively regulates products of the same type as the product in question, and this consideration is important to our current and future general wellness market engagement.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business activities involving general wellness products, Truvaga and TAC-STIM may be subject to significant and possibly material and adverse consequences if revisions to FDA guidance or other guidance modify our reasoned beliefs and opinions regarding classification, other legal questions, and compliance with all applicable rules and regulations that apply to our business activities in various ways. </w:t>
      </w:r>
      <w:r>
        <w:rPr>
          <w:rFonts w:ascii="Times New Roman;serif" w:hAnsi="Times New Roman;serif"/>
          <w:color w:val="000000"/>
          <w:sz w:val="20"/>
        </w:rPr>
        <w:t xml:space="preserve">Moreover, FDA may disagree with our assessment, potentially subjecting these products to regulation as medical devices. </w:t>
      </w:r>
      <w:r>
        <w:rPr>
          <w:rFonts w:ascii="times new roman;times" w:hAnsi="times new roman;times"/>
          <w:color w:val="000000"/>
          <w:sz w:val="20"/>
        </w:rPr>
        <w:t>We and our legal advisors strive to regularly keep abreast of all relevant developments in the statutory, administrative, and decisional laws, on federal and, where applicable, state levels, that influence or inform our general wellness products-related development, marketing, promotion, distribution, and sale, among other activities. In light of the substantial complexity in such laws as well as their potential actual interactive Ness, or perceived overlap or conflict, with the application of the FDA’s existing regulatory approval or clearance processes for medical device products as a result of either official agency changes to applicable general wellness guidance, our subsequent legal review of such guidance that differs substantially from earlier legal review of such guidance, </w:t>
      </w:r>
      <w:r>
        <w:rPr>
          <w:rFonts w:ascii="Times New Roman;serif" w:hAnsi="Times New Roman;serif"/>
          <w:color w:val="000000"/>
          <w:sz w:val="20"/>
        </w:rPr>
        <w:t xml:space="preserve">or the FDA’s disagreement with our determination regarding the regulatory status of our general wellness products, </w:t>
      </w:r>
      <w:r>
        <w:rPr>
          <w:rFonts w:ascii="times new roman;times" w:hAnsi="times new roman;times"/>
          <w:color w:val="000000"/>
          <w:sz w:val="20"/>
        </w:rPr>
        <w:t>we may experience adverse and possibly material effects on our ability to commercialize our general wellness products, which could impact our financial condition, operating results, and prospects for growth. Separate and apart from our legal and compliance functions and external advisors, we maintain internal controls and policies and procedures that militate against compliance risk in our general wellness line of business and train and educate our sales agents and other personnel on subject matter pertinent to compliance with relevant law in various jurisdictions.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Modifications to our products may require new regulatory clearances or approvals or may require us to recall or cease marketing our products until clearances or approvals are obtained.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Modifications to or expansion of our indications for use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w:t>
      </w:r>
      <w:r>
        <w:rPr>
          <w:rFonts w:ascii="times new roman;times" w:hAnsi="times new roman;times"/>
          <w:color w:val="000000"/>
          <w:sz w:val="20"/>
        </w:rPr>
        <w:t>’s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If a manufacturer determines that a modification to an FDA-cleared device could significantly affect its safety or efficacy or would constitute a major change in its intended use, then, the manufacturer must file for a new 510(k) clearance or possibly a PMA application. When we determine that modifications to our products require a new 510(k) clearance or PMA </w:t>
      </w:r>
      <w:r>
        <w:rPr>
          <w:rFonts w:ascii="times new roman;times" w:hAnsi="times new roman;times"/>
          <w:color w:val="000000"/>
          <w:sz w:val="20"/>
        </w:rPr>
        <w:t>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 xml:space="preserve">There is no guarantee that the FDA will grant </w:t>
      </w:r>
      <w:r>
        <w:rPr>
          <w:rFonts w:ascii="times new roman;times" w:hAnsi="times new roman;times"/>
          <w:b/>
          <w:i/>
          <w:color w:val="000000"/>
          <w:sz w:val="20"/>
        </w:rPr>
        <w:t>510</w:t>
      </w:r>
      <w:r>
        <w:rPr>
          <w:rFonts w:ascii="times new roman;times" w:hAnsi="times new roman;times"/>
          <w:b/>
          <w:i/>
          <w:color w:val="000000"/>
          <w:sz w:val="20"/>
        </w:rPr>
        <w:t>(k) clearance or PMA approval of our future products, and failure to obtain necessary clearances or approvals for any such future products would adversely affect our overall ability to grow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w:t>
      </w:r>
      <w:r>
        <w:rPr>
          <w:rFonts w:ascii="times new roman;times" w:hAnsi="times new roman;times"/>
          <w:color w:val="000000"/>
          <w:sz w:val="20"/>
        </w:rPr>
        <w:t>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pBdr/>
              <w:bidi w:val="0"/>
              <w:spacing w:before="0" w:after="0"/>
              <w:ind w:left="0" w:right="0" w:hanging="0"/>
              <w:jc w:val="both"/>
              <w:rPr>
                <w:color w:val="000000"/>
              </w:rPr>
            </w:pPr>
            <w:r>
              <w:rPr>
                <w:color w:val="000000"/>
              </w:rPr>
              <w:t xml:space="preserve">  </w:t>
            </w:r>
          </w:p>
        </w:tc>
        <w:tc>
          <w:tcPr>
            <w:tcW w:w="156" w:type="dxa"/>
            <w:tcBorders/>
          </w:tcPr>
          <w:p>
            <w:pPr>
              <w:pStyle w:val="TableContents"/>
              <w:pBdr/>
              <w:bidi w:val="0"/>
              <w:spacing w:before="0" w:after="0"/>
              <w:ind w:left="0" w:right="0" w:hanging="0"/>
              <w:jc w:val="both"/>
              <w:rPr>
                <w:color w:val="000000"/>
              </w:rPr>
            </w:pPr>
            <w:r>
              <w:rPr>
                <w:color w:val="000000"/>
              </w:rPr>
              <w:t xml:space="preserve">• </w:t>
            </w:r>
          </w:p>
        </w:tc>
        <w:tc>
          <w:tcPr>
            <w:tcW w:w="994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untitled letters, warning letters, fines, injunctions, consent decrees, including FDA orders to repair, replace, or refund the cost of devices, and civil penalties;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unanticipated expenditures to address or defend such actions;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56"/>
        <w:gridCol w:w="362"/>
        <w:gridCol w:w="9587"/>
      </w:tblGrid>
      <w:tr>
        <w:trPr/>
        <w:tc>
          <w:tcPr>
            <w:tcW w:w="256" w:type="dxa"/>
            <w:tcBorders/>
          </w:tcPr>
          <w:p>
            <w:pPr>
              <w:pStyle w:val="TableContents"/>
              <w:bidi w:val="0"/>
              <w:spacing w:before="0" w:after="0"/>
              <w:ind w:left="0" w:right="0" w:hanging="0"/>
              <w:jc w:val="both"/>
              <w:rPr>
                <w:color w:val="000000"/>
              </w:rPr>
            </w:pPr>
            <w:r>
              <w:rPr>
                <w:color w:val="000000"/>
              </w:rPr>
              <w:t xml:space="preserve">  </w:t>
            </w:r>
          </w:p>
        </w:tc>
        <w:tc>
          <w:tcPr>
            <w:tcW w:w="362" w:type="dxa"/>
            <w:tcBorders/>
          </w:tcPr>
          <w:p>
            <w:pPr>
              <w:pStyle w:val="TableContents"/>
              <w:bidi w:val="0"/>
              <w:spacing w:before="0" w:after="0"/>
              <w:ind w:left="0" w:right="0" w:hanging="0"/>
              <w:jc w:val="both"/>
              <w:rPr>
                <w:color w:val="000000"/>
              </w:rPr>
            </w:pPr>
            <w:r>
              <w:rPr>
                <w:color w:val="000000"/>
              </w:rPr>
              <w:t xml:space="preserve">• </w:t>
            </w:r>
          </w:p>
        </w:tc>
        <w:tc>
          <w:tcPr>
            <w:tcW w:w="9587"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customer notifications for repair, replacement, refunds;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4"/>
        <w:gridCol w:w="145"/>
        <w:gridCol w:w="9966"/>
      </w:tblGrid>
      <w:tr>
        <w:trPr/>
        <w:tc>
          <w:tcPr>
            <w:tcW w:w="94" w:type="dxa"/>
            <w:tcBorders/>
          </w:tcPr>
          <w:p>
            <w:pPr>
              <w:pStyle w:val="TableContents"/>
              <w:bidi w:val="0"/>
              <w:spacing w:before="0" w:after="0"/>
              <w:ind w:left="0" w:right="0" w:hanging="0"/>
              <w:jc w:val="both"/>
              <w:rPr>
                <w:color w:val="000000"/>
              </w:rPr>
            </w:pPr>
            <w:r>
              <w:rPr>
                <w:color w:val="000000"/>
              </w:rPr>
              <w:t xml:space="preserve">  </w:t>
            </w:r>
          </w:p>
        </w:tc>
        <w:tc>
          <w:tcPr>
            <w:tcW w:w="145" w:type="dxa"/>
            <w:tcBorders/>
          </w:tcPr>
          <w:p>
            <w:pPr>
              <w:pStyle w:val="TableContents"/>
              <w:bidi w:val="0"/>
              <w:spacing w:before="0" w:after="0"/>
              <w:ind w:left="0" w:right="0" w:hanging="0"/>
              <w:jc w:val="both"/>
              <w:rPr>
                <w:color w:val="000000"/>
              </w:rPr>
            </w:pPr>
            <w:r>
              <w:rPr>
                <w:color w:val="000000"/>
              </w:rPr>
              <w:t xml:space="preserve">• </w:t>
            </w:r>
          </w:p>
        </w:tc>
        <w:tc>
          <w:tcPr>
            <w:tcW w:w="996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recall, detention or seizure of our products; operating restrictions or partial suspension or total shutdown of production, or interruption of the supply of components from our key component suppliers;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2"/>
        <w:gridCol w:w="187"/>
        <w:gridCol w:w="9886"/>
      </w:tblGrid>
      <w:tr>
        <w:trPr/>
        <w:tc>
          <w:tcPr>
            <w:tcW w:w="132" w:type="dxa"/>
            <w:tcBorders/>
          </w:tcPr>
          <w:p>
            <w:pPr>
              <w:pStyle w:val="TableContents"/>
              <w:bidi w:val="0"/>
              <w:spacing w:before="0" w:after="0"/>
              <w:ind w:left="0" w:right="0" w:hanging="0"/>
              <w:jc w:val="both"/>
              <w:rPr>
                <w:color w:val="000000"/>
              </w:rPr>
            </w:pPr>
            <w:r>
              <w:rPr>
                <w:color w:val="000000"/>
              </w:rPr>
              <w:t xml:space="preserve">  </w:t>
            </w:r>
          </w:p>
        </w:tc>
        <w:tc>
          <w:tcPr>
            <w:tcW w:w="187" w:type="dxa"/>
            <w:tcBorders/>
          </w:tcPr>
          <w:p>
            <w:pPr>
              <w:pStyle w:val="TableContents"/>
              <w:bidi w:val="0"/>
              <w:spacing w:before="0" w:after="0"/>
              <w:ind w:left="0" w:right="0" w:hanging="0"/>
              <w:jc w:val="both"/>
              <w:rPr>
                <w:color w:val="000000"/>
              </w:rPr>
            </w:pPr>
            <w:r>
              <w:rPr>
                <w:color w:val="000000"/>
              </w:rPr>
              <w:t xml:space="preserve">• </w:t>
            </w:r>
          </w:p>
        </w:tc>
        <w:tc>
          <w:tcPr>
            <w:tcW w:w="98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refusing or delaying our requests for 510(k) clearance or PMA approval of new products or modified products;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72"/>
        <w:gridCol w:w="810"/>
        <w:gridCol w:w="8823"/>
      </w:tblGrid>
      <w:tr>
        <w:trPr/>
        <w:tc>
          <w:tcPr>
            <w:tcW w:w="572" w:type="dxa"/>
            <w:tcBorders/>
          </w:tcPr>
          <w:p>
            <w:pPr>
              <w:pStyle w:val="TableContents"/>
              <w:bidi w:val="0"/>
              <w:spacing w:before="0" w:after="0"/>
              <w:ind w:left="0" w:right="0" w:hanging="0"/>
              <w:jc w:val="both"/>
              <w:rPr>
                <w:color w:val="000000"/>
              </w:rPr>
            </w:pPr>
            <w:r>
              <w:rPr>
                <w:color w:val="000000"/>
              </w:rPr>
              <w:t xml:space="preserve">  </w:t>
            </w:r>
          </w:p>
        </w:tc>
        <w:tc>
          <w:tcPr>
            <w:tcW w:w="810" w:type="dxa"/>
            <w:tcBorders/>
          </w:tcPr>
          <w:p>
            <w:pPr>
              <w:pStyle w:val="TableContents"/>
              <w:bidi w:val="0"/>
              <w:spacing w:before="0" w:after="0"/>
              <w:ind w:left="0" w:right="0" w:hanging="0"/>
              <w:jc w:val="both"/>
              <w:rPr>
                <w:color w:val="000000"/>
              </w:rPr>
            </w:pPr>
            <w:r>
              <w:rPr>
                <w:color w:val="000000"/>
              </w:rPr>
              <w:t xml:space="preserve">• </w:t>
            </w:r>
          </w:p>
        </w:tc>
        <w:tc>
          <w:tcPr>
            <w:tcW w:w="8823"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restrictions;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4"/>
        <w:gridCol w:w="248"/>
        <w:gridCol w:w="9783"/>
      </w:tblGrid>
      <w:tr>
        <w:trPr/>
        <w:tc>
          <w:tcPr>
            <w:tcW w:w="174" w:type="dxa"/>
            <w:tcBorders/>
          </w:tcPr>
          <w:p>
            <w:pPr>
              <w:pStyle w:val="TableContents"/>
              <w:bidi w:val="0"/>
              <w:spacing w:before="0" w:after="0"/>
              <w:ind w:left="0" w:right="0" w:hanging="0"/>
              <w:jc w:val="both"/>
              <w:rPr>
                <w:color w:val="000000"/>
              </w:rPr>
            </w:pPr>
            <w:r>
              <w:rPr>
                <w:color w:val="000000"/>
              </w:rPr>
              <w:t xml:space="preserve">  </w:t>
            </w:r>
          </w:p>
        </w:tc>
        <w:tc>
          <w:tcPr>
            <w:tcW w:w="248" w:type="dxa"/>
            <w:tcBorders/>
          </w:tcPr>
          <w:p>
            <w:pPr>
              <w:pStyle w:val="TableContents"/>
              <w:bidi w:val="0"/>
              <w:spacing w:before="0" w:after="0"/>
              <w:ind w:left="0" w:right="0" w:hanging="0"/>
              <w:jc w:val="both"/>
              <w:rPr>
                <w:color w:val="000000"/>
              </w:rPr>
            </w:pPr>
            <w:r>
              <w:rPr>
                <w:color w:val="000000"/>
              </w:rPr>
              <w:t xml:space="preserve">• </w:t>
            </w:r>
          </w:p>
        </w:tc>
        <w:tc>
          <w:tcPr>
            <w:tcW w:w="9783"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withdrawing 510(k) clearances on PMA approvals that have already been granted;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1"/>
        <w:gridCol w:w="385"/>
        <w:gridCol w:w="9549"/>
      </w:tblGrid>
      <w:tr>
        <w:trPr/>
        <w:tc>
          <w:tcPr>
            <w:tcW w:w="271" w:type="dxa"/>
            <w:tcBorders/>
          </w:tcPr>
          <w:p>
            <w:pPr>
              <w:pStyle w:val="TableContents"/>
              <w:bidi w:val="0"/>
              <w:spacing w:before="0" w:after="0"/>
              <w:ind w:left="0" w:right="0" w:hanging="0"/>
              <w:jc w:val="both"/>
              <w:rPr>
                <w:color w:val="000000"/>
              </w:rPr>
            </w:pPr>
            <w:r>
              <w:rPr>
                <w:color w:val="000000"/>
              </w:rPr>
              <w:t xml:space="preserve">  </w:t>
            </w:r>
          </w:p>
        </w:tc>
        <w:tc>
          <w:tcPr>
            <w:tcW w:w="385" w:type="dxa"/>
            <w:tcBorders/>
          </w:tcPr>
          <w:p>
            <w:pPr>
              <w:pStyle w:val="TableContents"/>
              <w:bidi w:val="0"/>
              <w:spacing w:before="0" w:after="0"/>
              <w:ind w:left="0" w:right="0" w:hanging="0"/>
              <w:jc w:val="both"/>
              <w:rPr>
                <w:color w:val="000000"/>
              </w:rPr>
            </w:pPr>
            <w:r>
              <w:rPr>
                <w:color w:val="000000"/>
              </w:rPr>
              <w:t xml:space="preserve">• </w:t>
            </w:r>
          </w:p>
        </w:tc>
        <w:tc>
          <w:tcPr>
            <w:tcW w:w="9549"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refusal to grant export approval for our products; or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88"/>
        <w:gridCol w:w="834"/>
        <w:gridCol w:w="8783"/>
      </w:tblGrid>
      <w:tr>
        <w:trPr/>
        <w:tc>
          <w:tcPr>
            <w:tcW w:w="588" w:type="dxa"/>
            <w:tcBorders/>
          </w:tcPr>
          <w:p>
            <w:pPr>
              <w:pStyle w:val="TableContents"/>
              <w:bidi w:val="0"/>
              <w:spacing w:before="0" w:after="0"/>
              <w:ind w:left="0" w:right="0" w:hanging="0"/>
              <w:jc w:val="both"/>
              <w:rPr>
                <w:color w:val="000000"/>
              </w:rPr>
            </w:pPr>
            <w:r>
              <w:rPr>
                <w:color w:val="000000"/>
              </w:rPr>
              <w:t xml:space="preserve">  </w:t>
            </w:r>
          </w:p>
        </w:tc>
        <w:tc>
          <w:tcPr>
            <w:tcW w:w="834" w:type="dxa"/>
            <w:tcBorders/>
          </w:tcPr>
          <w:p>
            <w:pPr>
              <w:pStyle w:val="TableContents"/>
              <w:bidi w:val="0"/>
              <w:spacing w:before="0" w:after="0"/>
              <w:ind w:left="0" w:right="0" w:hanging="0"/>
              <w:jc w:val="both"/>
              <w:rPr>
                <w:color w:val="000000"/>
              </w:rPr>
            </w:pPr>
            <w:r>
              <w:rPr>
                <w:color w:val="000000"/>
              </w:rPr>
              <w:t xml:space="preserve">• </w:t>
            </w:r>
          </w:p>
        </w:tc>
        <w:tc>
          <w:tcPr>
            <w:tcW w:w="8783"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criminal prosecution.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U.S.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We may also decide to recall a product voluntarily if we find a material deficiency, including unacceptable risks to health, manufacturing defects, design errors, component failures, labeling defects, or other issues. Recalls of our products could divert the attention of our management and have an adverse effect on our reputation, financial condition, and operating results.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 With regard to QSR administration, the FDA may enforce this regulation through announced (through prior notification) or unannounced inspections that pertain to several facets of our methods and documentation processes of the design, testing, production, control, selection, and oversight of suppliers or contractors; quality assurance; labeling; packaging; storage; complaint handling; shipping; and servicing of our products.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gammaCore has been CE Marked in the EEA and cleared by the FDA for the acute treatment of eCH in adults, CH prevention, the preventive and acute treatment of migraine headache in the United States in adults and adolescents, and the treatment of Paroxysmal Hemicrania, or HC, in adults. We may only promote or market our gammaCore for its specifically approved or authorized indications as described on the approved or authorized label. We train our marketing and sales force against promoting our products for uses outside of the approved or authorized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approved or authorized by the applicable regulatory body may not effectively treat such conditions, which could harm our reputation in the marketplace among physicians and patients.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our educational, promotional, and marketing practices in various ways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While certain U.S. courts have held that truthful, non-misleading, off-label information is protected under the First Amendment under certain circumstances, the FDA continues to take the position that off-label promotion is subject to possible enforcement action. It is also conceivable that other federal, state, or foreign enforcement authorities may take action if they consider our communications, including promotional or training materials, to constitute promotion of an uncleared or unapproved use. If not successfully defended, enforcement actions related to off-label promotion could result in significant fines or penalties under other statutory authorities, such as laws prohibiting false claims for reimbursement. In any such event, our reputation could be damaged, adoption of our products could be impaired and we could be subject to extensive fines and penalties.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we must have adequate substantiation for the claims we make for our products. If any of our claims are determined to be false, misleading or deceptive, our products could be considered misbranded under the FDCA or in violation of the Federal Trade Commission Act. We could also face lawsuits from our competitors under the Lanham Act alleging that our marketing materials are false or misleading.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some instances in our advertising and promotion, we may make claims regarding our products relative to competing products, which may subject us to heightened regulatory scrutiny, enforcement risk, and litigation risks.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For instance, the FDA applies an elevated level of review to comparative claims when applying its statutory standards for advertising and promotion, particularly with regard to the requirement that promotional labeling be truthful and not misleading. Differing interpretations as to whether certain communications are consistent with a product’s FDA-required labeling may be more likely in some cases than others, and so, the FDA customarily evaluates communications on a fact-specific basis.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making comparative claims may draw concerns from our competitors. Where a company makes a claim in advertising or promotion that its product is superior to the product of a competitor, or that the competitor’s product is inferior, this creates legal risk in that the competitor has possible legal remedies under federal and state false advertising or unfair and deceptive trade practices law (and possibly also state libel law). Such litigation ordinarily implicates relief in equity, such as injunctive relief against further advertising, a court order directing corrective advertising, and compensatory and punitive damages where permitted by applicable law.</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advertising and promotion of our products is also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Notwithstanding the risk of legal liability in connection with claims or actions alleging misleading or comparative advertising and promotion, in foreign jurisdictions, we can market a product only if we receive a marketing authorization in the first place and, in some cases, pricing approval, from the appropriate regulatory authorities. The marketing authorization procedures vary among countries and can involve additional testing, and the time required to obtain any required authorization or approval may differ from that required to obtain FDA marketing authorization(s). Foreign regulatory authorization or approval processes may include all of the risks associated with obtaining FDA marketing authorization(s) in addition to other risks. We may not obtain foreign regulatory authorizations or approvals on a timely basis, if at all. Obtaining a marketing authorization from the FDA does not ensure authorization or approval by regulatory authorities in other countries will follow, and authorization or approval by one foreign regulatory authority does not ensure authorization or approval by regulatory authorities in other foreign countries or by the FDA. In addition, in order to obtain the authorization to market our products in certain foreign jurisdictions, we may need to obtain a Certificate to Foreign Government from the FDA. The FDA may refuse to issue a Certificate to Foreign Government in certain instances, including without limitation, during the pendency of any outstanding warning letter. As a result, we may not be able to file for regulatory approvals or marketing authorizations and may not receive necessary approvals or authorizations to commercialize our products in any market outside the United States on a timely basis, or at all.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products may in the future be subject to notifications, recalls, or voluntary market withdrawals that could harm our reputation, business and financial results.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w:t>
      </w:r>
      <w:r>
        <w:rPr>
          <w:rFonts w:ascii="times new roman;times" w:hAnsi="times new roman;times"/>
          <w:color w:val="000000"/>
          <w:sz w:val="20"/>
        </w:rPr>
        <w:t xml:space="preserve">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required to report certain malfunctions, deaths, and serious injuries associated with our products, which can result in voluntary corrective actions or agency enforcement actions.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Product recalls may materially and adversely affect consumer confidence in our brand and lead to decreased customer demand for our products. Product recalls, withdrawals, or seizures also may lead to increased scrutiny of our operations by federal, state, or international regulatory agencies and increased litigation. Both outcomes could have material adverse effects on our business,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Legislative or regulatory reforms may make it more difficult and costly for us to obtain regulatory clearance of our product candidates and to manufacture, market, and distribute our products after clearance is obtained.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Political change as a result of elections, including presidential and congressional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EU, on May 25, 2017, the new MDR was adopted, and it entered into application on May 26, 2020. The MDR has introduced substantial changes to the obligations with which medical device manufacturers must comply within the EU. High risk medical devices will be subject to additional scrutiny during the conformity assessment procedure.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subject to federal, state, and foreign healthcare laws and regulations, and a finding of failure to comply with such laws and regulations could have a material adverse effect on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3"/>
        <w:gridCol w:w="114"/>
        <w:gridCol w:w="10028"/>
      </w:tblGrid>
      <w:tr>
        <w:trPr/>
        <w:tc>
          <w:tcPr>
            <w:tcW w:w="63" w:type="dxa"/>
            <w:tcBorders/>
          </w:tcPr>
          <w:p>
            <w:pPr>
              <w:pStyle w:val="TableContents"/>
              <w:bidi w:val="0"/>
              <w:spacing w:before="0" w:after="0"/>
              <w:ind w:left="0" w:right="0" w:hanging="0"/>
              <w:jc w:val="both"/>
              <w:rPr>
                <w:color w:val="000000"/>
              </w:rPr>
            </w:pPr>
            <w:r>
              <w:rPr>
                <w:color w:val="000000"/>
              </w:rPr>
              <w:t xml:space="preserve">  </w:t>
            </w:r>
          </w:p>
        </w:tc>
        <w:tc>
          <w:tcPr>
            <w:tcW w:w="114" w:type="dxa"/>
            <w:tcBorders/>
          </w:tcPr>
          <w:p>
            <w:pPr>
              <w:pStyle w:val="TableContents"/>
              <w:bidi w:val="0"/>
              <w:spacing w:before="0" w:after="140"/>
              <w:ind w:left="0" w:right="0" w:hanging="0"/>
              <w:jc w:val="both"/>
              <w:rPr>
                <w:color w:val="000000"/>
              </w:rPr>
            </w:pPr>
            <w:r>
              <w:rPr>
                <w:color w:val="000000"/>
              </w:rPr>
              <w:t xml:space="preserve">• </w:t>
            </w:r>
          </w:p>
        </w:tc>
        <w:tc>
          <w:tcPr>
            <w:tcW w:w="10028"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Stark Law, in the event that third-party payors require us to be a durable medical equipment, or DME, supplier or we sell our products directly to providers who are DME suppliers that submit claims to such payors.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4"/>
        <w:gridCol w:w="115"/>
        <w:gridCol w:w="10026"/>
      </w:tblGrid>
      <w:tr>
        <w:trPr/>
        <w:tc>
          <w:tcPr>
            <w:tcW w:w="64" w:type="dxa"/>
            <w:tcBorders/>
          </w:tcPr>
          <w:p>
            <w:pPr>
              <w:pStyle w:val="TableContents"/>
              <w:bidi w:val="0"/>
              <w:spacing w:before="0" w:after="0"/>
              <w:ind w:left="0" w:right="0" w:hanging="0"/>
              <w:jc w:val="both"/>
              <w:rPr>
                <w:color w:val="000000"/>
              </w:rPr>
            </w:pPr>
            <w:r>
              <w:rPr>
                <w:color w:val="000000"/>
              </w:rPr>
              <w:t xml:space="preserve">  </w:t>
            </w:r>
          </w:p>
        </w:tc>
        <w:tc>
          <w:tcPr>
            <w:tcW w:w="115" w:type="dxa"/>
            <w:tcBorders/>
          </w:tcPr>
          <w:p>
            <w:pPr>
              <w:pStyle w:val="TableContents"/>
              <w:bidi w:val="0"/>
              <w:spacing w:before="0" w:after="0"/>
              <w:ind w:left="0" w:right="0" w:hanging="0"/>
              <w:jc w:val="both"/>
              <w:rPr>
                <w:color w:val="000000"/>
              </w:rPr>
            </w:pPr>
            <w:r>
              <w:rPr>
                <w:color w:val="000000"/>
              </w:rPr>
              <w:t xml:space="preserve">• </w:t>
            </w:r>
          </w:p>
        </w:tc>
        <w:tc>
          <w:tcPr>
            <w:tcW w:w="1002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Stark Law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3"/>
        <w:gridCol w:w="114"/>
        <w:gridCol w:w="10028"/>
      </w:tblGrid>
      <w:tr>
        <w:trPr/>
        <w:tc>
          <w:tcPr>
            <w:tcW w:w="63" w:type="dxa"/>
            <w:tcBorders/>
          </w:tcPr>
          <w:p>
            <w:pPr>
              <w:pStyle w:val="TableContents"/>
              <w:bidi w:val="0"/>
              <w:spacing w:before="0" w:after="0"/>
              <w:ind w:left="0" w:right="0" w:hanging="0"/>
              <w:jc w:val="both"/>
              <w:rPr>
                <w:color w:val="000000"/>
              </w:rPr>
            </w:pPr>
            <w:r>
              <w:rPr>
                <w:color w:val="000000"/>
              </w:rPr>
              <w:t xml:space="preserve">  </w:t>
            </w:r>
          </w:p>
        </w:tc>
        <w:tc>
          <w:tcPr>
            <w:tcW w:w="114" w:type="dxa"/>
            <w:tcBorders/>
          </w:tcPr>
          <w:p>
            <w:pPr>
              <w:pStyle w:val="TableContents"/>
              <w:bidi w:val="0"/>
              <w:spacing w:before="0" w:after="0"/>
              <w:ind w:left="0" w:right="0" w:hanging="0"/>
              <w:jc w:val="both"/>
              <w:rPr>
                <w:color w:val="000000"/>
              </w:rPr>
            </w:pPr>
            <w:r>
              <w:rPr>
                <w:color w:val="000000"/>
              </w:rPr>
              <w:t xml:space="preserve">• </w:t>
            </w:r>
          </w:p>
        </w:tc>
        <w:tc>
          <w:tcPr>
            <w:tcW w:w="10028"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0"/>
              <w:ind w:left="0" w:right="0" w:hanging="0"/>
              <w:jc w:val="both"/>
              <w:rPr>
                <w:color w:val="000000"/>
              </w:rPr>
            </w:pPr>
            <w:r>
              <w:rPr>
                <w:color w:val="000000"/>
              </w:rPr>
              <w:t xml:space="preserve">• </w:t>
            </w:r>
          </w:p>
        </w:tc>
        <w:tc>
          <w:tcPr>
            <w:tcW w:w="999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HIPAA, as amended,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8"/>
        <w:gridCol w:w="119"/>
        <w:gridCol w:w="10018"/>
      </w:tblGrid>
      <w:tr>
        <w:trPr/>
        <w:tc>
          <w:tcPr>
            <w:tcW w:w="68" w:type="dxa"/>
            <w:tcBorders/>
          </w:tcPr>
          <w:p>
            <w:pPr>
              <w:pStyle w:val="TableContents"/>
              <w:pBdr/>
              <w:bidi w:val="0"/>
              <w:spacing w:before="0" w:after="0"/>
              <w:ind w:left="0" w:right="0" w:hanging="0"/>
              <w:jc w:val="both"/>
              <w:rPr>
                <w:color w:val="000000"/>
              </w:rPr>
            </w:pPr>
            <w:r>
              <w:rPr>
                <w:color w:val="000000"/>
              </w:rPr>
              <w:t xml:space="preserve">  </w:t>
            </w:r>
          </w:p>
        </w:tc>
        <w:tc>
          <w:tcPr>
            <w:tcW w:w="119" w:type="dxa"/>
            <w:tcBorders/>
          </w:tcPr>
          <w:p>
            <w:pPr>
              <w:pStyle w:val="TableContents"/>
              <w:pBdr/>
              <w:bidi w:val="0"/>
              <w:spacing w:before="0" w:after="0"/>
              <w:ind w:left="0" w:right="0" w:hanging="0"/>
              <w:jc w:val="both"/>
              <w:rPr>
                <w:color w:val="000000"/>
              </w:rPr>
            </w:pPr>
            <w:r>
              <w:rPr>
                <w:color w:val="000000"/>
              </w:rPr>
              <w:t xml:space="preserve">• </w:t>
            </w:r>
          </w:p>
        </w:tc>
        <w:tc>
          <w:tcPr>
            <w:tcW w:w="10018"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5"/>
        <w:gridCol w:w="116"/>
        <w:gridCol w:w="10024"/>
      </w:tblGrid>
      <w:tr>
        <w:trPr/>
        <w:tc>
          <w:tcPr>
            <w:tcW w:w="65" w:type="dxa"/>
            <w:tcBorders/>
          </w:tcPr>
          <w:p>
            <w:pPr>
              <w:pStyle w:val="TableContents"/>
              <w:bidi w:val="0"/>
              <w:spacing w:before="0" w:after="0"/>
              <w:ind w:left="0" w:right="0" w:hanging="0"/>
              <w:jc w:val="both"/>
              <w:rPr>
                <w:color w:val="000000"/>
              </w:rPr>
            </w:pPr>
            <w:r>
              <w:rPr>
                <w:color w:val="000000"/>
              </w:rPr>
              <w:t xml:space="preserve">  </w:t>
            </w:r>
          </w:p>
        </w:tc>
        <w:tc>
          <w:tcPr>
            <w:tcW w:w="116" w:type="dxa"/>
            <w:tcBorders/>
          </w:tcPr>
          <w:p>
            <w:pPr>
              <w:pStyle w:val="TableContents"/>
              <w:bidi w:val="0"/>
              <w:spacing w:before="0" w:after="0"/>
              <w:ind w:left="0" w:right="0" w:hanging="0"/>
              <w:jc w:val="both"/>
              <w:rPr>
                <w:color w:val="000000"/>
              </w:rPr>
            </w:pPr>
            <w:r>
              <w:rPr>
                <w:color w:val="000000"/>
              </w:rPr>
              <w:t xml:space="preserve">• </w:t>
            </w:r>
          </w:p>
        </w:tc>
        <w:tc>
          <w:tcPr>
            <w:tcW w:w="10024" w:type="dxa"/>
            <w:tcBorders/>
          </w:tcPr>
          <w:p>
            <w:pPr>
              <w:pStyle w:val="TableContents"/>
              <w:bidi w:val="0"/>
              <w:spacing w:lineRule="auto" w:line="288"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CMS information related to payments and other transfers of value to physicians (defined to include doctors, dentists, optometrists, podiatrists and chiropractors), teaching hospitals, and, beginning in </w:t>
            </w:r>
            <w:r>
              <w:rPr>
                <w:rFonts w:ascii="times new roman;times" w:hAnsi="times new roman;times"/>
                <w:color w:val="000000"/>
                <w:sz w:val="20"/>
              </w:rPr>
              <w:t>2022</w:t>
            </w:r>
            <w:r>
              <w:rPr>
                <w:rFonts w:ascii="times new roman;times" w:hAnsi="times new roman;times"/>
                <w:color w:val="000000"/>
                <w:sz w:val="20"/>
              </w:rPr>
              <w:t xml:space="preserve">,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5"/>
        <w:gridCol w:w="116"/>
        <w:gridCol w:w="10024"/>
      </w:tblGrid>
      <w:tr>
        <w:trPr/>
        <w:tc>
          <w:tcPr>
            <w:tcW w:w="65" w:type="dxa"/>
            <w:tcBorders/>
            <w:vAlign w:val="center"/>
          </w:tcPr>
          <w:p>
            <w:pPr>
              <w:pStyle w:val="TableContents"/>
              <w:bidi w:val="0"/>
              <w:spacing w:before="0" w:after="283"/>
              <w:ind w:left="0" w:right="0" w:hanging="0"/>
              <w:jc w:val="left"/>
              <w:rPr/>
            </w:pPr>
            <w:r>
              <w:rPr/>
            </w:r>
          </w:p>
        </w:tc>
        <w:tc>
          <w:tcPr>
            <w:tcW w:w="11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24"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FCPA and similar worldwide anti-bribery laws in non-U.S. jurisdictions generally prohibit companies and their intermediaries from making improper payments to non-U.S. officials for the purpose of obtaining or retaining business;</w:t>
            </w:r>
          </w:p>
        </w:tc>
      </w:tr>
      <w:tr>
        <w:trPr/>
        <w:tc>
          <w:tcPr>
            <w:tcW w:w="65" w:type="dxa"/>
            <w:tcBorders/>
          </w:tcPr>
          <w:p>
            <w:pPr>
              <w:pStyle w:val="TableContents"/>
              <w:pBdr/>
              <w:bidi w:val="0"/>
              <w:spacing w:before="0" w:after="0"/>
              <w:ind w:left="0" w:right="0" w:hanging="0"/>
              <w:jc w:val="both"/>
              <w:rPr>
                <w:color w:val="000000"/>
              </w:rPr>
            </w:pPr>
            <w:r>
              <w:rPr>
                <w:color w:val="000000"/>
              </w:rPr>
              <w:t xml:space="preserve">  </w:t>
            </w:r>
          </w:p>
        </w:tc>
        <w:tc>
          <w:tcPr>
            <w:tcW w:w="116" w:type="dxa"/>
            <w:tcBorders/>
          </w:tcPr>
          <w:p>
            <w:pPr>
              <w:pStyle w:val="TableContents"/>
              <w:pBdr/>
              <w:bidi w:val="0"/>
              <w:spacing w:before="0" w:after="0"/>
              <w:ind w:left="0" w:right="0" w:hanging="0"/>
              <w:jc w:val="both"/>
              <w:rPr>
                <w:color w:val="000000"/>
              </w:rPr>
            </w:pPr>
            <w:r>
              <w:rPr>
                <w:color w:val="000000"/>
              </w:rPr>
              <w:t xml:space="preserve">• </w:t>
            </w:r>
          </w:p>
        </w:tc>
        <w:tc>
          <w:tcPr>
            <w:tcW w:w="1002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state and foreign law equivalents of each of the above federal laws, such as state anti-kickback and false claims laws that may apply to items or services reimbursed by any third-party payor,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scope and enforcement of each of these laws are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time-consuming and costly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have implemented policies and procedures designed to ensure compliance with applicable global laws and regulations, but there can be no assurance that we will be in continuous compliance with all relevant domestic and global regulations, given their multitude, complexity, and changeable nature. 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Breakthrough Designation from the FDA may not actually lead to a faster development or regulatory review or approval process and does not assure FDA approval of our devices.</w:t>
      </w:r>
      <w:r>
        <w:rPr>
          <w:rFonts w:ascii="times new roman;times" w:hAnsi="times new roman;times"/>
          <w:color w:val="000000"/>
          <w:sz w:val="20"/>
        </w:rPr>
        <w:t xml:space="preserve">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FDA’s Breakthrough Devices Program is a voluntary program for certain medical devices and device-led combination products that provide for more effective treatment or diagnosis of life-threatening or irreversibly debilitating diseases or conditions.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marketing authorization.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While our </w:t>
      </w:r>
      <w:r>
        <w:rPr>
          <w:rFonts w:ascii="times new roman;times" w:hAnsi="times new roman;times"/>
          <w:b w:val="false"/>
          <w:color w:val="000000"/>
          <w:spacing w:val="0"/>
          <w:sz w:val="20"/>
        </w:rPr>
        <w:t>prescription</w:t>
      </w:r>
      <w:r>
        <w:rPr>
          <w:rFonts w:ascii="times new roman;times" w:hAnsi="times new roman;times"/>
          <w:color w:val="000000"/>
          <w:sz w:val="20"/>
        </w:rPr>
        <w:t> gammaCore nVNS device has received Breakthrough Designation from the FDA for the treatment of posttraumatic stress disorder, or PTSD, we may not experience a faster development process, review or approval compared to conventional FDA procedures. In addition, the FDA may withdraw Breakthrough Device designation if it believes that the Designation is no longer supported by data from our clinical development program.</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Healthcare legislative reform measures may have a material adverse effect on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United States, there have been, and continue to be, a number of legislative initiatives to contain healthcare costs. In March 2010, the ACA was signed into law, which included, among other things, comparative effectiveness research initiatives and payment system reforms, including shared savings pilots, and other provisions. Since its enactment, there have been judicial and Congressional challenges to certain aspects of the ACA. On June 17, 2021, the U.S. Supreme Court dismissed a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the ACA or our business. Any new limitations on, changes to, or uncertainty with respect to the ability of individuals to enroll in governmental reimbursement programs or other third-party payor insurance plans could impact overall demand for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other legislative changes have been proposed and adopted in the United States since the ACA was enacted. These changes included an aggregate reduction in Medicare payments to providers of 2% per fiscal year, which went into effect on April 1, 2013 and will remain in effect through 2031, with the exception of a temporary suspension from May 1, 2020 through December 31, 2022, unless additional Congressional action is taken. In addition, on January 2, 2013, the American Taxpayer Relief Act of 2012, was signed into law which, among other things, further reduced Medicare payments to certain providers, including hospitals. The Medicare Access and CHIP Reauthorization Act of 2015, enacted on April 16,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ESG matters, including those related to climate change and sustainability, may have an adverse effect on our business, financial condition, and operating results and may damage our reputation.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Companies across all industries are facing increasing scrutiny regarding their environmental, social, and governance practices. In particular, we expect many customers will continue to indicate preferences for buying products that are sustainably and responsibly grown and/or made. Changing and unpredictable preferences in this manner may result in increased interest in the sourcing or origin of our components, the recyclability of our products, and the environmental impact of our supply chain, among other areas of interest. Such preferences could require additional transparency, due diligence, and public reporting and could cause us to incur additional costs or to make changes to our business operations. We may also determine that certain changes are required in anticipation of further evolution of consumer preferences and demands. Increased focus on ESG matters may also result in investors reconsidering their investment decisions as a result of their particular assessments of a company’s ESG practices. Moreover, concern over climate change and other environmental sustainability matters has resulted and may in the future result in new or elevated legal and regulatory requirements to reduce or militate against certain impacts to the environment, including greenhouse gas emissions regulations, alternative energy policies, and sustainability initiatives, such as single use plastics. Increased regulatory requirements may be more complex and detailed relative to any sustainability measures we may be currently undertaking or may consider implementing in the future and may cause disruptions in the supply and manufacture of our products or an increase in operating costs. If we fail to achieve any goals, targets, or objectives we may set with respect to ESG matters, if we do not comply with new regulations and laws or meet evolving consumer, investor, industry, or other stakeholder expectations and standards, including those related to potential reporting, or if we are perceived to have not responded appropriately to a growing concern for ESG matters, we may face public or private legal or regulatory actions; the imposition of fines, penalties, or other sanctions; adverse publicity; and decreased total demand from certain customers who may cease buying our products, and the price of our stock could decline. Any of these possible results could adversely and materially harm our reputation or have a materially significant effect on our business, financial condition, or operating results.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ability to use our net operating losses to offset future taxable income may be subject to certain limitations which could subject our business to higher tax liability.</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w:t>
      </w:r>
      <w:r>
        <w:rPr>
          <w:rFonts w:ascii="Times New Roman;serif" w:hAnsi="Times New Roman;serif"/>
          <w:color w:val="000000"/>
          <w:sz w:val="20"/>
        </w:rPr>
        <w:t>Code of 1986, as amended, and similar state law provisions, limit the use of NOLs and tax credits after a cumulative change in corporate ownership of more than 50% occurs within a three-year period. The statutes limit how much NOLs and tax credits a corporation can use in a tax year after a change in ownership. Avoiding an ownership change is generally beyond our control and even where within our control we may choose to experience an ownership change in connection with a financing or other transaction that might limit our use of NOLs and tax credits in the future. In addition, realization of deferred tax assets, including net operating loss carryforwards, depends upon our future earnings in applicable tax jurisdictions. If we have insufficient future taxable income in the applicable tax jurisdiction for any reason, including any future corporate reorganization or restructuring activities, we may be limited in our ability to utilize some or all of our net operating losses to offset such income and reduce our tax liability in that jurisdiction. See Note 10 “Income Taxes” to the consolidated financial statements in Part II, Item 8 of this Annual Report on Form 10-K for additional information.</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is also a risk that due to regulatory changes or changes to federal or state law, such as suspensions on the use of NOLs, or other unforeseen reasons, our existing NOLs could expire or otherwise be unavailable either in whole or in part to offset future income tax liabilities. For example, under the Coronavirus Aid, Relief, and Economic Security Act of 2020, or CARES Act, which amended certain provisions of the Tax Cuts and Jobs Act of 2017, or TCJA, NOLs arising in taxable years beginning after December 31, 2017 and before January 1, 2021 may be carried back to each of the five taxable years preceding the tax year of such loss, but NOLs arising in taxable years beginning after December 31, 2020 may not be carried back. The TCJA, as amended by the CARES Act, also provides that NOLs from tax years that began after December 31, 2017 may offset no more than 80% of current taxable income annually for taxable years beginning after December 31, 2020.</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Risks Related to Our Common Stock</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Our failure to meet the continued listing requirements of Nasdaq could result in a delisting of our common stock, which could negatively</w:t>
      </w:r>
      <w:r>
        <w:rPr>
          <w:rFonts w:ascii="times new roman;times" w:hAnsi="times new roman;times"/>
          <w:sz w:val="20"/>
        </w:rPr>
        <w:t xml:space="preserve"> </w:t>
      </w:r>
      <w:r>
        <w:rPr>
          <w:rFonts w:ascii="times new roman;times" w:hAnsi="times new roman;times"/>
          <w:b/>
          <w:i/>
          <w:color w:val="000000"/>
          <w:sz w:val="20"/>
        </w:rPr>
        <w:t>impact the market price and liquidity of our common stock</w:t>
      </w:r>
      <w:r>
        <w:rPr>
          <w:rFonts w:ascii="times new roman;times" w:hAnsi="times new roman;times"/>
          <w:color w:val="000000"/>
          <w:sz w:val="20"/>
        </w:rPr>
        <w:t xml:space="preserve"> </w:t>
      </w:r>
      <w:r>
        <w:rPr>
          <w:rFonts w:ascii="times new roman;times" w:hAnsi="times new roman;times"/>
          <w:b/>
          <w:i/>
          <w:color w:val="000000"/>
          <w:sz w:val="20"/>
        </w:rPr>
        <w:t>and our ability to access the capital markets. </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Any Nasdaq action relating to failure to comply with Nasdaq’s continued listing requirement including a formal delisting could have a negative effect on the price of our common stock, impair the ability to sell or purchase our common stock when persons wish to do so, and any such delisting action may materially adversely affect our ability to raise capital or pursue strategic restructuring, refinancing or other transactions on acceptable terms, or at all. Delisting or potential delisting from the Nasdaq Capital Market could also have other negative results, including the potential loss of institutional investor interest and fewer business development opportunities.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event of any delisting or potential delisting, we may attempt to take actions to restore our compliance with Nasdaq’s listing requirements, but we can provide no assurance that any such action taken by us would allow our common stock to remain listed or be re-listed, stabilize the market price or improve the liquidity of our common stock, maintain a minimum closing bid price of $1.00 per share as required for continued listing on the Nasdaq Capital Market pursuant to Nasdaq Listing Rule 5450(a)(1) or prevent future non-compliance with Nasdaq’s listing requirements. If Nasdaq delists our shares of Common Stock from trading on its exchange for failure to meet Nasdaq’s listing standards, we and our stockholders could face significant material adverse consequences including:</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tcPr>
          <w:p>
            <w:pPr>
              <w:pStyle w:val="TableContents"/>
              <w:bidi w:val="0"/>
              <w:spacing w:before="0" w:after="0"/>
              <w:ind w:left="0" w:right="0" w:hanging="0"/>
              <w:jc w:val="left"/>
              <w:rPr/>
            </w:pPr>
            <w:r>
              <w:rPr/>
              <w:t>a limited availability of market quotations for our securities;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tcPr>
          <w:p>
            <w:pPr>
              <w:pStyle w:val="TableContents"/>
              <w:bidi w:val="0"/>
              <w:spacing w:before="0" w:after="0"/>
              <w:ind w:left="0" w:right="0" w:hanging="0"/>
              <w:jc w:val="left"/>
              <w:rPr/>
            </w:pPr>
            <w:r>
              <w:rPr/>
              <w:t>reduced liquidity for our securities;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tcPr>
          <w:p>
            <w:pPr>
              <w:pStyle w:val="TableContents"/>
              <w:bidi w:val="0"/>
              <w:spacing w:before="0" w:after="0"/>
              <w:ind w:left="0" w:right="0" w:hanging="0"/>
              <w:jc w:val="left"/>
              <w:rPr/>
            </w:pPr>
            <w:r>
              <w:rPr/>
              <w:t>a determination that our Common Stock is a “penny stock” which will require brokers trading in our Common Stock to adhere to more stringent rules and possibly result in a reduced level of trading activity in the secondary trading market for our securities;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tcPr>
          <w:p>
            <w:pPr>
              <w:pStyle w:val="TableContents"/>
              <w:bidi w:val="0"/>
              <w:spacing w:before="0" w:after="0"/>
              <w:ind w:left="0" w:right="0" w:hanging="0"/>
              <w:jc w:val="left"/>
              <w:rPr/>
            </w:pPr>
            <w:r>
              <w:rPr/>
              <w:t>a limited amount of news and analyst coverage; and</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tcPr>
          <w:p>
            <w:pPr>
              <w:pStyle w:val="TableContents"/>
              <w:bidi w:val="0"/>
              <w:spacing w:before="0" w:after="0"/>
              <w:jc w:val="left"/>
              <w:rPr/>
            </w:pPr>
            <w:r>
              <w:rPr/>
              <w:t>a decreased ability to issue additional securities or obtain additional financing in the future.</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In addition, the stock market in general, and the Nasdaq Capital Market,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r>
        <w:rPr>
          <w:rFonts w:ascii="Times New Roman;serif" w:hAnsi="Times New Roman;serif"/>
          <w:sz w:val="20"/>
        </w:rPr>
        <w:t xml:space="preserve"> </w:t>
      </w:r>
    </w:p>
    <w:p>
      <w:pPr>
        <w:pStyle w:val="TextBody"/>
        <w:bidi w:val="0"/>
        <w:spacing w:lineRule="auto" w:line="288" w:before="0" w:after="0"/>
        <w:ind w:left="0" w:right="0" w:hanging="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currently subject to securities class action lawsuits against us, which could result in adverse outcomes.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described in Item 3. Legal Proceedings, we and certain of our present and past directors and officers have been named in putative securities class action lawsuits alleging violations of the Securities Act of 1933 (</w:t>
      </w:r>
      <w:r>
        <w:rPr>
          <w:rFonts w:ascii="times new roman;times" w:hAnsi="times new roman;times"/>
          <w:caps w:val="false"/>
          <w:smallCaps w:val="false"/>
          <w:color w:val="000000"/>
          <w:spacing w:val="0"/>
          <w:sz w:val="20"/>
        </w:rPr>
        <w:t>“</w:t>
      </w:r>
      <w:r>
        <w:rPr>
          <w:rFonts w:ascii="times new roman;times" w:hAnsi="times new roman;times"/>
          <w:color w:val="000000"/>
          <w:sz w:val="20"/>
        </w:rPr>
        <w:t>Securities Act</w:t>
      </w:r>
      <w:r>
        <w:rPr>
          <w:rFonts w:ascii="times new roman;times" w:hAnsi="times new roman;times"/>
          <w:caps w:val="false"/>
          <w:smallCaps w:val="false"/>
          <w:color w:val="000000"/>
          <w:spacing w:val="0"/>
          <w:sz w:val="20"/>
        </w:rPr>
        <w:t>”</w:t>
      </w:r>
      <w:r>
        <w:rPr>
          <w:rFonts w:ascii="times new roman;times" w:hAnsi="times new roman;times"/>
          <w:color w:val="000000"/>
          <w:sz w:val="20"/>
        </w:rPr>
        <w:t>) and the Securities Exchange Act of 1934, as amended (</w:t>
      </w:r>
      <w:r>
        <w:rPr>
          <w:rFonts w:ascii="times new roman;times" w:hAnsi="times new roman;times"/>
          <w:caps w:val="false"/>
          <w:smallCaps w:val="false"/>
          <w:color w:val="000000"/>
          <w:spacing w:val="0"/>
          <w:sz w:val="20"/>
        </w:rPr>
        <w:t>“</w:t>
      </w:r>
      <w:r>
        <w:rPr>
          <w:rFonts w:ascii="times new roman;times" w:hAnsi="times new roman;times"/>
          <w:color w:val="000000"/>
          <w:sz w:val="20"/>
        </w:rPr>
        <w:t>Exchange Act</w:t>
      </w:r>
      <w:r>
        <w:rPr>
          <w:rFonts w:ascii="times new roman;times" w:hAnsi="times new roman;times"/>
          <w:caps w:val="false"/>
          <w:smallCaps w:val="false"/>
          <w:color w:val="000000"/>
          <w:spacing w:val="0"/>
          <w:sz w:val="20"/>
        </w:rPr>
        <w:t>”</w:t>
      </w:r>
      <w:r>
        <w:rPr>
          <w:rFonts w:ascii="times new roman;times" w:hAnsi="times new roman;times"/>
          <w:color w:val="000000"/>
          <w:sz w:val="20"/>
        </w:rPr>
        <w: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certain expenses or losses associated with these lawsuits, this coverage will not cover all such expenses or losses and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broad discretion to determine how to use most of our financial resources and may use them in ways that may not enhance our operating results or the price of our common stock.</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120"/>
        <w:ind w:left="0" w:right="0" w:hanging="0"/>
        <w:jc w:val="left"/>
        <w:rPr>
          <w:rFonts w:ascii="times new roman;times" w:hAnsi="times new roman;times"/>
          <w:color w:val="000000"/>
          <w:sz w:val="20"/>
        </w:rPr>
      </w:pPr>
      <w:r>
        <w:rPr>
          <w:rFonts w:ascii="times new roman;times" w:hAnsi="times new roman;times"/>
          <w:color w:val="000000"/>
          <w:sz w:val="20"/>
        </w:rPr>
        <w:t>Our management has broad discretion over the use of most of our financial resources, including proceeds from financings, and we could spend such proceeds in ways our stockholders may not agree with or that do not yield a favorable return, if at all. If we do not invest or apply our financial resources, including the proceeds from such financings and such purchase agreement in ways that improve our operating results, we may fail to achieve expected financial results, which could cause our stock price to decline.</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An active, liquid and orderly market for our common stock may not continue to be sustained, and our stockholders may not be able to resell their shares at a desired market price and could lose all or part of their investment.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our common stock is listed on the Nasdaq, we cannot assure you that an active, liquid trading market for our shares will continue to be sustained. A public trading market having the desired characteristics of depth, liquidity, and orderliness depends upon the presence in the marketplace and independent decisions of willing buyers and sellers of our common stock, over which we have no control. The lack of an active market may impair our stockholders’ ability to sell their shares at the desired time or at a price that our stockholders consider reasonable. An inactive market may also impair our ability to raise capital by selling shares and may impair our ability to acquire other businesses or technologies or in-license new product candidates using our shares as consideration. We cannot offer any assurance that an active trading market for our common stock will be sustained or how liquid that market may become. As a result, relatively small trades may have a disproportionate impact on the price of our common stock, which may contribute to the price volatility of our common stock and could limit stockholders’ ability to sell their shares. In addition, the stock market in general, and the market for smaller biotechnology companies in particular, have experienced extreme price and volume fluctuations that may be unrelated or disproportionate to the operating performance of these companies. Broad market and industry factors may negatively affect the market price of our common stock, regardless of our actual operating performance. The above factors could adversely affect the value of our common stock and cause you to lose all or part of your investment.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b/>
          <w:i/>
          <w:color w:val="000000"/>
          <w:sz w:val="20"/>
        </w:rPr>
        <w:t>We </w:t>
      </w:r>
      <w:r>
        <w:rPr>
          <w:rFonts w:ascii="Times New Roman;serif" w:hAnsi="Times New Roman;serif"/>
          <w:b/>
          <w:i/>
          <w:color w:val="000000"/>
          <w:sz w:val="20"/>
        </w:rPr>
        <w:t>may identify a material weakness</w:t>
      </w:r>
      <w:r>
        <w:rPr>
          <w:rFonts w:ascii="Times New Roman;serif" w:hAnsi="Times New Roman;serif"/>
          <w:color w:val="000000"/>
          <w:sz w:val="20"/>
        </w:rPr>
        <w:t xml:space="preserve"> </w:t>
      </w:r>
      <w:r>
        <w:rPr>
          <w:rFonts w:ascii="Times New Roman;serif" w:hAnsi="Times New Roman;serif"/>
          <w:b/>
          <w:i/>
          <w:color w:val="000000"/>
          <w:sz w:val="20"/>
        </w:rPr>
        <w:t>in </w:t>
      </w:r>
      <w:r>
        <w:rPr>
          <w:rFonts w:ascii="Times New Roman;serif" w:hAnsi="Times New Roman;serif"/>
          <w:b/>
          <w:i/>
          <w:sz w:val="20"/>
        </w:rPr>
        <w:t>our internal control over financial reporting and determine that our disclosure controls were not effective. If we are unable to remediate such a material weakness, or if we experience additional material weaknesses in the future, we may not be able to accurately or timely report our financial condition or results of operations and investors may lose confidence in our financial reports and the market price of our common stock could be adversely affected.</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As a public company, we are required to maintain effective disclosure controls and procedures and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2020, management has provided a report on internal control over financial reporting. The Sarbanes-Oxley Act also requires that our management report on internal control over financial reporting be attested to by our independent registered public accounting firm, to the extent we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have annual revenues under $100 million </w:t>
      </w:r>
      <w:r>
        <w:rPr>
          <w:rFonts w:ascii="Times New Roman;serif" w:hAnsi="Times New Roman;serif"/>
          <w:color w:val="000000"/>
          <w:sz w:val="20"/>
        </w:rPr>
        <w:t>and we are not an accelerated filer or large accelerated filer due to surpassing the SEC’s threshold of  market capitalization greater than $250 million</w:t>
      </w:r>
      <w:r>
        <w:rPr>
          <w:rFonts w:ascii="times new roman;times" w:hAnsi="times new roman;times"/>
          <w:color w:val="000000"/>
          <w:sz w:val="20"/>
        </w:rPr>
        <w:t>. If and when we have to design and implement the internal control over financial reporting required to comply with this obligation, such process will be time consuming, costly, and complicated.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preparation of our condensed consolidated financial statements for our Quarterly Report for the period ended September 30, 2023, we determined that a material weakness in our internal control over financial reporting existed relating to payment security controls and procedures, which weakness did not result in any identified material misstatement, nor any change to previously reported financial results. Management also determined that our disclosure controls were ineffective as of September 30, 2023 due to the existence of this material weakness.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In 2024, management implemented measures designed to ensure that the control deficiencies that contributed to the material weakness were remediated, such that these controls are designed, implemented, and operating effectively. Remediation efforts included but are not limited to (a) enhance processes and procedures around payment security, (b) verifying changes to vendor information on a timely basis, and (c) using alternate channels to verify changes to vendor payment information.</w:t>
      </w:r>
    </w:p>
    <w:p>
      <w:pPr>
        <w:pStyle w:val="TextBody"/>
        <w:shd w:fill="FFFFFF" w:val="clear"/>
        <w:bidi w:val="0"/>
        <w:spacing w:lineRule="atLeast" w:line="240" w:before="0" w:after="0"/>
        <w:ind w:left="0" w:right="0" w:hanging="0"/>
        <w:jc w:val="left"/>
        <w:rPr>
          <w:color w:val="000000"/>
          <w:sz w:val="20"/>
        </w:rPr>
      </w:pPr>
      <w:r>
        <w:rPr>
          <w:color w:val="000000"/>
          <w:sz w:val="20"/>
        </w:rPr>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As of September 30, 2024, management has completed its testing and evaluation of the implementation of internal controls and revised processes and has concluded that the material weakness has been remediated and will provide reasonable assurance that they will prevent or detect a material error in our financial statements.</w:t>
      </w:r>
    </w:p>
    <w:p>
      <w:pPr>
        <w:pStyle w:val="TextBody"/>
        <w:widowControl/>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If we experience additional material weaknesses in the future or otherwise fail to maintain an effective system of internal controls, we may not be able to accurately or timely report our financial condition or results of operations and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 to identify, assess and correct any additional material weakness in disclosure or internal control and to otherwise comply with the internal and disclosure controls rules under Section 404 of the Sarbanes-Oxley Act, when applicable.</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Provisions in our charter documents and under Delaware law could discourage a takeover that stockholders may consider favorable and may lead to entrenchment of management.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and bylaws</w:t>
      </w:r>
      <w:r>
        <w:rPr>
          <w:rFonts w:ascii="Times New Roman;serif" w:hAnsi="Times New Roman;serif"/>
          <w:color w:val="000000"/>
          <w:sz w:val="20"/>
        </w:rPr>
        <w:t xml:space="preserve">, as amended and restated (the “bylaws”), contain </w:t>
      </w:r>
      <w:r>
        <w:rPr>
          <w:rFonts w:ascii="times new roman;times" w:hAnsi="times new roman;times"/>
          <w:color w:val="000000"/>
          <w:sz w:val="20"/>
        </w:rPr>
        <w:t>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0"/>
        <w:gridCol w:w="151"/>
        <w:gridCol w:w="9954"/>
      </w:tblGrid>
      <w:tr>
        <w:trPr/>
        <w:tc>
          <w:tcPr>
            <w:tcW w:w="100" w:type="dxa"/>
            <w:tcBorders/>
          </w:tcPr>
          <w:p>
            <w:pPr>
              <w:pStyle w:val="TableContents"/>
              <w:pBdr/>
              <w:bidi w:val="0"/>
              <w:spacing w:before="0" w:after="0"/>
              <w:ind w:left="0" w:right="0" w:hanging="0"/>
              <w:jc w:val="both"/>
              <w:rPr>
                <w:color w:val="000000"/>
              </w:rPr>
            </w:pPr>
            <w:r>
              <w:rPr>
                <w:color w:val="000000"/>
              </w:rPr>
              <w:t xml:space="preserve">  </w:t>
            </w:r>
          </w:p>
        </w:tc>
        <w:tc>
          <w:tcPr>
            <w:tcW w:w="151" w:type="dxa"/>
            <w:tcBorders/>
          </w:tcPr>
          <w:p>
            <w:pPr>
              <w:pStyle w:val="TableContents"/>
              <w:pBdr/>
              <w:bidi w:val="0"/>
              <w:spacing w:before="0" w:after="0"/>
              <w:ind w:left="0" w:right="0" w:hanging="0"/>
              <w:jc w:val="both"/>
              <w:rPr>
                <w:color w:val="000000"/>
              </w:rPr>
            </w:pPr>
            <w:r>
              <w:rPr>
                <w:color w:val="000000"/>
              </w:rPr>
              <w:t xml:space="preserve">• </w:t>
            </w:r>
          </w:p>
        </w:tc>
        <w:tc>
          <w:tcPr>
            <w:tcW w:w="995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 classified board of directors with three-year staggered terms, which may delay the ability of stockholders to change the membership of a majority of our board of directors;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no cumulative voting in the election of directors, which limits the ability of minority stockholders to elect director candidates;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required approval of at least 66 2/3% of the shares entitled to vote to remove a director for cause, and the prohibition on removal of directors without cause;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1"/>
        <w:gridCol w:w="215"/>
        <w:gridCol w:w="9839"/>
      </w:tblGrid>
      <w:tr>
        <w:trPr/>
        <w:tc>
          <w:tcPr>
            <w:tcW w:w="151" w:type="dxa"/>
            <w:tcBorders/>
          </w:tcPr>
          <w:p>
            <w:pPr>
              <w:pStyle w:val="TableContents"/>
              <w:bidi w:val="0"/>
              <w:spacing w:before="0" w:after="0"/>
              <w:ind w:left="0" w:right="0" w:hanging="0"/>
              <w:jc w:val="both"/>
              <w:rPr>
                <w:color w:val="000000"/>
              </w:rPr>
            </w:pPr>
            <w:r>
              <w:rPr>
                <w:color w:val="000000"/>
              </w:rPr>
              <w:t xml:space="preserve">  </w:t>
            </w:r>
          </w:p>
        </w:tc>
        <w:tc>
          <w:tcPr>
            <w:tcW w:w="215" w:type="dxa"/>
            <w:tcBorders/>
          </w:tcPr>
          <w:p>
            <w:pPr>
              <w:pStyle w:val="TableContents"/>
              <w:bidi w:val="0"/>
              <w:spacing w:before="0" w:after="0"/>
              <w:ind w:left="0" w:right="0" w:hanging="0"/>
              <w:jc w:val="both"/>
              <w:rPr>
                <w:color w:val="000000"/>
              </w:rPr>
            </w:pPr>
            <w:r>
              <w:rPr>
                <w:color w:val="000000"/>
              </w:rPr>
              <w:t xml:space="preserve">• </w:t>
            </w:r>
          </w:p>
        </w:tc>
        <w:tc>
          <w:tcPr>
            <w:tcW w:w="9839" w:type="dxa"/>
            <w:tcBorders/>
          </w:tcPr>
          <w:p>
            <w:pPr>
              <w:pStyle w:val="TableContents"/>
              <w:bidi w:val="0"/>
              <w:spacing w:before="0" w:after="140"/>
              <w:ind w:left="0" w:right="0" w:hanging="0"/>
              <w:jc w:val="left"/>
              <w:rPr>
                <w:rFonts w:ascii="times new roman;times" w:hAnsi="times new roman;times"/>
                <w:color w:val="000000"/>
                <w:sz w:val="20"/>
              </w:rPr>
            </w:pPr>
            <w:r>
              <w:rPr>
                <w:rFonts w:ascii="times new roman;times" w:hAnsi="times new roman;times"/>
                <w:color w:val="000000"/>
                <w:sz w:val="20"/>
              </w:rPr>
              <w:t xml:space="preserve">the ability of our board of directors to alter our bylaws without obtaining stockholder approval;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14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required approval of at least 66 2/3% of the shares entitled to vote at an election of directors to adopt, amend or repeal our bylaws or repeal the provisions of our amended and restated certificate of incorporation regarding the election and removal of directors;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6"/>
        <w:gridCol w:w="157"/>
        <w:gridCol w:w="9942"/>
      </w:tblGrid>
      <w:tr>
        <w:trPr/>
        <w:tc>
          <w:tcPr>
            <w:tcW w:w="106" w:type="dxa"/>
            <w:tcBorders/>
          </w:tcPr>
          <w:p>
            <w:pPr>
              <w:pStyle w:val="TableContents"/>
              <w:bidi w:val="0"/>
              <w:spacing w:before="0" w:after="0"/>
              <w:ind w:left="0" w:right="0" w:hanging="0"/>
              <w:jc w:val="both"/>
              <w:rPr>
                <w:color w:val="000000"/>
              </w:rPr>
            </w:pPr>
            <w:r>
              <w:rPr>
                <w:color w:val="000000"/>
              </w:rPr>
              <w:t xml:space="preserve">  </w:t>
            </w:r>
          </w:p>
        </w:tc>
        <w:tc>
          <w:tcPr>
            <w:tcW w:w="157" w:type="dxa"/>
            <w:tcBorders/>
          </w:tcPr>
          <w:p>
            <w:pPr>
              <w:pStyle w:val="TableContents"/>
              <w:bidi w:val="0"/>
              <w:spacing w:before="0" w:after="0"/>
              <w:ind w:left="0" w:right="0" w:hanging="0"/>
              <w:jc w:val="both"/>
              <w:rPr>
                <w:color w:val="000000"/>
              </w:rPr>
            </w:pPr>
            <w:r>
              <w:rPr>
                <w:color w:val="000000"/>
              </w:rPr>
              <w:t xml:space="preserve">• </w:t>
            </w:r>
          </w:p>
        </w:tc>
        <w:tc>
          <w:tcPr>
            <w:tcW w:w="994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 prohibition on stockholder action by written consent, which forces stockholder action to be taken at an annual or special meeting of our stockholders;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0"/>
              <w:ind w:left="0" w:right="0" w:hanging="0"/>
              <w:jc w:val="both"/>
              <w:rPr>
                <w:color w:val="000000"/>
              </w:rPr>
            </w:pPr>
            <w:r>
              <w:rPr>
                <w:color w:val="000000"/>
              </w:rPr>
              <w:t xml:space="preserve">• </w:t>
            </w:r>
          </w:p>
        </w:tc>
        <w:tc>
          <w:tcPr>
            <w:tcW w:w="999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
        <w:gridCol w:w="128"/>
        <w:gridCol w:w="10000"/>
      </w:tblGrid>
      <w:tr>
        <w:trPr/>
        <w:tc>
          <w:tcPr>
            <w:tcW w:w="77" w:type="dxa"/>
            <w:tcBorders/>
          </w:tcPr>
          <w:p>
            <w:pPr>
              <w:pStyle w:val="TableContents"/>
              <w:pBdr/>
              <w:bidi w:val="0"/>
              <w:spacing w:before="0" w:after="0"/>
              <w:ind w:left="0" w:right="0" w:hanging="0"/>
              <w:jc w:val="both"/>
              <w:rPr>
                <w:color w:val="000000"/>
              </w:rPr>
            </w:pPr>
            <w:r>
              <w:rPr>
                <w:color w:val="000000"/>
              </w:rPr>
              <w:t xml:space="preserve">  </w:t>
            </w:r>
          </w:p>
        </w:tc>
        <w:tc>
          <w:tcPr>
            <w:tcW w:w="128" w:type="dxa"/>
            <w:tcBorders/>
          </w:tcPr>
          <w:p>
            <w:pPr>
              <w:pStyle w:val="TableContents"/>
              <w:pBdr/>
              <w:bidi w:val="0"/>
              <w:spacing w:before="0" w:after="0"/>
              <w:ind w:left="0" w:right="0" w:hanging="0"/>
              <w:jc w:val="both"/>
              <w:rPr>
                <w:color w:val="000000"/>
              </w:rPr>
            </w:pPr>
            <w:r>
              <w:rPr>
                <w:color w:val="000000"/>
              </w:rPr>
              <w:t xml:space="preserve">• </w:t>
            </w:r>
          </w:p>
        </w:tc>
        <w:tc>
          <w:tcPr>
            <w:tcW w:w="10000"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these provisions would apply even if we were to receive an offer that some stockholders may consider beneficial.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also subject to the anti-takeover provisions contained in Section 203 of the Delaware General Corporation Law (or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Claims for indemnification by our directors and officers may reduce our available funds to satisfy successful third-party claims against us and may reduce the amount of money available to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and bylaws provide that we will indemnify our directors and officers to the fullest extent permitted by Delaware law.</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as permitted by Section 145 of the DGCL, our amended and restated bylaws and our indemnification agreements that we have entered into with our directors and officers provide that:</w:t>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2"/>
        <w:gridCol w:w="123"/>
        <w:gridCol w:w="10010"/>
      </w:tblGrid>
      <w:tr>
        <w:trPr/>
        <w:tc>
          <w:tcPr>
            <w:tcW w:w="72" w:type="dxa"/>
            <w:tcBorders/>
          </w:tcPr>
          <w:p>
            <w:pPr>
              <w:pStyle w:val="TableContents"/>
              <w:bidi w:val="0"/>
              <w:spacing w:before="0" w:after="0"/>
              <w:ind w:left="0" w:right="0" w:hanging="0"/>
              <w:jc w:val="both"/>
              <w:rPr>
                <w:color w:val="000000"/>
              </w:rPr>
            </w:pPr>
            <w:r>
              <w:rPr>
                <w:color w:val="000000"/>
              </w:rPr>
              <w:t xml:space="preserve">  </w:t>
            </w:r>
          </w:p>
        </w:tc>
        <w:tc>
          <w:tcPr>
            <w:tcW w:w="123" w:type="dxa"/>
            <w:tcBorders/>
          </w:tcPr>
          <w:p>
            <w:pPr>
              <w:pStyle w:val="TableContents"/>
              <w:pBdr/>
              <w:bidi w:val="0"/>
              <w:spacing w:before="0" w:after="140"/>
              <w:ind w:left="0" w:right="0" w:hanging="0"/>
              <w:jc w:val="both"/>
              <w:rPr>
                <w:color w:val="000000"/>
              </w:rPr>
            </w:pPr>
            <w:r>
              <w:rPr>
                <w:color w:val="000000"/>
              </w:rPr>
              <w:t xml:space="preserve">• </w:t>
            </w:r>
          </w:p>
        </w:tc>
        <w:tc>
          <w:tcPr>
            <w:tcW w:w="10010"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0" w:after="0"/>
              <w:ind w:left="0" w:right="0" w:hanging="0"/>
              <w:jc w:val="both"/>
              <w:rPr>
                <w:color w:val="000000"/>
              </w:rPr>
            </w:pPr>
            <w:r>
              <w:rPr>
                <w:color w:val="000000"/>
              </w:rPr>
              <w:t xml:space="preserve">  </w:t>
            </w:r>
          </w:p>
        </w:tc>
        <w:tc>
          <w:tcPr>
            <w:tcW w:w="162" w:type="dxa"/>
            <w:tcBorders/>
          </w:tcPr>
          <w:p>
            <w:pPr>
              <w:pStyle w:val="TableContents"/>
              <w:pBdr/>
              <w:bidi w:val="0"/>
              <w:spacing w:before="0" w:after="0"/>
              <w:ind w:left="0" w:right="0" w:hanging="0"/>
              <w:jc w:val="both"/>
              <w:rPr>
                <w:color w:val="000000"/>
              </w:rPr>
            </w:pPr>
            <w:r>
              <w:rPr>
                <w:color w:val="000000"/>
              </w:rPr>
              <w:t xml:space="preserve">• </w:t>
            </w:r>
          </w:p>
        </w:tc>
        <w:tc>
          <w:tcPr>
            <w:tcW w:w="9932"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in our discretion, indemnify employees and agents in those circumstances where indemnification is permitted by applicable law;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3"/>
        <w:gridCol w:w="134"/>
        <w:gridCol w:w="9988"/>
      </w:tblGrid>
      <w:tr>
        <w:trPr/>
        <w:tc>
          <w:tcPr>
            <w:tcW w:w="83" w:type="dxa"/>
            <w:tcBorders/>
          </w:tcPr>
          <w:p>
            <w:pPr>
              <w:pStyle w:val="TableContents"/>
              <w:bidi w:val="0"/>
              <w:spacing w:before="0" w:after="0"/>
              <w:ind w:left="0" w:right="0" w:hanging="0"/>
              <w:jc w:val="both"/>
              <w:rPr>
                <w:color w:val="000000"/>
              </w:rPr>
            </w:pPr>
            <w:r>
              <w:rPr>
                <w:color w:val="000000"/>
              </w:rPr>
              <w:t xml:space="preserve">  </w:t>
            </w:r>
          </w:p>
        </w:tc>
        <w:tc>
          <w:tcPr>
            <w:tcW w:w="134" w:type="dxa"/>
            <w:tcBorders/>
          </w:tcPr>
          <w:p>
            <w:pPr>
              <w:pStyle w:val="TableContents"/>
              <w:pBdr/>
              <w:bidi w:val="0"/>
              <w:spacing w:before="0" w:after="0"/>
              <w:ind w:left="0" w:right="0" w:hanging="0"/>
              <w:jc w:val="both"/>
              <w:rPr>
                <w:color w:val="000000"/>
              </w:rPr>
            </w:pPr>
            <w:r>
              <w:rPr>
                <w:color w:val="000000"/>
              </w:rPr>
              <w:t xml:space="preserve">• </w:t>
            </w:r>
          </w:p>
        </w:tc>
        <w:tc>
          <w:tcPr>
            <w:tcW w:w="9988"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1"/>
        <w:gridCol w:w="132"/>
        <w:gridCol w:w="9992"/>
      </w:tblGrid>
      <w:tr>
        <w:trPr/>
        <w:tc>
          <w:tcPr>
            <w:tcW w:w="81" w:type="dxa"/>
            <w:tcBorders/>
          </w:tcPr>
          <w:p>
            <w:pPr>
              <w:pStyle w:val="TableContents"/>
              <w:bidi w:val="0"/>
              <w:spacing w:before="0" w:after="0"/>
              <w:ind w:left="0" w:right="0" w:hanging="0"/>
              <w:jc w:val="both"/>
              <w:rPr>
                <w:color w:val="000000"/>
              </w:rPr>
            </w:pPr>
            <w:r>
              <w:rPr>
                <w:color w:val="000000"/>
              </w:rPr>
              <w:t xml:space="preserve">  </w:t>
            </w:r>
          </w:p>
        </w:tc>
        <w:tc>
          <w:tcPr>
            <w:tcW w:w="132" w:type="dxa"/>
            <w:tcBorders/>
          </w:tcPr>
          <w:p>
            <w:pPr>
              <w:pStyle w:val="TableContents"/>
              <w:pBdr/>
              <w:bidi w:val="0"/>
              <w:spacing w:before="0" w:after="0"/>
              <w:ind w:left="0" w:right="0" w:hanging="0"/>
              <w:jc w:val="both"/>
              <w:rPr>
                <w:color w:val="000000"/>
              </w:rPr>
            </w:pPr>
            <w:r>
              <w:rPr>
                <w:color w:val="000000"/>
              </w:rPr>
              <w:t xml:space="preserve">• </w:t>
            </w:r>
          </w:p>
        </w:tc>
        <w:tc>
          <w:tcPr>
            <w:tcW w:w="9992"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2"/>
        <w:gridCol w:w="153"/>
        <w:gridCol w:w="9950"/>
      </w:tblGrid>
      <w:tr>
        <w:trPr/>
        <w:tc>
          <w:tcPr>
            <w:tcW w:w="102" w:type="dxa"/>
            <w:tcBorders/>
          </w:tcPr>
          <w:p>
            <w:pPr>
              <w:pStyle w:val="TableContents"/>
              <w:bidi w:val="0"/>
              <w:spacing w:before="0" w:after="0"/>
              <w:ind w:left="0" w:right="0" w:hanging="0"/>
              <w:jc w:val="both"/>
              <w:rPr>
                <w:color w:val="000000"/>
              </w:rPr>
            </w:pPr>
            <w:r>
              <w:rPr>
                <w:color w:val="000000"/>
              </w:rPr>
              <w:t xml:space="preserve">  </w:t>
            </w:r>
          </w:p>
        </w:tc>
        <w:tc>
          <w:tcPr>
            <w:tcW w:w="153" w:type="dxa"/>
            <w:tcBorders/>
          </w:tcPr>
          <w:p>
            <w:pPr>
              <w:pStyle w:val="TableContents"/>
              <w:pBdr/>
              <w:bidi w:val="0"/>
              <w:spacing w:before="0" w:after="0"/>
              <w:ind w:left="0" w:right="0" w:hanging="0"/>
              <w:jc w:val="both"/>
              <w:rPr>
                <w:color w:val="000000"/>
              </w:rPr>
            </w:pPr>
            <w:r>
              <w:rPr>
                <w:color w:val="000000"/>
              </w:rPr>
              <w:t xml:space="preserve">• </w:t>
            </w:r>
          </w:p>
        </w:tc>
        <w:tc>
          <w:tcPr>
            <w:tcW w:w="9950" w:type="dxa"/>
            <w:tcBorders/>
          </w:tcPr>
          <w:p>
            <w:pPr>
              <w:pStyle w:val="TableContents"/>
              <w:pBd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retroactively amend our amended and restated bylaw provisions to reduce our indemnification obligations to directors, officers, employees, and agents.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14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We do not currently intend to pay dividends on our common stock, and, consequently, your ability to achieve a return on your investment will depend on appreciation in the price of our common stock.</w:t>
      </w:r>
    </w:p>
    <w:p>
      <w:pPr>
        <w:pStyle w:val="TextBody"/>
        <w:widowControl/>
        <w:shd w:fill="FFFFFF" w:val="clear"/>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maintain the price at which our holders have purchased it.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provides that the Court of Chancery of the State of Delaware is the exclusive forum for:</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8"/>
        <w:gridCol w:w="339"/>
        <w:gridCol w:w="9628"/>
      </w:tblGrid>
      <w:tr>
        <w:trPr/>
        <w:tc>
          <w:tcPr>
            <w:tcW w:w="238" w:type="dxa"/>
            <w:tcBorders/>
          </w:tcPr>
          <w:p>
            <w:pPr>
              <w:pStyle w:val="TableContents"/>
              <w:bidi w:val="0"/>
              <w:spacing w:before="0" w:after="140"/>
              <w:ind w:left="0" w:right="0" w:hanging="0"/>
              <w:jc w:val="both"/>
              <w:rPr>
                <w:color w:val="000000"/>
              </w:rPr>
            </w:pPr>
            <w:r>
              <w:rPr>
                <w:color w:val="000000"/>
              </w:rPr>
              <w:t xml:space="preserve">  </w:t>
            </w:r>
          </w:p>
        </w:tc>
        <w:tc>
          <w:tcPr>
            <w:tcW w:w="339" w:type="dxa"/>
            <w:tcBorders/>
          </w:tcPr>
          <w:p>
            <w:pPr>
              <w:pStyle w:val="TableContents"/>
              <w:bidi w:val="0"/>
              <w:spacing w:before="0" w:after="0"/>
              <w:ind w:left="0" w:right="0" w:hanging="0"/>
              <w:jc w:val="both"/>
              <w:rPr>
                <w:color w:val="000000"/>
              </w:rPr>
            </w:pPr>
            <w:r>
              <w:rPr>
                <w:color w:val="000000"/>
              </w:rPr>
              <w:t xml:space="preserve">• </w:t>
            </w:r>
          </w:p>
        </w:tc>
        <w:tc>
          <w:tcPr>
            <w:tcW w:w="962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derivative action or proceeding brought on our behalf;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4"/>
        <w:gridCol w:w="416"/>
        <w:gridCol w:w="9495"/>
      </w:tblGrid>
      <w:tr>
        <w:trPr/>
        <w:tc>
          <w:tcPr>
            <w:tcW w:w="294" w:type="dxa"/>
            <w:tcBorders/>
          </w:tcPr>
          <w:p>
            <w:pPr>
              <w:pStyle w:val="TableContents"/>
              <w:bidi w:val="0"/>
              <w:spacing w:before="0" w:after="0"/>
              <w:ind w:left="0" w:right="0" w:hanging="0"/>
              <w:jc w:val="both"/>
              <w:rPr>
                <w:color w:val="000000"/>
              </w:rPr>
            </w:pPr>
            <w:r>
              <w:rPr>
                <w:color w:val="000000"/>
              </w:rPr>
              <w:t xml:space="preserve">  </w:t>
            </w:r>
          </w:p>
        </w:tc>
        <w:tc>
          <w:tcPr>
            <w:tcW w:w="416" w:type="dxa"/>
            <w:tcBorders/>
          </w:tcPr>
          <w:p>
            <w:pPr>
              <w:pStyle w:val="TableContents"/>
              <w:bidi w:val="0"/>
              <w:spacing w:before="0" w:after="0"/>
              <w:ind w:left="0" w:right="0" w:hanging="0"/>
              <w:jc w:val="both"/>
              <w:rPr>
                <w:color w:val="000000"/>
              </w:rPr>
            </w:pPr>
            <w:r>
              <w:rPr>
                <w:color w:val="000000"/>
              </w:rPr>
              <w:t xml:space="preserve">• </w:t>
            </w:r>
          </w:p>
        </w:tc>
        <w:tc>
          <w:tcPr>
            <w:tcW w:w="949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action asserting a breach of fiduciary duty;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
        <w:gridCol w:w="124"/>
        <w:gridCol w:w="10008"/>
      </w:tblGrid>
      <w:tr>
        <w:trPr/>
        <w:tc>
          <w:tcPr>
            <w:tcW w:w="73" w:type="dxa"/>
            <w:tcBorders/>
          </w:tcPr>
          <w:p>
            <w:pPr>
              <w:pStyle w:val="TableContents"/>
              <w:pBdr/>
              <w:bidi w:val="0"/>
              <w:spacing w:before="0" w:after="0"/>
              <w:ind w:left="0" w:right="0" w:hanging="0"/>
              <w:jc w:val="both"/>
              <w:rPr>
                <w:color w:val="000000"/>
              </w:rPr>
            </w:pPr>
            <w:r>
              <w:rPr>
                <w:color w:val="000000"/>
              </w:rPr>
              <w:t xml:space="preserve">  </w:t>
            </w:r>
          </w:p>
        </w:tc>
        <w:tc>
          <w:tcPr>
            <w:tcW w:w="124" w:type="dxa"/>
            <w:tcBorders/>
          </w:tcPr>
          <w:p>
            <w:pPr>
              <w:pStyle w:val="TableContents"/>
              <w:pBdr/>
              <w:bidi w:val="0"/>
              <w:spacing w:before="0" w:after="0"/>
              <w:ind w:left="0" w:right="0" w:hanging="0"/>
              <w:jc w:val="both"/>
              <w:rPr>
                <w:color w:val="000000"/>
              </w:rPr>
            </w:pPr>
            <w:r>
              <w:rPr>
                <w:color w:val="000000"/>
              </w:rPr>
              <w:t xml:space="preserve">• </w:t>
            </w:r>
          </w:p>
        </w:tc>
        <w:tc>
          <w:tcPr>
            <w:tcW w:w="1000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action asserting a claim against us arising under the DGCL, our certificate of incorporation, or our bylaws; and </w:t>
            </w:r>
          </w:p>
        </w:tc>
      </w:tr>
      <w:tr>
        <w:trPr/>
        <w:tc>
          <w:tcPr>
            <w:tcW w:w="73" w:type="dxa"/>
            <w:tcBorders/>
          </w:tcPr>
          <w:p>
            <w:pPr>
              <w:pStyle w:val="TableContents"/>
              <w:bidi w:val="0"/>
              <w:spacing w:before="0" w:after="283"/>
              <w:ind w:left="0" w:right="0" w:hanging="0"/>
              <w:jc w:val="left"/>
              <w:rPr/>
            </w:pPr>
            <w:r>
              <w:rPr/>
            </w:r>
          </w:p>
        </w:tc>
        <w:tc>
          <w:tcPr>
            <w:tcW w:w="124"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08" w:type="dxa"/>
            <w:tcBorders/>
          </w:tcPr>
          <w:p>
            <w:pPr>
              <w:pStyle w:val="TableContents"/>
              <w:bidi w:val="0"/>
              <w:spacing w:before="0" w:after="0"/>
              <w:jc w:val="left"/>
              <w:rPr>
                <w:rFonts w:ascii="times new roman;times" w:hAnsi="times new roman;times"/>
                <w:sz w:val="20"/>
              </w:rPr>
            </w:pPr>
            <w:r>
              <w:rPr>
                <w:rFonts w:ascii="times new roman;times" w:hAnsi="times new roman;times"/>
                <w:sz w:val="20"/>
              </w:rPr>
              <w:t>any action asserting a claim against us that is governed by the internal-affairs doctrine, 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such act or the rules and regulations promulgated thereunder.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adopted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requirements of being a publicly traded company may strain our resources and divert management’s attention.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a publicly traded company, we have incurred, and will continue to incur, significant legal, accounting, and other expenses that we did not incur as a private company. In addition, the Sarbanes-Oxley Act and the Dodd-Frank Wall Street Reform and Consumer Protection Act of 2010 (the “Dodd-Frank Act</w:t>
      </w:r>
      <w:r>
        <w:rPr>
          <w:rFonts w:ascii="times new roman;times" w:hAnsi="times new roman;times"/>
          <w:caps w:val="false"/>
          <w:smallCaps w:val="false"/>
          <w:color w:val="000000"/>
          <w:spacing w:val="0"/>
          <w:sz w:val="20"/>
        </w:rPr>
        <w:t>”</w:t>
      </w:r>
      <w:r>
        <w:rPr>
          <w:rFonts w:ascii="times new roman;times" w:hAnsi="times new roman;times"/>
          <w:sz w:val="20"/>
        </w:rPr>
        <w:t>), as well as rules subsequently implemented by the SEC and Nasdaq, have imposed various requirements on public companies.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These rules and regulations may also make it more difficult and more expensive for us to obtain director and officer liability insurance.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Failure to comply with these public company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attestation report on our internal control over financial reporting in future annual reports on Form 10-K when required under Section 404 of the Sarbanes-Oxley Act, or if we are unable to remediate any weakness in our internal control over financial reporting, it could result in a loss of investor confidence in the accuracy, reliability, and completeness of our financial reports. The loss of our </w:t>
      </w:r>
      <w:r>
        <w:rPr>
          <w:rFonts w:ascii="times new roman;times" w:hAnsi="times new roman;times"/>
          <w:caps w:val="false"/>
          <w:smallCaps w:val="false"/>
          <w:color w:val="000000"/>
          <w:spacing w:val="0"/>
          <w:sz w:val="20"/>
        </w:rPr>
        <w:t>“</w:t>
      </w:r>
      <w:r>
        <w:rPr>
          <w:rFonts w:ascii="times new roman;times" w:hAnsi="times new roman;times"/>
          <w:sz w:val="20"/>
        </w:rPr>
        <w:t>emerging growth company</w:t>
      </w:r>
      <w:r>
        <w:rPr>
          <w:rFonts w:ascii="times new roman;times" w:hAnsi="times new roman;times"/>
          <w:caps w:val="false"/>
          <w:smallCaps w:val="false"/>
          <w:color w:val="000000"/>
          <w:spacing w:val="0"/>
          <w:sz w:val="20"/>
        </w:rPr>
        <w:t>”</w:t>
      </w:r>
      <w:r>
        <w:rPr>
          <w:rFonts w:ascii="times new roman;times" w:hAnsi="times new roman;times"/>
          <w:sz w:val="20"/>
        </w:rPr>
        <w:t xml:space="preserve"> status and compliance with these additional internal control and auditor attestation requirements will require management to expend additional time while also condensing the time frame available to comply with SEC reporting requirements, which may further increase our legal and financial compliance costs.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stock price may be volatile, and you may not be able to resell shares of our common stock at or above the price you paid.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trading price of our common stock is highly volatile and could be subject to wide fluctuations in response to various factors, including factors which are beyond our control. These factors include those discussed in the other “Risk Factors” section of this Annual Report and others, such as: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shd w:fill="FFFFFF" w:val="clear"/>
        <w:tblLayout w:type="fixed"/>
        <w:tblCellMar>
          <w:top w:w="0" w:type="dxa"/>
          <w:left w:w="0" w:type="dxa"/>
          <w:bottom w:w="0" w:type="dxa"/>
          <w:right w:w="0" w:type="dxa"/>
        </w:tblCellMar>
      </w:tblPr>
      <w:tblGrid>
        <w:gridCol w:w="81"/>
        <w:gridCol w:w="132"/>
        <w:gridCol w:w="9992"/>
      </w:tblGrid>
      <w:tr>
        <w:trPr/>
        <w:tc>
          <w:tcPr>
            <w:tcW w:w="81" w:type="dxa"/>
            <w:tcBorders/>
            <w:shd w:fill="FFFFFF" w:val="clear"/>
          </w:tcPr>
          <w:p>
            <w:pPr>
              <w:pStyle w:val="TableContents"/>
              <w:pBdr/>
              <w:bidi w:val="0"/>
              <w:spacing w:before="0" w:after="0"/>
              <w:ind w:left="0" w:right="0" w:hanging="0"/>
              <w:jc w:val="both"/>
              <w:rPr>
                <w:color w:val="000000"/>
              </w:rPr>
            </w:pPr>
            <w:r>
              <w:rPr>
                <w:color w:val="000000"/>
              </w:rPr>
              <w:t xml:space="preserve">  </w:t>
            </w:r>
          </w:p>
        </w:tc>
        <w:tc>
          <w:tcPr>
            <w:tcW w:w="132" w:type="dxa"/>
            <w:tcBorders/>
            <w:shd w:fill="FFFFFF" w:val="clear"/>
          </w:tcPr>
          <w:p>
            <w:pPr>
              <w:pStyle w:val="TableContents"/>
              <w:pBdr/>
              <w:bidi w:val="0"/>
              <w:spacing w:before="0" w:after="0"/>
              <w:ind w:left="0" w:right="0" w:hanging="0"/>
              <w:jc w:val="both"/>
              <w:rPr>
                <w:color w:val="000000"/>
              </w:rPr>
            </w:pPr>
            <w:r>
              <w:rPr>
                <w:color w:val="000000"/>
              </w:rPr>
              <w:t xml:space="preserve">• </w:t>
            </w:r>
          </w:p>
        </w:tc>
        <w:tc>
          <w:tcPr>
            <w:tcW w:w="9992" w:type="dxa"/>
            <w:tcBorders/>
            <w:shd w:fill="FFFFFF" w:val="clea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our operating results and financial position;</w:t>
            </w:r>
          </w:p>
        </w:tc>
      </w:tr>
      <w:tr>
        <w:trPr/>
        <w:tc>
          <w:tcPr>
            <w:tcW w:w="81"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related to regulatory clearance to market gammaCore for the treatment of various conditions in the United States;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results from, or any delays in, clinical trial programs relating to our product candidates;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by us or our competitors of new products;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adverse actions taken by regulatory agencies with respect to our clinical trials, manufacturing supply chain, or sales and marketing activities for our products;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changes or developments in laws or regulations applicable to our products;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adverse changes in our relationship with any manufacturers or suppliers;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success of our efforts to acquire or develop additional products;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intellectual property infringement actions in which we may become involved;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concerning our competitors or the medical device and general wellness industries in general;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achievement of expected product sales and profitability;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changes or developments in our commercial strategy and tactics;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manufacture, supply, or distribution shortages;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actual or anticipated fluctuations in our operating results;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FDA or other U.S. or foreign regulatory actions affecting us or our industry, or other healthcare reform measures in the U.S.;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changes in financial estimates or recommendations by securities analysts;</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trading volume of our common stock;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sales of our common stock by us, our executive officers, directors, or stockholders;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general economic, industry, political and market conditions including inflation, rising interest rates, new or ongoing health crises and geopolitical events such as the war between Ukraine and Russia, and the war in Israel and the Gaza strip, and overall fluctuations in the U.S. equity markets; and </w:t>
            </w:r>
          </w:p>
        </w:tc>
      </w:tr>
      <w:tr>
        <w:trPr/>
        <w:tc>
          <w:tcPr>
            <w:tcW w:w="81" w:type="dxa"/>
            <w:tcBorders/>
            <w:shd w:fill="FFFFFF" w:val="clear"/>
          </w:tcPr>
          <w:p>
            <w:pPr>
              <w:pStyle w:val="TableContents"/>
              <w:bidi w:val="0"/>
              <w:spacing w:before="0" w:after="283"/>
              <w:ind w:left="0" w:right="0" w:hanging="0"/>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loss of any of our key scientific or management personnel.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securities or industry analysts cease publishing regular research or reports about our business or issue an adverse or misleading opinion regarding our stock, our stock price and trading volume could decline.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trading market for our common stock is influenced by the research and reports that industry or securities analysts may publish about us or our business. If any of the analysts who cover us were to cease publishing research reports about our business or were to issue an adverse or misleading opinion regarding us, our business model, our intellectual property, or our stock performance, or our stock price, if our operating results fail to meet the expectations of analysts, would likely decline. If one or more of these analysts cease coverage of us or fail to publish research reports on us regularly, we could lose visibility in the financial markets, which in turn could cause our stock price or trading volume to decline.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Sales of a substantial number of shares of our common stock in the public market could cause our stock price to fall.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our existing stockholders sell, or indicate an intention to sell, substantial amounts of our common stock in the public market, the trading price of our common stock could decline. Shares that are held by our directors, executive officers, and other affiliates may be subject to restrictions under Rule 144 of the Securities Act, among other restrictions that make such shares not freely tradable in the United States. If these additional shares of common stock are sold pursuant to the applicable exemptions from such restrictions, or if it is perceived that they will be sold, in the public market, the trading price of our common stock could decline.</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influence control over matters subject to stockholder approval.</w:t>
      </w:r>
    </w:p>
    <w:p>
      <w:pPr>
        <w:pStyle w:val="TextBody"/>
        <w:shd w:fill="FFFFFF" w:val="clear"/>
        <w:bidi w:val="0"/>
        <w:spacing w:lineRule="auto" w:line="288" w:before="0" w:after="0"/>
        <w:ind w:left="0" w:right="0" w:hanging="0"/>
        <w:jc w:val="left"/>
        <w:rPr>
          <w:b/>
          <w:i/>
          <w:color w:val="000000"/>
          <w:sz w:val="20"/>
        </w:rPr>
      </w:pPr>
      <w:r>
        <w:rPr>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of December 31, 2024 our executive officers, directors, and holders of 5 or more of our capital stock and their respective affiliates owned approximately 24.6% of our outstanding common stock.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Comprehensive U.S. federal income tax reform could adversely affect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New legislation or regulation that could affect our tax burden could be enacted by a governmental authority. We cannot predict the timing or extent of such tax-related developments that could have a negative impact on our financial results. U.S. federal legislation affecting the tax laws was enacted in December 2017, in the Tax Cuts and Jobs Act; twice in March 2020, first in the Families First Coronavirus Response Act and again in the CARES Act; in December 2020 in the Consolidated Appropriates Act, 2021; and in March 2021 in the American Rescue Plan Act of 2021. The Tax Cuts and Jobs Act,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There can be no assurance that the Tax Cuts and Jobs Act will not negatively impact our operating results, financial condition, or our future business operations. This Annual Report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business and stock price could be negatively affected as a result of actions of activist stockholders, and such activism could impact the trading value of our securities.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 </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1B. </w:t>
      </w:r>
      <w:hyperlink r:id="rId2">
        <w:bookmarkStart w:id="52" w:name="BCUnresolved_7IYOOGSWOG00000000000000000"/>
        <w:bookmarkEnd w:id="52"/>
        <w:r>
          <w:rPr>
            <w:rStyle w:val="InternetLink"/>
            <w:rFonts w:ascii="times new roman;times" w:hAnsi="times new roman;times"/>
            <w:b/>
            <w:strike w:val="false"/>
            <w:dstrike w:val="false"/>
            <w:color w:val="000000"/>
            <w:sz w:val="20"/>
            <w:u w:val="none"/>
            <w:effect w:val="none"/>
            <w:shd w:fill="FFFFFF" w:val="clear"/>
          </w:rPr>
          <w:t>Unresolved Staff Comments</w:t>
        </w:r>
      </w:hyperlink>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None.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1C. </w:t>
      </w:r>
      <w:hyperlink r:id="rId3">
        <w:bookmarkStart w:id="53" w:name="BCybersecurity_24120240756774"/>
        <w:bookmarkEnd w:id="53"/>
        <w:r>
          <w:rPr>
            <w:rStyle w:val="InternetLink"/>
            <w:rFonts w:ascii="times new roman;times" w:hAnsi="times new roman;times"/>
            <w:b/>
            <w:strike w:val="false"/>
            <w:dstrike w:val="false"/>
            <w:color w:val="000000"/>
            <w:sz w:val="20"/>
            <w:u w:val="none"/>
            <w:effect w:val="none"/>
            <w:shd w:fill="FFFFFF" w:val="clear"/>
          </w:rPr>
          <w:t>Cybersecurity</w:t>
        </w:r>
      </w:hyperlink>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Risk management and strategy</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Managing Material Risks &amp; Integrated Overall Risk Management</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serif" w:hAnsi="Times New Roman;serif"/>
          <w:color w:val="000000"/>
          <w:sz w:val="20"/>
          <w:shd w:fill="FFFFFF" w:val="clear"/>
        </w:rPr>
        <w:t>We have developed and continue to develop processes</w:t>
      </w:r>
      <w:r>
        <w:rPr>
          <w:rFonts w:ascii="times new roman;times" w:hAnsi="times new roman;times"/>
          <w:color w:val="000000"/>
          <w:sz w:val="20"/>
          <w:shd w:fill="FFFFFF" w:val="clear"/>
        </w:rPr>
        <w:t xml:space="preserve">, including those intended to follow an internal Information Technology (IT) Security Policy, which seek to assess, identify, and manage material risks from cybersecurity threats to the IT systems and information that we create, use, transmit, receive, and maintain. We also seek to integrate these processes and policies into our overall enterprise risk management system and processes. We also maintain an evolving cybersecurity roadmap for our future cybersecurity plans. The processes for assessing, identifying, and managing material risks from cybersecurity threats, including threats associated with our use of third-party service providers, include our efforts to identify the relevant assets that could be affected, determine possible threat sources and threat events, assess threats based on their potential likelihood and impact, and identify controls that are in place or necessary to manage and/or mitigate such risks. In furtherance of our cybersecurity policies and procedures, our IT team has a monthly IT Steering committee meeting, chaired by our Chief Financial Officer (“CFO”) and Chief Strategy Officer, where all new IT projects include a cybersecurity component.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Engage Third-parties on Risk Management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engage a range of external experts, including consultants, auditors, and cybersecurity assessors, who assist us in evaluating and testing our cybersecurity systems and processes. These partnerships are intended to give us access to specialized knowledge and insights that can inform our cybersecurity strategies and processes, including as to industry-standard control frameworks and applicable regulations, laws, and standards.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Oversee Third-party Risk</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As part of our evolving cybersecurity roadmap, we plan to implement and conduct security assessments of all third-party service providers before engagement and maintain ongoing monitoring to ensure compliance with relevant cybersecurity standards.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Risks from Cybersecurity Threats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have not experienced any material cybersecurity incidents</w:t>
      </w:r>
      <w:r>
        <w:rPr>
          <w:rFonts w:ascii="times new roman;times" w:hAnsi="times new roman;times"/>
          <w:color w:val="000000"/>
          <w:sz w:val="20"/>
          <w:shd w:fill="FFFFFF" w:val="clear"/>
        </w:rPr>
        <w:t xml:space="preserve"> and the expenses we have incurred from any security incidents were immaterial. As a result, we do not believe that risks from cybersecurity threats, including as a result of any previous cybersecurity incidents, have materially affected us, our results of operations and financial condition. However, as discussed under “Risk Factors” in Part I, Item 1A of this Annual Report, cybersecurity threats pose multiple and potentially material risks to us, including potentially to our results of operations and financial condition. See also “Risk Factors — Failure to protect our information technology infrastructure against cyber-based attacks, network security breaches, service interruptions, or data corruption could significantly disrupt our operations and adversely affect our business strategy and operating results.” As cybersecurity threats become more frequent, sophisticated, and coordinated, it is reasonably likely that we may expend greater resources to continue to modify and enhance protective measures against such security risks.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Governance</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Board of Directors Oversight</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Our Board of Directors is responsible for exercising oversight of management’s identification and management of, and planning for, risks from cybersecurity threats. </w:t>
      </w:r>
      <w:r>
        <w:rPr>
          <w:rFonts w:ascii="times new roman;times" w:hAnsi="times new roman;times"/>
          <w:color w:val="000000"/>
          <w:sz w:val="20"/>
          <w:shd w:fill="FFFFFF" w:val="clear"/>
        </w:rPr>
        <w:t xml:space="preserve">While the full Board has overall responsibility for risk oversight, the Board has delegated oversight responsibility related to risks from cybersecurity threats to the Board’s Audit Committee. </w:t>
      </w:r>
      <w:r>
        <w:rPr>
          <w:rFonts w:ascii="times new roman;times" w:hAnsi="times new roman;times"/>
          <w:color w:val="000000"/>
          <w:sz w:val="20"/>
          <w:shd w:fill="FFFFFF" w:val="clear"/>
        </w:rPr>
        <w:t>The Audit Committee discusses with management not less than annually our major financial risk exposures, including those related to data privacy, data security and network security, and management's program to monitor, assess and control such exposures, including our risk assessment and risk management policies. The Audit Committee reports to the Board as necessary with respect to its activities, including making such reports and recommendations to the Board as it deems necessary and appropriate.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Risk Management Personnel</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Management’s role in assessing, monitoring and managing our material cybersecurity risks is primarily the responsibility of our CISO, reporting to our CFO. Both the CISO and CFO rely on third party experts, including consultants, auditors, and cybersecurity assessors regarding cybersecurity strategies and processes. The CISO manages vendor work related to cybersecurity, and has primary responsibility for the evolving cybersecurity roadmap, remediating known risks, and leading our employee training program, pursuant to which we provide annual privacy and security training for all employees. Our security training incorporates awareness of cyber threats (including but not limited to malware, ransomware and social engineering attacks), password hygiene, incident reporting process, as well as physical security best practices. Our management has also developed security policies and processes which include regular system updates and patches, employee training on cybersecurity and privacy requirements, incident reporting, and the use of encryption to secure sensitive information. In addition, we also regularly perform phishing tests of our employees and update our training plan at least annually. We maintain business continuity and disaster recovery capabilities to mitigate interruptions to critical information systems and/or the loss of data and services from the effects of natural or man-made disasters to our physical operations.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Monitor Cybersecurity Incidents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The CISO implements and oversees processes for the regular monitoring of our IT systems. This includes the deployment of security measures to identify potential vulnerabilities. In the event of a cybersecurity incident, the CISO runs an incident response plan. This plan includes actions to mitigate the impact and long-term strategies for remediation and prevention of future incidents.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Reporting to Board of Directors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The CISO regularly informs the CFO of cybersecurity risks and incidents. Furthermore, significant cybersecurity matters, and strategic risk management decisions are escalated to the Board of Directors, which has oversight and may provide guidance on critical cybersecurity issues.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Management’s Role Managing Risk</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The role of the Chief Information Security Officer (CISO) has been assigned to our VP, Information Technology, who has more than 20 years of IT experience and reports to the CFO. The CISO and the CFO inform the Audit Committee on cybersecurity risks. They provide briefings to the Audit Committee on no less than an annual basis or on an ad hoc basis when needed. These briefings encompass:</w:t>
      </w:r>
    </w:p>
    <w:p>
      <w:pPr>
        <w:pStyle w:val="TextBody"/>
        <w:bidi w:val="0"/>
        <w:spacing w:lineRule="auto" w:line="288" w:before="0" w:after="0"/>
        <w:ind w:left="0" w:right="0" w:hanging="0"/>
        <w:jc w:val="left"/>
        <w:rPr/>
      </w:pPr>
      <w:r>
        <w:rPr/>
      </w:r>
    </w:p>
    <w:tbl>
      <w:tblPr>
        <w:tblW w:w="8091" w:type="dxa"/>
        <w:jc w:val="left"/>
        <w:tblInd w:w="0" w:type="dxa"/>
        <w:tblLayout w:type="fixed"/>
        <w:tblCellMar>
          <w:top w:w="0" w:type="dxa"/>
          <w:left w:w="0" w:type="dxa"/>
          <w:bottom w:w="0" w:type="dxa"/>
          <w:right w:w="0" w:type="dxa"/>
        </w:tblCellMar>
      </w:tblPr>
      <w:tblGrid>
        <w:gridCol w:w="124"/>
        <w:gridCol w:w="196"/>
        <w:gridCol w:w="777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7771" w:type="dxa"/>
            <w:tcBorders/>
            <w:vAlign w:val="center"/>
          </w:tcPr>
          <w:p>
            <w:pPr>
              <w:pStyle w:val="TableContents"/>
              <w:widowControl/>
              <w:bidi w:val="0"/>
              <w:spacing w:before="0" w:after="283"/>
              <w:ind w:left="0" w:right="0" w:hanging="0"/>
              <w:jc w:val="left"/>
              <w:rPr>
                <w:sz w:val="20"/>
              </w:rPr>
            </w:pPr>
            <w:r>
              <w:rPr>
                <w:rFonts w:ascii="times new roman;times" w:hAnsi="times new roman;times"/>
                <w:b w:val="false"/>
                <w:i w:val="false"/>
                <w:caps w:val="false"/>
                <w:smallCaps w:val="false"/>
                <w:color w:val="000000"/>
                <w:spacing w:val="0"/>
                <w:sz w:val="20"/>
              </w:rPr>
              <w:t>Evaluation of existing</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cybersecurity risks;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7771" w:type="dxa"/>
            <w:tcBorders/>
            <w:vAlign w:val="center"/>
          </w:tcPr>
          <w:p>
            <w:pPr>
              <w:pStyle w:val="TableContents"/>
              <w:widowControl/>
              <w:bidi w:val="0"/>
              <w:spacing w:before="0" w:after="283"/>
              <w:ind w:left="0" w:right="0" w:hanging="0"/>
              <w:jc w:val="left"/>
              <w:rPr>
                <w:sz w:val="20"/>
              </w:rPr>
            </w:pPr>
            <w:r>
              <w:rPr>
                <w:rFonts w:ascii="times new roman;times" w:hAnsi="times new roman;times"/>
                <w:b w:val="false"/>
                <w:i w:val="false"/>
                <w:caps w:val="false"/>
                <w:smallCaps w:val="false"/>
                <w:color w:val="000000"/>
                <w:spacing w:val="0"/>
                <w:sz w:val="20"/>
              </w:rPr>
              <w:t>Status of ongoing</w:t>
            </w:r>
            <w:r>
              <w:rPr>
                <w:caps w:val="false"/>
                <w:smallCaps w:val="false"/>
                <w:color w:val="000000"/>
                <w:spacing w:val="0"/>
                <w:sz w:val="20"/>
              </w:rPr>
              <w:t> </w:t>
            </w:r>
            <w:r>
              <w:rPr>
                <w:sz w:val="20"/>
              </w:rPr>
              <w:t>cybersecurity</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initiatives and strategies from the</w:t>
            </w:r>
            <w:r>
              <w:rPr>
                <w:caps w:val="false"/>
                <w:smallCaps w:val="false"/>
                <w:color w:val="000000"/>
                <w:spacing w:val="0"/>
                <w:sz w:val="20"/>
              </w:rPr>
              <w:t> </w:t>
            </w:r>
            <w:r>
              <w:rPr>
                <w:sz w:val="20"/>
              </w:rPr>
              <w:t>cybersecurity</w:t>
            </w:r>
            <w:r>
              <w:rPr>
                <w:caps w:val="false"/>
                <w:smallCaps w:val="false"/>
                <w:color w:val="000000"/>
                <w:spacing w:val="0"/>
                <w:sz w:val="20"/>
              </w:rPr>
              <w:t> </w:t>
            </w:r>
            <w:r>
              <w:rPr>
                <w:sz w:val="20"/>
              </w:rPr>
              <w:t>roadmap</w:t>
            </w:r>
            <w:r>
              <w:rPr>
                <w:rFonts w:ascii="times new roman;times" w:hAnsi="times new roman;times"/>
                <w:b w:val="false"/>
                <w:i w:val="false"/>
                <w:caps w:val="false"/>
                <w:smallCaps w:val="false"/>
                <w:color w:val="000000"/>
                <w:spacing w:val="0"/>
                <w:sz w:val="20"/>
              </w:rPr>
              <w:t>;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7771" w:type="dxa"/>
            <w:tcBorders/>
            <w:vAlign w:val="center"/>
          </w:tcPr>
          <w:p>
            <w:pPr>
              <w:pStyle w:val="TableContents"/>
              <w:widowControl/>
              <w:bidi w:val="0"/>
              <w:spacing w:before="0" w:after="283"/>
              <w:ind w:left="0" w:right="0" w:hanging="0"/>
              <w:jc w:val="left"/>
              <w:rPr>
                <w:sz w:val="20"/>
              </w:rPr>
            </w:pPr>
            <w:r>
              <w:rPr>
                <w:rFonts w:ascii="times new roman;times" w:hAnsi="times new roman;times"/>
                <w:b w:val="false"/>
                <w:i w:val="false"/>
                <w:caps w:val="false"/>
                <w:smallCaps w:val="false"/>
                <w:color w:val="000000"/>
                <w:spacing w:val="0"/>
                <w:sz w:val="20"/>
              </w:rPr>
              <w:t>Incident reports and learnings from</w:t>
            </w:r>
            <w:r>
              <w:rPr>
                <w:caps w:val="false"/>
                <w:smallCaps w:val="false"/>
                <w:color w:val="000000"/>
                <w:spacing w:val="0"/>
                <w:sz w:val="20"/>
              </w:rPr>
              <w:t> </w:t>
            </w:r>
            <w:r>
              <w:rPr>
                <w:sz w:val="20"/>
              </w:rPr>
              <w:t>cybersecurity</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events.</w:t>
            </w:r>
          </w:p>
        </w:tc>
      </w:tr>
    </w:tbl>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2. </w:t>
      </w:r>
      <w:hyperlink r:id="rId4">
        <w:bookmarkStart w:id="54" w:name="BDProperties_VDNRGG34OG00000000000000000"/>
        <w:bookmarkEnd w:id="54"/>
        <w:r>
          <w:rPr>
            <w:rStyle w:val="InternetLink"/>
            <w:rFonts w:ascii="times new roman;times" w:hAnsi="times new roman;times"/>
            <w:b/>
            <w:strike w:val="false"/>
            <w:dstrike w:val="false"/>
            <w:color w:val="000000"/>
            <w:sz w:val="20"/>
            <w:u w:val="none"/>
            <w:effect w:val="none"/>
            <w:shd w:fill="FFFFFF" w:val="clear"/>
          </w:rPr>
          <w:t>Properties</w:t>
        </w:r>
      </w:hyperlink>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principal office is approximately 22,557 square feet of office, warehouse and assembly space in Rockaway, New Jersey pursuant to a lease that expires in 2034. Since the spring of 2020, many of our employees have conducted business remotely. Management believes our facilities in Rockaway are currently suitable for their intended use. We may in the future add new facilities or expand or relinquish existing facilities as our needs evolve, and we believe that should the need arise, suitable additional or substitute space will be available as needed to accommodate any expansion of our operations. </w:t>
      </w:r>
    </w:p>
    <w:p>
      <w:pPr>
        <w:pStyle w:val="TextBody"/>
        <w:bidi w:val="0"/>
        <w:spacing w:lineRule="auto" w:line="288" w:before="0" w:after="0"/>
        <w:ind w:left="0" w:right="0" w:hanging="0"/>
        <w:jc w:val="left"/>
        <w:rPr/>
      </w:pPr>
      <w:r>
        <w:rPr/>
      </w:r>
    </w:p>
    <w:p>
      <w:pPr>
        <w:pStyle w:val="TextBody"/>
        <w:bidi w:val="0"/>
        <w:spacing w:lineRule="atLeast" w:line="240" w:before="0" w:after="0"/>
        <w:ind w:left="0" w:right="0" w:hanging="0"/>
        <w:jc w:val="left"/>
        <w:rPr>
          <w:rFonts w:ascii="Times New Roman;serif" w:hAnsi="Times New Roman;serif"/>
          <w:sz w:val="20"/>
        </w:rPr>
      </w:pPr>
      <w:r>
        <w:rPr>
          <w:rFonts w:ascii="Times New Roman;serif" w:hAnsi="Times New Roman;serif"/>
          <w:sz w:val="20"/>
        </w:rPr>
        <w:t>On February 6, 2024, the Company entered into an amendment to the lease agreement (the"Rockaway Amendment") to extend its Rockaway, New Jersey lease for an additional 10 years. The Rockaway Amendment was effective May 1, 2024, and expires on July 31, 2034, with a tenant option to renew for an additional five years. The increase in the term of the lease for the existing leased property was accounted for as a lease modification, and therefore, the associated operating lease right of use assets and operating lease liabilities for the existing space were remeasured as of February 6, 2024. The Rockaway Amendment also includes the expansion of leased property from 13,643 square feet to 22,557 square feet.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3. </w:t>
      </w:r>
      <w:hyperlink r:id="rId5">
        <w:bookmarkStart w:id="55" w:name="BELegal_WTNSU88PB400000000000000000000"/>
        <w:bookmarkEnd w:id="55"/>
        <w:r>
          <w:rPr>
            <w:rStyle w:val="InternetLink"/>
            <w:rFonts w:ascii="times new roman;times" w:hAnsi="times new roman;times"/>
            <w:b/>
            <w:strike w:val="false"/>
            <w:dstrike w:val="false"/>
            <w:color w:val="000000"/>
            <w:sz w:val="20"/>
            <w:u w:val="none"/>
            <w:effect w:val="none"/>
            <w:shd w:fill="FFFFFF" w:val="clear"/>
          </w:rPr>
          <w:t>Legal Proceeding</w:t>
        </w:r>
      </w:hyperlink>
      <w:r>
        <w:rPr>
          <w:rFonts w:ascii="times new roman;times" w:hAnsi="times new roman;times"/>
          <w:b/>
          <w:color w:val="000000"/>
          <w:sz w:val="20"/>
          <w:shd w:fill="FFFFFF" w:val="clear"/>
        </w:rPr>
        <w:t>s</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100"/>
        <w:ind w:left="0" w:right="0" w:hanging="0"/>
        <w:jc w:val="left"/>
        <w:rPr>
          <w:rFonts w:ascii="times new roman;times" w:hAnsi="times new roman;times"/>
          <w:sz w:val="20"/>
        </w:rPr>
      </w:pPr>
      <w:r>
        <w:rPr>
          <w:rFonts w:ascii="times new roman;times" w:hAnsi="times new roman;times"/>
          <w:sz w:val="20"/>
        </w:rPr>
        <w:t xml:space="preserve">On September 26, 2019, and October 31, 2019, purported stockholders of the Company served putative class action lawsuits in the United States District Court for the District of New Jersey captioned </w:t>
      </w:r>
      <w:r>
        <w:rPr>
          <w:rFonts w:ascii="times new roman;times" w:hAnsi="times new roman;times"/>
          <w:i/>
          <w:sz w:val="20"/>
        </w:rPr>
        <w:t>Allyn Turnofsky vs. electroCore, Inc</w:t>
      </w:r>
      <w:r>
        <w:rPr>
          <w:rFonts w:ascii="times new roman;times" w:hAnsi="times new roman;times"/>
          <w:sz w:val="20"/>
        </w:rPr>
        <w:t>., et al., Case 3:19-cv-18400, and Priewe vs. electroCore, Inc., et al., Case 1:19-cv-19653, respectively. In addition to the Company, the defendants include present and past directors and officers, and Evercore Group L.L.C., Cantor Fitzgerald &amp; Co., JMP Securities LLC and BTIG, LLC, the underwriters for the IPO.</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180" w:after="180"/>
        <w:ind w:left="0" w:right="0" w:hanging="0"/>
        <w:jc w:val="left"/>
        <w:rPr>
          <w:rFonts w:ascii="times new roman;times" w:hAnsi="times new roman;times"/>
          <w:sz w:val="20"/>
        </w:rPr>
      </w:pPr>
      <w:r>
        <w:rPr>
          <w:rFonts w:ascii="times new roman;times" w:hAnsi="times new roman;times"/>
          <w:sz w:val="20"/>
        </w:rPr>
        <w:t>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Priewe case was voluntarily dismissed on February 19, 2020.</w:t>
      </w:r>
    </w:p>
    <w:p>
      <w:pPr>
        <w:pStyle w:val="TextBody"/>
        <w:shd w:fill="FFFFFF" w:val="clear"/>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 xml:space="preserve">In the </w:t>
      </w:r>
      <w:r>
        <w:rPr>
          <w:rFonts w:ascii="times new roman;times" w:hAnsi="times new roman;times"/>
          <w:i/>
          <w:color w:val="000000"/>
          <w:sz w:val="20"/>
        </w:rPr>
        <w:t>Turnofsky</w:t>
      </w:r>
      <w:r>
        <w:rPr>
          <w:rFonts w:ascii="times new roman;times" w:hAnsi="times new roman;times"/>
          <w:color w:val="000000"/>
          <w:sz w:val="20"/>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Turnofsky. In addition to the prior claims, the amended complaint adds an additional director defendant and two investors as defendants, added a claim against us and the underwriters for violating Section 12(a)(2) of the Securities Act.</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 xml:space="preserve">On September 15, 2020, we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Turnofsky case. The defendants moved to dismiss, and briefing on the motion was complete on January 7, 2022. On July 13, 2023, the court dismissed the second amended complaint with leave to re-plead. The plaintiffs did not file a third amended complaint. On August 23, 2023, the plaintiffs provided the court with an order of dismissal, and the court entered the order on August 24, 2023. On September 8, 2023, plaintiff Carole Tibbs filed a notice of appeal to the United States Court of Appeals for the Third Circuit. The appeal has been docketed as number 23-2655. The principal brief of appellant and appendix were filed on January 5, 2024. The appellees’ brief was filed on February 15, 2024, and the appellant’s reply brief was filed on March 15, 2024. On December 5, 2024, the Third Circuit issued an opinion affirming Judge Quraishi's August 24, 2024 dismissal of the case and entered Judgment to that effect. The Plaintiffs did not move for rehearing, and the mandate of the Court of Appeals has issued.  </w:t>
      </w:r>
      <w:r>
        <w:rPr>
          <w:rFonts w:ascii="Times New Roman;serif" w:hAnsi="Times New Roman;serif"/>
          <w:color w:val="000000"/>
          <w:sz w:val="20"/>
        </w:rPr>
        <w:t>The plaintiffs did not pursue</w:t>
      </w:r>
      <w:r>
        <w:rPr>
          <w:rFonts w:ascii="times new roman;times" w:hAnsi="times new roman;times"/>
          <w:color w:val="000000"/>
          <w:sz w:val="20"/>
        </w:rPr>
        <w:t> </w:t>
      </w:r>
      <w:r>
        <w:rPr>
          <w:rFonts w:ascii="Times New Roman;serif" w:hAnsi="Times New Roman;serif"/>
          <w:color w:val="000000"/>
          <w:sz w:val="20"/>
        </w:rPr>
        <w:t>any further appeal and the time to do has now expired.</w:t>
      </w:r>
      <w:r>
        <w:rPr>
          <w:rFonts w:ascii="times new roman;times" w:hAnsi="times new roman;times"/>
          <w:color w:val="000000"/>
          <w:sz w:val="20"/>
        </w:rPr>
        <w:t> </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 xml:space="preserve">On March 4, 2021, purported stockholder </w:t>
      </w:r>
      <w:r>
        <w:rPr>
          <w:rFonts w:ascii="times new roman;times" w:hAnsi="times new roman;times"/>
          <w:i/>
          <w:color w:val="000000"/>
          <w:sz w:val="20"/>
        </w:rPr>
        <w:t>Richard Maltz</w:t>
      </w:r>
      <w:r>
        <w:rPr>
          <w:rFonts w:ascii="times new roman;times" w:hAnsi="times new roman;times"/>
          <w:color w:val="000000"/>
          <w:sz w:val="20"/>
        </w:rPr>
        <w:t xml:space="preserve"> brought a purported stockholder derivative action in the United States District Court for the District of New Jersey. The action is captioned </w:t>
      </w:r>
      <w:r>
        <w:rPr>
          <w:rFonts w:ascii="times new roman;times" w:hAnsi="times new roman;times"/>
          <w:i/>
          <w:color w:val="000000"/>
          <w:sz w:val="20"/>
        </w:rPr>
        <w:t>Richard Maltz</w:t>
      </w:r>
      <w:r>
        <w:rPr>
          <w:rFonts w:ascii="times new roman;times" w:hAnsi="times new roman;times"/>
          <w:color w:val="000000"/>
          <w:sz w:val="20"/>
        </w:rPr>
        <w:t xml:space="preserve">, </w:t>
      </w:r>
      <w:r>
        <w:rPr>
          <w:rFonts w:ascii="times new roman;times" w:hAnsi="times new roman;times"/>
          <w:i/>
          <w:color w:val="000000"/>
          <w:sz w:val="20"/>
        </w:rPr>
        <w:t>derivatively on behalf of electroCore, Inc., vs. Francis R. Amato</w:t>
      </w:r>
      <w:r>
        <w:rPr>
          <w:rFonts w:ascii="times new roman;times" w:hAnsi="times new roman;times"/>
          <w:color w:val="000000"/>
          <w:sz w:val="20"/>
        </w:rPr>
        <w:t xml:space="preserve">,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times new roman;times" w:hAnsi="times new roman;times"/>
          <w:i/>
          <w:color w:val="000000"/>
          <w:sz w:val="20"/>
        </w:rPr>
        <w:t>Turnofsky</w:t>
      </w:r>
      <w:r>
        <w:rPr>
          <w:rFonts w:ascii="times new roman;times" w:hAnsi="times new roman;times"/>
          <w:color w:val="000000"/>
          <w:sz w:val="20"/>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our Bylaws and Certificate of Incorporation.</w:t>
      </w:r>
    </w:p>
    <w:p>
      <w:pPr>
        <w:pStyle w:val="TextBody"/>
        <w:bidi w:val="0"/>
        <w:spacing w:lineRule="auto" w:line="288" w:before="180" w:after="180"/>
        <w:ind w:left="0" w:right="0" w:hanging="0"/>
        <w:jc w:val="left"/>
        <w:rPr>
          <w:rFonts w:ascii="Times New Roman;serif" w:hAnsi="Times New Roman;serif"/>
          <w:sz w:val="20"/>
        </w:rPr>
      </w:pPr>
      <w:r>
        <w:rPr>
          <w:rFonts w:ascii="times new roman;times" w:hAnsi="times new roman;times"/>
          <w:color w:val="000000"/>
          <w:sz w:val="20"/>
        </w:rPr>
        <w:t xml:space="preserve">On March 8, 2021, purported stockholder </w:t>
      </w:r>
      <w:r>
        <w:rPr>
          <w:rFonts w:ascii="times new roman;times" w:hAnsi="times new roman;times"/>
          <w:i/>
          <w:color w:val="000000"/>
          <w:sz w:val="20"/>
        </w:rPr>
        <w:t>Erin Yuson</w:t>
      </w:r>
      <w:r>
        <w:rPr>
          <w:rFonts w:ascii="times new roman;times" w:hAnsi="times new roman;times"/>
          <w:color w:val="000000"/>
          <w:sz w:val="20"/>
        </w:rPr>
        <w:t xml:space="preserve"> brought a purported stockholder derivative action in the United States District Court for the District of New Jersey. The action is captioned </w:t>
      </w:r>
      <w:r>
        <w:rPr>
          <w:rFonts w:ascii="times new roman;times" w:hAnsi="times new roman;times"/>
          <w:i/>
          <w:color w:val="000000"/>
          <w:sz w:val="20"/>
        </w:rPr>
        <w:t>Erin Yuson, derivatively on behalf of electroCore, Inc., vs. Francis R. Amato,</w:t>
      </w:r>
      <w:r>
        <w:rPr>
          <w:rFonts w:ascii="times new roman;times" w:hAnsi="times new roman;times"/>
          <w:color w:val="000000"/>
          <w:sz w:val="20"/>
        </w:rPr>
        <w:t xml:space="preserve"> et al</w:t>
      </w:r>
      <w:r>
        <w:rPr>
          <w:rFonts w:ascii="times new roman;times" w:hAnsi="times new roman;times"/>
          <w:i/>
          <w:color w:val="000000"/>
          <w:sz w:val="20"/>
        </w:rPr>
        <w:t>.</w:t>
      </w:r>
      <w:r>
        <w:rPr>
          <w:rFonts w:ascii="times new roman;times" w:hAnsi="times new roman;times"/>
          <w:color w:val="000000"/>
          <w:sz w:val="20"/>
        </w:rPr>
        <w:t>,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our Bylaws and Certificate of Incorporation.</w:t>
      </w:r>
      <w:r>
        <w:rPr>
          <w:rFonts w:ascii="times new roman;times" w:hAnsi="times new roman;times"/>
          <w:sz w:val="20"/>
        </w:rPr>
        <w:t xml:space="preserve">The plaintiffs in the </w:t>
      </w:r>
      <w:r>
        <w:rPr>
          <w:rFonts w:ascii="times new roman;times" w:hAnsi="times new roman;times"/>
          <w:i/>
          <w:sz w:val="20"/>
        </w:rPr>
        <w:t>Maltz</w:t>
      </w:r>
      <w:r>
        <w:rPr>
          <w:rFonts w:ascii="Times New Roman;serif" w:hAnsi="Times New Roman;serif"/>
          <w:sz w:val="20"/>
        </w:rPr>
        <w:t xml:space="preserve"> </w:t>
      </w:r>
      <w:r>
        <w:rPr>
          <w:rFonts w:ascii="times new roman;times" w:hAnsi="times new roman;times"/>
          <w:sz w:val="20"/>
        </w:rPr>
        <w:t xml:space="preserve">and </w:t>
      </w:r>
      <w:r>
        <w:rPr>
          <w:rFonts w:ascii="times new roman;times" w:hAnsi="times new roman;times"/>
          <w:i/>
          <w:sz w:val="20"/>
        </w:rPr>
        <w:t>Yuson</w:t>
      </w:r>
      <w:r>
        <w:rPr>
          <w:rFonts w:ascii="Times New Roman;serif" w:hAnsi="Times New Roman;serif"/>
          <w:sz w:val="20"/>
        </w:rPr>
        <w:t xml:space="preserve"> </w:t>
      </w:r>
      <w:r>
        <w:rPr>
          <w:rFonts w:ascii="times new roman;times" w:hAnsi="times new roman;times"/>
          <w:sz w:val="20"/>
        </w:rPr>
        <w:t xml:space="preserve">derivative actions agreed to consolidate and stay those actions. The actions are stayed until and through the resolution of any motion for summary judgment in the </w:t>
      </w:r>
      <w:r>
        <w:rPr>
          <w:rFonts w:ascii="times new roman;times" w:hAnsi="times new roman;times"/>
          <w:i/>
          <w:sz w:val="20"/>
        </w:rPr>
        <w:t>Turnofsky</w:t>
      </w:r>
      <w:r>
        <w:rPr>
          <w:rFonts w:ascii="Times New Roman;serif" w:hAnsi="Times New Roman;serif"/>
          <w:sz w:val="20"/>
        </w:rPr>
        <w:t xml:space="preserve"> </w:t>
      </w:r>
      <w:r>
        <w:rPr>
          <w:rFonts w:ascii="times new roman;times" w:hAnsi="times new roman;times"/>
          <w:sz w:val="20"/>
        </w:rPr>
        <w:t>federal securities class action. A stipulation to that effect was filed by the plaintiffs on April 14, 2021, and ordered by the court on April 30, 2021. On June 9, 2023, the cases were administratively dismissed without prejudice.</w:t>
      </w:r>
      <w:r>
        <w:rPr>
          <w:rFonts w:ascii="Times New Roman;serif" w:hAnsi="Times New Roman;serif"/>
          <w:sz w:val="20"/>
        </w:rPr>
        <w:t>The Company has and intends to the extent necessary to continue to vigorously defend itself if these matters are revived.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pStyle w:val="TextBody"/>
        <w:bidi w:val="0"/>
        <w:spacing w:lineRule="auto" w:line="288" w:before="180" w:after="180"/>
        <w:ind w:left="0" w:right="0" w:hanging="0"/>
        <w:jc w:val="both"/>
        <w:rPr>
          <w:rFonts w:ascii="times new roman;times" w:hAnsi="times new roman;times"/>
          <w:color w:val="000000"/>
          <w:sz w:val="20"/>
        </w:rPr>
      </w:pPr>
      <w:r>
        <w:rPr>
          <w:rFonts w:ascii="times new roman;times" w:hAnsi="times new roman;times"/>
          <w:color w:val="000000"/>
          <w:sz w:val="20"/>
        </w:rPr>
        <w:t>We are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Item 3 in the period they are incurred.</w:t>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4. </w:t>
      </w:r>
      <w:hyperlink r:id="rId6">
        <w:bookmarkStart w:id="56" w:name="BFMneSafety_KCV7ZDZNSW000000000000000000"/>
        <w:bookmarkEnd w:id="56"/>
        <w:r>
          <w:rPr>
            <w:rStyle w:val="InternetLink"/>
            <w:rFonts w:ascii="times new roman;times" w:hAnsi="times new roman;times"/>
            <w:b/>
            <w:strike w:val="false"/>
            <w:dstrike w:val="false"/>
            <w:color w:val="000000"/>
            <w:sz w:val="20"/>
            <w:u w:val="none"/>
            <w:effect w:val="none"/>
            <w:shd w:fill="FFFFFF" w:val="clear"/>
          </w:rPr>
          <w:t>Mine Safety Disclosures</w:t>
        </w:r>
      </w:hyperlink>
    </w:p>
    <w:p>
      <w:pPr>
        <w:pStyle w:val="TextBody"/>
        <w:bidi w:val="0"/>
        <w:spacing w:lineRule="auto" w:line="288" w:before="0" w:after="180"/>
        <w:ind w:left="0" w:right="0" w:hanging="0"/>
        <w:jc w:val="left"/>
        <w:rPr>
          <w:rFonts w:ascii="times new roman;times" w:hAnsi="times new roman;times"/>
          <w:color w:val="000000"/>
          <w:sz w:val="20"/>
        </w:rPr>
      </w:pPr>
      <w:r>
        <w:rPr>
          <w:rFonts w:ascii="times new roman;times" w:hAnsi="times new roman;times"/>
          <w:color w:val="000000"/>
          <w:sz w:val="20"/>
        </w:rPr>
        <w:t>Not applicable.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87</w:t>
            </w:r>
          </w:p>
        </w:tc>
      </w:tr>
    </w:tbl>
    <w:p>
      <w:pPr>
        <w:pStyle w:val="HorizontalLine"/>
        <w:bidi w:val="0"/>
        <w:spacing w:lineRule="auto" w:line="288" w:before="0" w:after="180"/>
        <w:jc w:val="left"/>
        <w:rPr/>
      </w:pPr>
      <w:r>
        <w:rPr/>
      </w:r>
    </w:p>
    <w:p>
      <w:pPr>
        <w:pStyle w:val="TextBody"/>
        <w:bidi w:val="0"/>
        <w:spacing w:lineRule="auto" w:line="288" w:before="0" w:after="180"/>
        <w:jc w:val="left"/>
        <w:rPr/>
      </w:pPr>
      <w:r>
        <w:rPr/>
      </w:r>
    </w:p>
    <w:p>
      <w:pPr>
        <w:pStyle w:val="TextBody"/>
        <w:shd w:fill="FFFFFF" w:val="clear"/>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II</w:t>
      </w:r>
    </w:p>
    <w:p>
      <w:pPr>
        <w:pStyle w:val="TextBody"/>
        <w:widowControl/>
        <w:bidi w:val="0"/>
        <w:spacing w:before="0" w:after="0"/>
        <w:jc w:val="left"/>
        <w:rPr/>
      </w:pPr>
      <w:r>
        <w:rPr/>
      </w:r>
    </w:p>
    <w:p>
      <w:pPr>
        <w:pStyle w:val="TextBody"/>
        <w:bidi w:val="0"/>
        <w:spacing w:lineRule="auto" w:line="288"/>
        <w:ind w:left="0" w:right="0" w:hanging="0"/>
        <w:jc w:val="left"/>
        <w:rPr/>
      </w:pPr>
      <w:r>
        <w:rPr>
          <w:rFonts w:ascii="times new roman;times" w:hAnsi="times new roman;times"/>
          <w:b/>
          <w:sz w:val="20"/>
        </w:rPr>
        <w:t xml:space="preserve">Item 5. </w:t>
      </w:r>
      <w:hyperlink w:anchor="TOC">
        <w:bookmarkStart w:id="57" w:name="BItem_5_TCLH1F2NFK00000000000000000000"/>
        <w:bookmarkEnd w:id="57"/>
        <w:r>
          <w:rPr>
            <w:rStyle w:val="InternetLink"/>
            <w:rFonts w:ascii="times new roman;times" w:hAnsi="times new roman;times"/>
            <w:b/>
            <w:strike w:val="false"/>
            <w:dstrike w:val="false"/>
            <w:color w:val="000000"/>
            <w:sz w:val="20"/>
            <w:u w:val="none"/>
            <w:effect w:val="none"/>
          </w:rPr>
          <w:t xml:space="preserve">Market for Registrant’s Common Equity, Related Stockholder Matters and Issuer Purchases of Equity Securities </w:t>
        </w:r>
      </w:hyperlink>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common stock is traded on the Nasdaq Capital Market under the symbol “ECOR.”</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Stockholders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As of March 6, </w:t>
      </w:r>
      <w:r>
        <w:rPr>
          <w:rFonts w:ascii="times new roman;times" w:hAnsi="times new roman;times"/>
          <w:sz w:val="20"/>
        </w:rPr>
        <w:t>2025</w:t>
      </w:r>
      <w:r>
        <w:rPr>
          <w:rFonts w:ascii="times new roman;times" w:hAnsi="times new roman;times"/>
          <w:sz w:val="20"/>
        </w:rPr>
        <w:t>, there were 404</w:t>
      </w:r>
      <w:r>
        <w:rPr>
          <w:rFonts w:ascii="times new roman;times" w:hAnsi="times new roman;times"/>
          <w:color w:val="FF0000"/>
          <w:sz w:val="20"/>
        </w:rPr>
        <w:t> </w:t>
      </w:r>
      <w:r>
        <w:rPr>
          <w:rFonts w:ascii="times new roman;times" w:hAnsi="times new roman;times"/>
          <w:sz w:val="20"/>
        </w:rPr>
        <w:t>stockholders of record, which excludes stockholders whose shares are held in nominee or street name by brokers.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Dividend Policy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do not anticipate paying any cash dividends in the foreseeable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Equity Compensation Plans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information required by Item 5 of Form 10-K regarding equity compensation plans is incorporated herein by reference to Item 12 of Part III of this Annual Report.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Issuer Purchases of Equity Securities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did not purchase any of our registered equity securities during the period covered by this Annual Report.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Use of Proceeds from Registered Securities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sz w:val="20"/>
        </w:rPr>
        <w:t>Item 6. [</w:t>
      </w:r>
      <w:hyperlink w:anchor="TOC">
        <w:bookmarkStart w:id="58" w:name="BI6_L58TN5C8WW00000000000000000000"/>
        <w:bookmarkEnd w:id="58"/>
        <w:r>
          <w:rPr>
            <w:rStyle w:val="InternetLink"/>
            <w:rFonts w:ascii="times new roman;times" w:hAnsi="times new roman;times"/>
            <w:b/>
            <w:strike w:val="false"/>
            <w:dstrike w:val="false"/>
            <w:color w:val="000000"/>
            <w:sz w:val="20"/>
            <w:u w:val="none"/>
            <w:effect w:val="none"/>
          </w:rPr>
          <w:t>Reserved]</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p>
      <w:pPr>
        <w:pStyle w:val="TextBody"/>
        <w:bidi w:val="0"/>
        <w:spacing w:lineRule="auto" w:line="288"/>
        <w:ind w:left="0" w:right="0" w:hanging="0"/>
        <w:jc w:val="left"/>
        <w:rPr/>
      </w:pPr>
      <w:r>
        <w:rPr>
          <w:rFonts w:ascii="times new roman;times" w:hAnsi="times new roman;times"/>
          <w:b/>
          <w:sz w:val="20"/>
        </w:rPr>
        <w:t xml:space="preserve">Item 7. </w:t>
      </w:r>
      <w:hyperlink w:anchor="TOC">
        <w:bookmarkStart w:id="59" w:name="BItem_7_D2E23159KW00000000000000000000"/>
        <w:bookmarkEnd w:id="59"/>
        <w:r>
          <w:rPr>
            <w:rStyle w:val="InternetLink"/>
            <w:rFonts w:ascii="times new roman;times" w:hAnsi="times new roman;times"/>
            <w:b/>
            <w:strike w:val="false"/>
            <w:dstrike w:val="false"/>
            <w:color w:val="000000"/>
            <w:sz w:val="20"/>
            <w:u w:val="none"/>
            <w:effect w:val="none"/>
          </w:rPr>
          <w:t>Management’s Discussion and Analysis of Financial Condition and Results of Operations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Note: Information concerning the shares of our common stock and related share prices in this Item 7 has been adjusted to reflect the 1-for-15 reverse split of our common stock that was made effective on February 15, 2023. (See, “Item 8 – Notes to consolidated financial statements – Note 2 - Basis of Presentation”).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88</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left"/>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electroCore is a bioelectronic medicine and general wellness company dedicated to improving health and quality of life through our proprietary non-invasive vagus nerve stimulation (“nVNS”) technology platform and related product offerings.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nVNS modulates neurotransmitters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nVNS works through a variety of mechanistic pathways including the modulation of neurotransmitters.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Historically, vagus nerve stimulation or VNS, required an invasive surgical procedure to implant a costly medical device. This has generally limited VNS from being used by anyone other than the most severe patients. Our non-invasive medical devices and general wellness products are self-administered and intended for regular or intermittent use over many years.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capabilities include product development, regulatory affairs and compliance, sales and marketing, product testing, electromechanical assembly, fulfillment, and customer support. We derive revenues from the sale of products in the United States and select overseas markets. We have two principal product categories: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tcPr>
          <w:p>
            <w:pPr>
              <w:pStyle w:val="TableContents"/>
              <w:bidi w:val="0"/>
              <w:spacing w:before="0" w:after="283"/>
              <w:jc w:val="center"/>
              <w:rPr/>
            </w:pPr>
            <w:r>
              <w:rPr/>
              <w:t xml:space="preserve">• </w:t>
            </w:r>
          </w:p>
        </w:tc>
        <w:tc>
          <w:tcPr>
            <w:tcW w:w="9942"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Handheld, personal use medical devices for the management and treatment of certain medical conditions such as primary headache; and</w:t>
            </w:r>
          </w:p>
        </w:tc>
      </w:tr>
      <w:tr>
        <w:trPr/>
        <w:tc>
          <w:tcPr>
            <w:tcW w:w="263" w:type="dxa"/>
            <w:tcBorders/>
          </w:tcPr>
          <w:p>
            <w:pPr>
              <w:pStyle w:val="TableContents"/>
              <w:bidi w:val="0"/>
              <w:spacing w:before="0" w:after="283"/>
              <w:jc w:val="center"/>
              <w:rPr/>
            </w:pPr>
            <w:r>
              <w:rPr/>
              <w:t>•</w:t>
            </w:r>
          </w:p>
        </w:tc>
        <w:tc>
          <w:tcPr>
            <w:tcW w:w="9942"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Handheld, personal use consumer products utilizing </w:t>
            </w:r>
            <w:r>
              <w:rPr>
                <w:rFonts w:ascii="times new roman;times" w:hAnsi="times new roman;times"/>
                <w:sz w:val="20"/>
              </w:rPr>
              <w:t>nVNS</w:t>
            </w:r>
            <w:r>
              <w:rPr>
                <w:rFonts w:ascii="times new roman;times" w:hAnsi="times new roman;times"/>
                <w:color w:val="000000"/>
                <w:spacing w:val="0"/>
                <w:sz w:val="20"/>
              </w:rPr>
              <w:t> </w:t>
            </w:r>
            <w:r>
              <w:rPr>
                <w:rFonts w:ascii="times new roman;times" w:hAnsi="times new roman;times"/>
                <w:b w:val="false"/>
                <w:color w:val="000000"/>
                <w:spacing w:val="0"/>
                <w:sz w:val="20"/>
              </w:rPr>
              <w:t>technology to promote general wellness and human performance.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believe our nVNS products may be used in the future to effectively treat additional medical conditions.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goal is to be a leader in non-invasive neuromodulation to deliver better health. To achieve this, we offer multiple propositions: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Prescription gammaCore medical devices for the treatment of certain prescription FDA cleared medical conditions such as primary headache;</w:t>
            </w:r>
          </w:p>
        </w:tc>
      </w:tr>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for the support of general health and wellbeing; and</w:t>
            </w:r>
          </w:p>
        </w:tc>
      </w:tr>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TAC-STIM for human performance.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Our flagship gammaCore Sapphire is a prescription medical device that is FDA cleared for a variety of primary headache conditions. gammaCore is available by prescription only and Sapphire is a portable, reusable, rechargeable and reloadable personal use option for patients to use at home or on the go. </w:t>
      </w:r>
      <w:r>
        <w:rPr>
          <w:rFonts w:ascii="times new roman;times" w:hAnsi="times new roman;times"/>
          <w:sz w:val="20"/>
        </w:rPr>
        <w:t>Prescriptions are written by a health care provider and dispensed from a specialty pharmacy, through the patient’s healthcare system, or shipped directly to certain patients in the United States from our facility in Rockaway, NJ. After the initial prescription is filled, access to additional therapy can be refilled for certain of our gammaCore products through the input of a prescription-only authorization.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We offer two versions of our Truvaga products for the support of general health and wellbeing. Truvaga 350 is a personal use consumer electronics general wellness product and Truvaga Plus, which was launched in April 2024, is our next generation, app-enabled general wellness product. Neither product requires a prescription and is available direct-to-consumer from electroCore at </w:t>
      </w:r>
      <w:r>
        <w:rPr>
          <w:rFonts w:ascii="times new roman;times" w:hAnsi="times new roman;times"/>
          <w:color w:val="000000"/>
          <w:sz w:val="20"/>
          <w:u w:val="single"/>
        </w:rPr>
        <w:t>www.truvaga.com</w:t>
      </w:r>
      <w:r>
        <w:rPr>
          <w:rFonts w:ascii="times new roman;times" w:hAnsi="times new roman;times"/>
          <w:color w:val="000000"/>
          <w:sz w:val="20"/>
        </w:rPr>
        <w:t> or through online retailers such as Amazon.com. TAC-STIM handset is a form of nVNS for human performance and has been developed in collaboration with the United States Department of Defense Biotech Optimized for Operational Solutions and Tactics, or BOOST program. TAC-STIM handsets are available as a Commercial Off the Shelf (COtS) solution to professional organizations and are the subject of ongoing research and evaluation within the United States Air Force Special Operations Command, the United States Army Special Operations Command and at the United States Air Force Research Laboratory.</w:t>
      </w:r>
    </w:p>
    <w:p>
      <w:pPr>
        <w:pStyle w:val="TextBody"/>
        <w:bidi w:val="0"/>
        <w:spacing w:lineRule="auto" w:line="288" w:before="200" w:after="200"/>
        <w:ind w:left="0" w:right="0" w:hanging="0"/>
        <w:jc w:val="left"/>
        <w:rPr>
          <w:rFonts w:ascii="times new roman;times" w:hAnsi="times new roman;times"/>
          <w:color w:val="000000"/>
          <w:sz w:val="20"/>
        </w:rPr>
      </w:pPr>
      <w:r>
        <w:rPr>
          <w:rFonts w:ascii="times new roman;times" w:hAnsi="times new roman;times"/>
          <w:color w:val="000000"/>
          <w:sz w:val="20"/>
        </w:rPr>
        <w:t>Truvaga and TAC-STIM are intended for general wellness in compliance with the FDA guidance document entitled “General Wellness: Policy for Low-Risk Devices; Guidance for Industry and FDA Staff, issued on September 27, 2019.” Truvaga and TAC-STIM handsets are not intended to diagnose, treat, cure, or prevent any disease or medical condition.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exploring strategies to make our TAC-STIM product available to other branches of the active-duty military, first responders, elite athletes and certain human performance professionals in the United States and abroad. Our TAC-STIM product is not a medical device and is not intended to diagnose, cure, mitigate, prevent, or treat a disease or condition.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val="false"/>
          <w:i w:val="false"/>
          <w:caps w:val="false"/>
          <w:smallCaps w:val="false"/>
          <w:color w:val="000000"/>
          <w:spacing w:val="0"/>
          <w:sz w:val="20"/>
        </w:rPr>
        <w:t>Our </w:t>
      </w:r>
      <w:r>
        <w:rPr>
          <w:rFonts w:ascii="times new roman;times" w:hAnsi="times new roman;times"/>
          <w:color w:val="000000"/>
          <w:sz w:val="20"/>
        </w:rPr>
        <w:t>two</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largest customers by revenue are the United States Department of Veterans Affairs and United States Department of Defense, or VA, and the United Kingdom National Health Service or NHS utilizing our FDA cleared and CE marked product, </w:t>
      </w:r>
      <w:r>
        <w:rPr>
          <w:rFonts w:ascii="times new roman;times" w:hAnsi="times new roman;times"/>
          <w:color w:val="000000"/>
          <w:sz w:val="20"/>
        </w:rPr>
        <w:t>gammaCore</w:t>
      </w:r>
      <w:r>
        <w:rPr>
          <w:rFonts w:ascii="times new roman;times" w:hAnsi="times new roman;times"/>
          <w:b w:val="false"/>
          <w:i w:val="false"/>
          <w:caps w:val="false"/>
          <w:smallCaps w:val="false"/>
          <w:color w:val="000000"/>
          <w:spacing w:val="0"/>
          <w:sz w:val="20"/>
        </w:rPr>
        <w:t>.</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89</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The VA comprised 70.6% of our revenue during the year ended December 31, 2024. The majority of our 2024 sales were made pursuant to our qualifying contract under the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 and subsequently extended the term to June 14, 2025, while the U.S. Department of Veteran Affairs VA Federal Supply Schedule Service reviews our follow-on offer application for a replacement contract. Although we continue to work with the appropriate government personnel to replace our FSS contract, there can be no assurance that the VA will accept our follow-on application to replace our contract which may limit or eliminate our ability to sell certain gammaCore products into the government channel pursuant to our qualifying FSS contract or individual facilities that utilize our FSS contract number for open market purchases.</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In August 2023, we signed a non-exclusive distribution agreement with Lovell Government Services, or Lovell, providing Lovell the right to list and distribute certain gammaCore products into the federal market. Lovell is a Service-Disabled Veteran-Owned Small Business (SDVOSB) offering medical and pharmaceutical goods and services to federal healthcare providers. Listing products with Lovell is intended to streamline the sales process to a variety of government procurement channels through Lovell’s compliance with contracting regulations and its provision of logistical solutions connected directly into government contracting portals, all of which are intended to help government agencies meet their SDVOSB procurement goals. Customers for these vehicles are federal healthcare systems such as the Veterans Health Administration (VHA, which includes the VA), the Military Health System (MHS), and Indian Health Services (IHS), which we believe serve up to approximately 21 million patients combined.</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Between November 2023 and January 2024, certain gammaCore products were added to the FSS, the DoD’s Distribution and Pricing Agreement (DAPA), GSA Advantage, and Defense Logistics Agency’s ECAT system procurement portals through the Lovell contract vehicles, enabling the purchase of gammaCore products within the government channel and throughout the federal markets, including, but not limited to, the VA. The gammaCore products offered through Lovell provide government customers with similar product configuration options to those currently sold through our existing FSS contract and open market sales made directly to individual VA facilities. We expect a portion of our U.S. 2025 sales of gammaCore to continue to be made pursuant to qualifying FSS, GSA, DAPA, ECAT contracts and open market sales to individual VA facilities.  Our sales function in this channel is comprised of employees and an increasing number of independent contractors.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Sales under the UK Med Tech Funding Mandate, or MTFM, for CH in the UK comprised 6.6% of our revenue during the year ended December 31, 2024. In 2025, we plan on continued use of this program. In 2023, NHS granted a two-year extension in which our prescription gammaCore therapy will continue to be listed in the NHS catalogue. This extension is through March 17, 2026, with an option for us to extend an additional two years. In 2025, we expect NICE to review the guidance document and any changes in recommendation or pricing may adversely impact our ability to work with NHS England on the MTFM program and could have an adverse impact on our financial results. We continue to utilize distribution partners to commercialize our nVNS technology in selected territories outside the United States and United Kingdom.</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 xml:space="preserve">We believe there may be significant opportunities beyond these two areas. Specifically, we believe there may be a large commercial opportunity for our gammaCore medical device with additional insurance covered lives, cash pay, physician dispense, and direct-to consumer approaches, along with wellness and human performance propositions through our Truvaga and TAC-STIM handsets. </w:t>
      </w:r>
      <w:r>
        <w:rPr>
          <w:rFonts w:ascii="times new roman;times" w:hAnsi="times new roman;times"/>
          <w:color w:val="000000"/>
          <w:sz w:val="20"/>
          <w:shd w:fill="FFFFFF" w:val="clear"/>
        </w:rPr>
        <w:t>Therefore, </w:t>
      </w:r>
      <w:r>
        <w:rPr>
          <w:rFonts w:ascii="times new roman;times" w:hAnsi="times new roman;times"/>
          <w:color w:val="000000"/>
          <w:sz w:val="20"/>
        </w:rPr>
        <w:t xml:space="preserve">we will continue our investments to expand our efforts in these channels and markets in </w:t>
      </w:r>
      <w:r>
        <w:rPr>
          <w:rFonts w:ascii="times new roman;times" w:hAnsi="times new roman;times"/>
          <w:color w:val="000000"/>
          <w:sz w:val="20"/>
        </w:rPr>
        <w:t>2025</w:t>
      </w:r>
      <w:r>
        <w:rPr>
          <w:rFonts w:ascii="times new roman;times" w:hAnsi="times new roman;times"/>
          <w:color w:val="000000"/>
          <w:sz w:val="20"/>
        </w:rPr>
        <w:t>.</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On December 17, 2024, we entered into a definitive agreement to acquire NURO. NURO is a commercial stage healthcare company that develops and commercializes neurotechnology devices to address unmet needs in the chronic pain market through its Quell® platform: a wearable, app and cloud-enabled neuromodulation platform that is indicated for the treatment of fibromyalgia symptoms (Quell Fibromyalgia) and lower-extremity chronic pain (Quell 2.0). The transaction does not include NURO’s Japan-related DPNCheck® technology and business, which are expected to be divested by NURO prior to closing of the transaction. Consummation of the transaction is subject to approval by holders of at least a majority of the outstanding shares of NURO common stock entitled to vote on the merger, and the filing with the SEC of NURO’s Form 10-K with respect to the fiscal year ended December 31, 2024, in addition to other closing conditions.</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We face a variety of challenges and risks that we will need to address and manage as we pursue our strategies, including our ability to develop and retain an effective sales force, achieve market acceptance of our gammaCore medical device among clinicians, patients, and third-party payers, expand the use of our gammaCore medical device to additional therapeutic indications, and to develop our nascent wellness and human performance business including the planned launch of Truvaga Plus, our next generation app-enabled device under the Truvaga brand.</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Because of the numerous risks and uncertainties associated with our commercialization efforts, as well as research and product development activities, there may be uncertainty regarding our ability to achieve or maintain profitability. If we fail to become profitable or are unable to sustain profitability, then we may be unable to continue our operations at planned levels and be forced to reduce or terminate our operations.</w:t>
      </w:r>
    </w:p>
    <w:p>
      <w:pPr>
        <w:pStyle w:val="TextBody"/>
        <w:bidi w:val="0"/>
        <w:spacing w:lineRule="auto" w:line="288" w:before="180" w:after="180"/>
        <w:ind w:left="0" w:right="0" w:hanging="0"/>
        <w:jc w:val="left"/>
        <w:rPr>
          <w:rFonts w:ascii="times new roman;times" w:hAnsi="times new roman;times"/>
          <w:color w:val="000000"/>
          <w:sz w:val="20"/>
        </w:rPr>
      </w:pPr>
      <w:r>
        <w:rPr>
          <w:rFonts w:ascii="times new roman;times" w:hAnsi="times new roman;times"/>
          <w:color w:val="000000"/>
          <w:sz w:val="20"/>
        </w:rPr>
        <w:t>Our expected cash requirements for the next 12 months and beyond are based on the commercial success of our products and our ability to control operating expenses. There are significant risks and uncertainties as to our ability to achieve these operating results.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See also “Liquidity Outlook.”</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Capital Activities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January 24, 2025, we filed a Form S-3 registration statement (with an amendment filed on January 31, 2025), or the 2025 Shelf Registration Statement, with the SEC, for the potential offering and issuance from time to time of common stock, preferred stock, warrants, rights, debt securities and units, up to an aggregate amount of $100 million. The 2025 Shelf Registration Statement is currently under review by the SEC. The proposed maximum offering price per unit and the proposed maximum aggregate offering price per class of security in any future offering under the 2025 Registration Statement will be determined from time to time by us in connection with the issuance by us of the securities registered under the 2025 Shelf Registration Statement. As of December 31, 2024, we have approximately $46.2 million remaining for potential issuance under the 2022 Shelf Registration Statement (as defined below).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 The 2022 Shelf Registration Statement expires on the earlier of July 24, 2025 and the effectiveness under the Securities Act of the 2025 Registration Statement.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November 29, 2024, we entered into the Sales Agreement with Wainwright. Under the Sales Agreement, the Company may offer and sell shares of its common stock, par value $0.001 per share, from time to time having an aggregate offering price of up to $20 million (the “ATM Shares”) during the term of the Sales Agreement through Wainwright, acting as sales agent. The Company has filed a prospectus supplement relating to the offer and sale of the Shares pursuant to the Sales Agreement. The ATM Shares will be issued pursuant to the Company’s previously filed and effective Registration Statement on Form S-3 (File No. 333-262223) (the “2022 Shelf Registration Statement”), which was initially filed with the Securities and Exchange Commission (the “SEC”) on January 18, 2022 and declared effective on January 25, 2022. The Company intends to use the net proceeds from any offering pursuant to the Sales Agreement to continue to fund sales and marketing, working capital and for other general corporate purposes. </w:t>
      </w:r>
      <w:r>
        <w:rPr>
          <w:rFonts w:ascii="Times New Roman;serif" w:hAnsi="Times New Roman;serif"/>
          <w:color w:val="000000"/>
          <w:sz w:val="20"/>
        </w:rPr>
        <w:t>As of March 6, 2025, the Company had approximately $19.78 million of ATM Shares remaining available for issuance under the Sales Agreement.</w:t>
      </w:r>
      <w:r>
        <w:rPr>
          <w:rFonts w:ascii="times new roman;times" w:hAnsi="times new roman;times"/>
          <w:color w:val="000000"/>
          <w:sz w:val="20"/>
        </w:rPr>
        <w:t xml:space="preserve"> </w:t>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June 5, 2024, in connection with a registered direct offering and concurrent private placement with an institutional and accredited investor, we issued and sold pre-funded warrants to purchase up to 225,000 shares of common stock, and warrants to purchase up to 112,500 shares of common stock. Each pre-funded warrant was sold together with one-half of one warrant to purchase one share of common stock, at a combined offering price of $6.4925 per pre-funded warrant and related one-half of one warrant.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on June 5, 2024, in a separate concurrent private placement with certain institutional and accredited investors and six of the Company's officers and directors, we issued and sold 438,191 shares of common stock, pre-funded warrants to purchase up to 770,119 shares of common stock, and warrants to purchase up to an aggregate of 604,150 shares of common stock. Each share of common stock was sold together with one-half of one warrant to purchase one share of common stock, at a combined offering price of $6.4925 per share of common stock and related one-half of one warrant. Each pre-funded warrant was sold together with one-half of one warrant to purchase one share of common stock, at a combined offering price of $6.4925 per pre-funded warrant and related one-half of one warrant.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common stock purchase warrants became exercisable immediately upon issuance at an exercise price of $6.43 per share and will expire five years after the date of issuance. Each pre-funded warrant became immediately exercisable upon issuance at an exercise price of $0.001 per share.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net proceeds to the Company resulting from the registered direct offering and concurrent private placements was approximately $9.0 million, after deducting the placement agent fees and expenses, and other offering expenses payable by the Company, and excluding the proceeds, if any, from the potential exercise of the common stock purchase warrants sold in the concurrent private placements. The registered pre-funded warrants were offered and sold by the Company pursuant the 2022 Shelf Registration Statement.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connection with a registered direct offering and concurrent private placement with certain institutional and accredited investors, on July 31, 2023, we issued and sold an aggregate of 1,062,600 shares of common stock, 613,314 pre-funded common stock purchase warrants that were exercisable upon issuance and warrants to purchase up to an aggregate of 837,955 shares of common stock. Pursuant to a private placement on the same date with six of the Company’s officers and directors, we issued and sold 169,968 shares of common stock and warrants to purchase up to an aggregate of 84,982 shares of common stock. The combined effective offering price of the securities sold pursuant to these transactions was $4.4125 per share of common stock and related warrant to purchase one-half of a share of common stock. The common stock purchase warrants became exercisable as of February 2, 2024, at a price of $4.35 per share and will expire five years after they become exercised. The net proceeds to the Company resulting from the registered direct offering and concurrent private placements was approximately $7.5 million, after deducting the placement agent fees and expenses, and other offering expenses payable by the Company, and excluding the proceeds, if any, from the potential exercise of the common stock purchase warrants sold in the concurrent private placements.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Critical Accounting  Estimates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40" w:before="0" w:after="160"/>
        <w:ind w:left="0" w:right="0" w:hanging="0"/>
        <w:jc w:val="left"/>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widowControl/>
        <w:bidi w:val="0"/>
        <w:spacing w:lineRule="auto" w:line="288" w:before="0" w:after="20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widowControl/>
        <w:bidi w:val="0"/>
        <w:spacing w:lineRule="auto" w:line="288" w:before="0" w:after="20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Although there are items within our financial statements that require management to make accounting estimates, we do not believe them to be critical, as defined above.</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Results of Operations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Comparison of the years ended December 31, 2024 and 2023</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following table summarizes our results of operations for the years ended December 31, 2024 and 2023 with the changes in those items in dollars.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597"/>
        <w:gridCol w:w="407"/>
        <w:gridCol w:w="1153"/>
        <w:gridCol w:w="211"/>
        <w:gridCol w:w="211"/>
        <w:gridCol w:w="407"/>
        <w:gridCol w:w="1232"/>
        <w:gridCol w:w="197"/>
        <w:gridCol w:w="189"/>
        <w:gridCol w:w="434"/>
        <w:gridCol w:w="859"/>
        <w:gridCol w:w="308"/>
      </w:tblGrid>
      <w:tr>
        <w:trPr/>
        <w:tc>
          <w:tcPr>
            <w:tcW w:w="4597" w:type="dxa"/>
            <w:tcBorders/>
            <w:shd w:fill="FFFFFF" w:val="clear"/>
            <w:vAlign w:val="center"/>
          </w:tcPr>
          <w:p>
            <w:pPr>
              <w:pStyle w:val="TableContents"/>
              <w:bidi w:val="0"/>
              <w:spacing w:before="0" w:after="0"/>
              <w:ind w:left="0" w:right="0" w:hanging="0"/>
              <w:jc w:val="left"/>
              <w:rPr/>
            </w:pPr>
            <w:r>
              <w:rPr/>
              <w:t xml:space="preserve">  </w:t>
            </w:r>
          </w:p>
        </w:tc>
        <w:tc>
          <w:tcPr>
            <w:tcW w:w="3621"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Years ended December 31, </w:t>
            </w:r>
          </w:p>
        </w:tc>
        <w:tc>
          <w:tcPr>
            <w:tcW w:w="197" w:type="dxa"/>
            <w:tcBorders/>
            <w:shd w:fill="FFFFFF" w:val="clear"/>
            <w:vAlign w:val="center"/>
          </w:tcPr>
          <w:p>
            <w:pPr>
              <w:pStyle w:val="TableContents"/>
              <w:bidi w:val="0"/>
              <w:spacing w:before="0" w:after="0"/>
              <w:ind w:left="0" w:right="0" w:hanging="0"/>
              <w:jc w:val="left"/>
              <w:rPr/>
            </w:pPr>
            <w:r>
              <w:rPr/>
              <w:t xml:space="preserve">  </w:t>
            </w:r>
          </w:p>
        </w:tc>
        <w:tc>
          <w:tcPr>
            <w:tcW w:w="189" w:type="dxa"/>
            <w:tcBorders/>
            <w:shd w:fill="FFFFFF" w:val="clear"/>
            <w:vAlign w:val="center"/>
          </w:tcPr>
          <w:p>
            <w:pPr>
              <w:pStyle w:val="TableContents"/>
              <w:bidi w:val="0"/>
              <w:spacing w:before="0" w:after="0"/>
              <w:ind w:left="0" w:right="0" w:hanging="0"/>
              <w:jc w:val="left"/>
              <w:rPr/>
            </w:pPr>
            <w:r>
              <w:rPr/>
              <w:t xml:space="preserve">  </w:t>
            </w:r>
          </w:p>
        </w:tc>
        <w:tc>
          <w:tcPr>
            <w:tcW w:w="434" w:type="dxa"/>
            <w:tcBorders/>
            <w:shd w:fill="FFFFFF" w:val="clear"/>
            <w:vAlign w:val="center"/>
          </w:tcPr>
          <w:p>
            <w:pPr>
              <w:pStyle w:val="TableContents"/>
              <w:bidi w:val="0"/>
              <w:spacing w:before="0" w:after="0"/>
              <w:ind w:left="0" w:right="0" w:hanging="0"/>
              <w:jc w:val="left"/>
              <w:rPr/>
            </w:pPr>
            <w:r>
              <w:rPr/>
              <w:t xml:space="preserve">  </w:t>
            </w:r>
          </w:p>
        </w:tc>
        <w:tc>
          <w:tcPr>
            <w:tcW w:w="859" w:type="dxa"/>
            <w:tcBorders/>
            <w:shd w:fill="FFFFFF" w:val="clear"/>
            <w:vAlign w:val="center"/>
          </w:tcPr>
          <w:p>
            <w:pPr>
              <w:pStyle w:val="TableContents"/>
              <w:bidi w:val="0"/>
              <w:spacing w:before="0" w:after="0"/>
              <w:ind w:left="0" w:right="0" w:hanging="0"/>
              <w:jc w:val="center"/>
              <w:rPr/>
            </w:pPr>
            <w:r>
              <w:rPr/>
              <w:t xml:space="preserve">  </w:t>
            </w:r>
          </w:p>
        </w:tc>
        <w:tc>
          <w:tcPr>
            <w:tcW w:w="308" w:type="dxa"/>
            <w:tcBorders/>
            <w:shd w:fill="FFFFFF" w:val="clear"/>
            <w:vAlign w:val="center"/>
          </w:tcPr>
          <w:p>
            <w:pPr>
              <w:pStyle w:val="TableContents"/>
              <w:bidi w:val="0"/>
              <w:spacing w:before="0" w:after="0"/>
              <w:ind w:left="0" w:right="0" w:hanging="0"/>
              <w:jc w:val="left"/>
              <w:rPr/>
            </w:pPr>
            <w:r>
              <w:rPr/>
              <w:t xml:space="preserve">  </w:t>
            </w:r>
          </w:p>
        </w:tc>
      </w:tr>
      <w:tr>
        <w:trPr/>
        <w:tc>
          <w:tcPr>
            <w:tcW w:w="4597" w:type="dxa"/>
            <w:tcBorders/>
            <w:shd w:fill="FFFFFF" w:val="clear"/>
            <w:vAlign w:val="center"/>
          </w:tcPr>
          <w:p>
            <w:pPr>
              <w:pStyle w:val="TableContents"/>
              <w:bidi w:val="0"/>
              <w:spacing w:before="0" w:after="0"/>
              <w:ind w:left="0" w:right="0" w:hanging="0"/>
              <w:jc w:val="left"/>
              <w:rPr>
                <w:b/>
                <w:i/>
                <w:sz w:val="20"/>
              </w:rPr>
            </w:pPr>
            <w:r>
              <w:rPr>
                <w:b/>
                <w:i/>
                <w:sz w:val="20"/>
              </w:rPr>
              <w:t xml:space="preserve">(in thousands) </w:t>
            </w:r>
          </w:p>
        </w:tc>
        <w:tc>
          <w:tcPr>
            <w:tcW w:w="1560"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2024 </w:t>
            </w:r>
          </w:p>
        </w:tc>
        <w:tc>
          <w:tcPr>
            <w:tcW w:w="211" w:type="dxa"/>
            <w:tcBorders/>
            <w:shd w:fill="FFFFFF" w:val="clear"/>
            <w:vAlign w:val="center"/>
          </w:tcPr>
          <w:p>
            <w:pPr>
              <w:pStyle w:val="TableContents"/>
              <w:bidi w:val="0"/>
              <w:spacing w:before="0" w:after="0"/>
              <w:ind w:left="0" w:right="0" w:hanging="0"/>
              <w:jc w:val="left"/>
              <w:rPr/>
            </w:pPr>
            <w:r>
              <w:rPr/>
              <w:t xml:space="preserve">  </w:t>
            </w:r>
          </w:p>
        </w:tc>
        <w:tc>
          <w:tcPr>
            <w:tcW w:w="211" w:type="dxa"/>
            <w:tcBorders/>
            <w:shd w:fill="FFFFFF" w:val="clear"/>
            <w:vAlign w:val="center"/>
          </w:tcPr>
          <w:p>
            <w:pPr>
              <w:pStyle w:val="TableContents"/>
              <w:bidi w:val="0"/>
              <w:spacing w:before="0" w:after="0"/>
              <w:ind w:left="0" w:right="0" w:hanging="0"/>
              <w:jc w:val="left"/>
              <w:rPr/>
            </w:pPr>
            <w:r>
              <w:rPr/>
              <w:t xml:space="preserve">  </w:t>
            </w:r>
          </w:p>
        </w:tc>
        <w:tc>
          <w:tcPr>
            <w:tcW w:w="1639"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197" w:type="dxa"/>
            <w:tcBorders/>
            <w:shd w:fill="FFFFFF" w:val="clear"/>
            <w:vAlign w:val="center"/>
          </w:tcPr>
          <w:p>
            <w:pPr>
              <w:pStyle w:val="TableContents"/>
              <w:bidi w:val="0"/>
              <w:spacing w:before="0" w:after="0"/>
              <w:ind w:left="0" w:right="0" w:hanging="0"/>
              <w:jc w:val="left"/>
              <w:rPr/>
            </w:pPr>
            <w:r>
              <w:rPr/>
              <w:t xml:space="preserve">  </w:t>
            </w:r>
          </w:p>
        </w:tc>
        <w:tc>
          <w:tcPr>
            <w:tcW w:w="189" w:type="dxa"/>
            <w:tcBorders/>
            <w:shd w:fill="FFFFFF" w:val="clear"/>
            <w:vAlign w:val="center"/>
          </w:tcPr>
          <w:p>
            <w:pPr>
              <w:pStyle w:val="TableContents"/>
              <w:bidi w:val="0"/>
              <w:spacing w:before="0" w:after="0"/>
              <w:ind w:left="0" w:right="0" w:hanging="0"/>
              <w:jc w:val="left"/>
              <w:rPr/>
            </w:pPr>
            <w:r>
              <w:rPr/>
              <w:t xml:space="preserve">  </w:t>
            </w:r>
          </w:p>
        </w:tc>
        <w:tc>
          <w:tcPr>
            <w:tcW w:w="1293"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Change </w:t>
            </w:r>
          </w:p>
        </w:tc>
        <w:tc>
          <w:tcPr>
            <w:tcW w:w="308" w:type="dxa"/>
            <w:tcBorders/>
            <w:shd w:fill="FFFFFF" w:val="clear"/>
            <w:vAlign w:val="center"/>
          </w:tcPr>
          <w:p>
            <w:pPr>
              <w:pStyle w:val="TableContents"/>
              <w:bidi w:val="0"/>
              <w:spacing w:before="0" w:after="0"/>
              <w:ind w:left="0" w:right="0" w:hanging="0"/>
              <w:jc w:val="left"/>
              <w:rPr/>
            </w:pPr>
            <w:r>
              <w:rPr/>
              <w:t xml:space="preserve">  </w:t>
            </w:r>
          </w:p>
        </w:tc>
      </w:tr>
      <w:tr>
        <w:trPr/>
        <w:tc>
          <w:tcPr>
            <w:tcW w:w="459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Net sales </w:t>
            </w:r>
          </w:p>
        </w:tc>
        <w:tc>
          <w:tcPr>
            <w:tcW w:w="40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25,182</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16,030</w:t>
            </w:r>
          </w:p>
        </w:tc>
        <w:tc>
          <w:tcPr>
            <w:tcW w:w="197" w:type="dxa"/>
            <w:tcBorders/>
            <w:shd w:fill="CCEEFC" w:val="clear"/>
            <w:vAlign w:val="center"/>
          </w:tcPr>
          <w:p>
            <w:pPr>
              <w:pStyle w:val="TableContents"/>
              <w:bidi w:val="0"/>
              <w:spacing w:before="0" w:after="0"/>
              <w:ind w:left="0" w:right="0" w:hanging="0"/>
              <w:jc w:val="left"/>
              <w:rPr/>
            </w:pPr>
            <w:r>
              <w:rPr/>
              <w:t xml:space="preserve">  </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9,152</w:t>
            </w:r>
          </w:p>
        </w:tc>
        <w:tc>
          <w:tcPr>
            <w:tcW w:w="308" w:type="dxa"/>
            <w:tcBorders/>
            <w:shd w:fill="CCEEFC" w:val="clear"/>
            <w:vAlign w:val="center"/>
          </w:tcPr>
          <w:p>
            <w:pPr>
              <w:pStyle w:val="TableContents"/>
              <w:bidi w:val="0"/>
              <w:spacing w:before="0" w:after="283"/>
              <w:jc w:val="left"/>
              <w:rPr>
                <w:sz w:val="4"/>
                <w:szCs w:val="4"/>
              </w:rPr>
            </w:pPr>
            <w:r>
              <w:rPr>
                <w:sz w:val="4"/>
                <w:szCs w:val="4"/>
              </w:rPr>
            </w:r>
          </w:p>
        </w:tc>
      </w:tr>
      <w:tr>
        <w:trPr/>
        <w:tc>
          <w:tcPr>
            <w:tcW w:w="459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3,785</w:t>
            </w:r>
          </w:p>
        </w:tc>
        <w:tc>
          <w:tcPr>
            <w:tcW w:w="211"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2,804 </w:t>
            </w:r>
          </w:p>
        </w:tc>
        <w:tc>
          <w:tcPr>
            <w:tcW w:w="197"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981</w:t>
            </w:r>
          </w:p>
        </w:tc>
        <w:tc>
          <w:tcPr>
            <w:tcW w:w="308" w:type="dxa"/>
            <w:tcBorders/>
            <w:vAlign w:val="center"/>
          </w:tcPr>
          <w:p>
            <w:pPr>
              <w:pStyle w:val="TableContents"/>
              <w:bidi w:val="0"/>
              <w:spacing w:before="0" w:after="283"/>
              <w:jc w:val="left"/>
              <w:rPr>
                <w:sz w:val="4"/>
                <w:szCs w:val="4"/>
              </w:rPr>
            </w:pPr>
            <w:r>
              <w:rPr>
                <w:sz w:val="4"/>
                <w:szCs w:val="4"/>
              </w:rPr>
            </w:r>
          </w:p>
        </w:tc>
      </w:tr>
      <w:tr>
        <w:trPr/>
        <w:tc>
          <w:tcPr>
            <w:tcW w:w="4597"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Gross profit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21,397</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13,226 </w:t>
            </w:r>
          </w:p>
        </w:tc>
        <w:tc>
          <w:tcPr>
            <w:tcW w:w="197" w:type="dxa"/>
            <w:tcBorders/>
            <w:shd w:fill="CCEEFC" w:val="clear"/>
            <w:vAlign w:val="center"/>
          </w:tcPr>
          <w:p>
            <w:pPr>
              <w:pStyle w:val="TableContents"/>
              <w:bidi w:val="0"/>
              <w:spacing w:before="0" w:after="0"/>
              <w:ind w:left="0" w:right="0" w:hanging="0"/>
              <w:jc w:val="left"/>
              <w:rPr/>
            </w:pPr>
            <w:r>
              <w:rPr/>
              <w:t xml:space="preserve">  </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8,171</w:t>
            </w:r>
          </w:p>
        </w:tc>
        <w:tc>
          <w:tcPr>
            <w:tcW w:w="308" w:type="dxa"/>
            <w:tcBorders/>
            <w:shd w:fill="CCEEFC" w:val="clear"/>
            <w:vAlign w:val="center"/>
          </w:tcPr>
          <w:p>
            <w:pPr>
              <w:pStyle w:val="TableContents"/>
              <w:bidi w:val="0"/>
              <w:spacing w:before="0" w:after="283"/>
              <w:jc w:val="left"/>
              <w:rPr>
                <w:sz w:val="4"/>
                <w:szCs w:val="4"/>
              </w:rPr>
            </w:pPr>
            <w:r>
              <w:rPr>
                <w:sz w:val="4"/>
                <w:szCs w:val="4"/>
              </w:rPr>
            </w:r>
          </w:p>
        </w:tc>
      </w:tr>
      <w:tr>
        <w:trPr/>
        <w:tc>
          <w:tcPr>
            <w:tcW w:w="4597" w:type="dxa"/>
            <w:tcBorders/>
            <w:vAlign w:val="center"/>
          </w:tcPr>
          <w:p>
            <w:pPr>
              <w:pStyle w:val="TableContents"/>
              <w:bidi w:val="0"/>
              <w:spacing w:before="0" w:after="283"/>
              <w:jc w:val="left"/>
              <w:rPr/>
            </w:pPr>
            <w:r>
              <w:rPr/>
              <w:t xml:space="preserve">      </w:t>
            </w:r>
            <w:r>
              <w:rPr>
                <w:rFonts w:ascii="times new roman;times" w:hAnsi="times new roman;times"/>
                <w:i/>
                <w:sz w:val="20"/>
              </w:rPr>
              <w:t>Gross margin</w:t>
            </w:r>
          </w:p>
        </w:tc>
        <w:tc>
          <w:tcPr>
            <w:tcW w:w="407" w:type="dxa"/>
            <w:tcBorders/>
            <w:vAlign w:val="center"/>
          </w:tcPr>
          <w:p>
            <w:pPr>
              <w:pStyle w:val="TableContents"/>
              <w:bidi w:val="0"/>
              <w:spacing w:before="0" w:after="283"/>
              <w:jc w:val="left"/>
              <w:rPr/>
            </w:pPr>
            <w:r>
              <w:rPr/>
            </w:r>
          </w:p>
        </w:tc>
        <w:tc>
          <w:tcPr>
            <w:tcW w:w="1153" w:type="dxa"/>
            <w:tcBorders/>
            <w:vAlign w:val="center"/>
          </w:tcPr>
          <w:p>
            <w:pPr>
              <w:pStyle w:val="TableContents"/>
              <w:bidi w:val="0"/>
              <w:spacing w:before="0" w:after="283"/>
              <w:jc w:val="right"/>
              <w:rPr>
                <w:rFonts w:ascii="times new roman;times" w:hAnsi="times new roman;times"/>
                <w:i/>
                <w:sz w:val="20"/>
              </w:rPr>
            </w:pPr>
            <w:r>
              <w:rPr>
                <w:rFonts w:ascii="times new roman;times" w:hAnsi="times new roman;times"/>
                <w:i/>
                <w:sz w:val="20"/>
              </w:rPr>
              <w:t>85%</w:t>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hanging="0"/>
              <w:jc w:val="left"/>
              <w:rPr>
                <w:sz w:val="4"/>
                <w:szCs w:val="4"/>
              </w:rPr>
            </w:pPr>
            <w:r>
              <w:rPr>
                <w:sz w:val="4"/>
                <w:szCs w:val="4"/>
              </w:rPr>
            </w:r>
          </w:p>
        </w:tc>
        <w:tc>
          <w:tcPr>
            <w:tcW w:w="1232" w:type="dxa"/>
            <w:tcBorders/>
            <w:vAlign w:val="center"/>
          </w:tcPr>
          <w:p>
            <w:pPr>
              <w:pStyle w:val="TableContents"/>
              <w:bidi w:val="0"/>
              <w:spacing w:before="0" w:after="0"/>
              <w:jc w:val="right"/>
              <w:rPr>
                <w:rFonts w:ascii="times new roman;times" w:hAnsi="times new roman;times"/>
                <w:i/>
                <w:sz w:val="20"/>
              </w:rPr>
            </w:pPr>
            <w:r>
              <w:rPr>
                <w:rFonts w:ascii="times new roman;times" w:hAnsi="times new roman;times"/>
                <w:i/>
                <w:sz w:val="20"/>
              </w:rPr>
              <w:t>83%</w:t>
            </w:r>
          </w:p>
        </w:tc>
        <w:tc>
          <w:tcPr>
            <w:tcW w:w="197"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r>
          </w:p>
        </w:tc>
        <w:tc>
          <w:tcPr>
            <w:tcW w:w="434" w:type="dxa"/>
            <w:tcBorders/>
            <w:vAlign w:val="center"/>
          </w:tcPr>
          <w:p>
            <w:pPr>
              <w:pStyle w:val="TableContents"/>
              <w:bidi w:val="0"/>
              <w:spacing w:before="0" w:after="283"/>
              <w:ind w:left="0" w:right="0" w:hanging="0"/>
              <w:jc w:val="left"/>
              <w:rPr/>
            </w:pPr>
            <w:r>
              <w:rPr/>
            </w:r>
          </w:p>
        </w:tc>
        <w:tc>
          <w:tcPr>
            <w:tcW w:w="859" w:type="dxa"/>
            <w:tcBorders/>
            <w:vAlign w:val="center"/>
          </w:tcPr>
          <w:p>
            <w:pPr>
              <w:pStyle w:val="TableContents"/>
              <w:bidi w:val="0"/>
              <w:spacing w:before="0" w:after="283"/>
              <w:jc w:val="left"/>
              <w:rPr/>
            </w:pPr>
            <w:r>
              <w:rPr/>
            </w:r>
          </w:p>
        </w:tc>
        <w:tc>
          <w:tcPr>
            <w:tcW w:w="308" w:type="dxa"/>
            <w:tcBorders/>
            <w:vAlign w:val="center"/>
          </w:tcPr>
          <w:p>
            <w:pPr>
              <w:pStyle w:val="TableContents"/>
              <w:bidi w:val="0"/>
              <w:spacing w:before="0" w:after="283"/>
              <w:jc w:val="left"/>
              <w:rPr/>
            </w:pPr>
            <w:r>
              <w:rPr/>
            </w:r>
          </w:p>
        </w:tc>
      </w:tr>
      <w:tr>
        <w:trPr/>
        <w:tc>
          <w:tcPr>
            <w:tcW w:w="459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bidi w:val="0"/>
              <w:spacing w:before="0" w:after="0"/>
              <w:ind w:left="0" w:right="0" w:hanging="0"/>
              <w:jc w:val="left"/>
              <w:rPr/>
            </w:pPr>
            <w:r>
              <w:rPr/>
              <w:t xml:space="preserve">  </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left"/>
              <w:rPr/>
            </w:pPr>
            <w:r>
              <w:rPr/>
              <w:t xml:space="preserve">  </w:t>
            </w:r>
          </w:p>
        </w:tc>
        <w:tc>
          <w:tcPr>
            <w:tcW w:w="197" w:type="dxa"/>
            <w:tcBorders/>
            <w:shd w:fill="CCEEFC" w:val="clear"/>
            <w:vAlign w:val="center"/>
          </w:tcPr>
          <w:p>
            <w:pPr>
              <w:pStyle w:val="TableContents"/>
              <w:bidi w:val="0"/>
              <w:spacing w:before="0" w:after="0"/>
              <w:ind w:left="0" w:right="0" w:hanging="0"/>
              <w:jc w:val="left"/>
              <w:rPr/>
            </w:pPr>
            <w:r>
              <w:rPr/>
              <w:t xml:space="preserve">  </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left"/>
              <w:rPr/>
            </w:pPr>
            <w:r>
              <w:rPr/>
              <w:t xml:space="preserve">  </w:t>
            </w:r>
          </w:p>
        </w:tc>
        <w:tc>
          <w:tcPr>
            <w:tcW w:w="308" w:type="dxa"/>
            <w:tcBorders/>
            <w:shd w:fill="CCEEFC" w:val="clear"/>
            <w:vAlign w:val="center"/>
          </w:tcPr>
          <w:p>
            <w:pPr>
              <w:pStyle w:val="TableContents"/>
              <w:bidi w:val="0"/>
              <w:spacing w:before="0" w:after="0"/>
              <w:ind w:left="0" w:right="0" w:hanging="0"/>
              <w:jc w:val="left"/>
              <w:rPr/>
            </w:pPr>
            <w:r>
              <w:rPr/>
              <w:t xml:space="preserve">  </w:t>
            </w:r>
          </w:p>
        </w:tc>
      </w:tr>
      <w:tr>
        <w:trPr/>
        <w:tc>
          <w:tcPr>
            <w:tcW w:w="4597"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Research and development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2,360</w:t>
            </w:r>
          </w:p>
        </w:tc>
        <w:tc>
          <w:tcPr>
            <w:tcW w:w="211"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5,321 </w:t>
            </w:r>
          </w:p>
        </w:tc>
        <w:tc>
          <w:tcPr>
            <w:tcW w:w="197"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(2,961</w:t>
            </w:r>
          </w:p>
        </w:tc>
        <w:tc>
          <w:tcPr>
            <w:tcW w:w="308"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4597"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Selling, general and administrative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31,199</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27,174 </w:t>
            </w:r>
          </w:p>
        </w:tc>
        <w:tc>
          <w:tcPr>
            <w:tcW w:w="197" w:type="dxa"/>
            <w:tcBorders/>
            <w:shd w:fill="CCEEFC" w:val="clear"/>
            <w:vAlign w:val="center"/>
          </w:tcPr>
          <w:p>
            <w:pPr>
              <w:pStyle w:val="TableContents"/>
              <w:bidi w:val="0"/>
              <w:spacing w:before="0" w:after="0"/>
              <w:ind w:left="0" w:right="0" w:hanging="0"/>
              <w:jc w:val="left"/>
              <w:rPr/>
            </w:pPr>
            <w:r>
              <w:rPr/>
              <w:t xml:space="preserve">  </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4,025</w:t>
            </w:r>
          </w:p>
        </w:tc>
        <w:tc>
          <w:tcPr>
            <w:tcW w:w="308" w:type="dxa"/>
            <w:tcBorders/>
            <w:shd w:fill="CCEEFC" w:val="clear"/>
            <w:vAlign w:val="center"/>
          </w:tcPr>
          <w:p>
            <w:pPr>
              <w:pStyle w:val="TableContents"/>
              <w:bidi w:val="0"/>
              <w:spacing w:before="0" w:after="283"/>
              <w:jc w:val="left"/>
              <w:rPr>
                <w:sz w:val="4"/>
                <w:szCs w:val="4"/>
              </w:rPr>
            </w:pPr>
            <w:r>
              <w:rPr>
                <w:sz w:val="4"/>
                <w:szCs w:val="4"/>
              </w:rPr>
            </w:r>
          </w:p>
        </w:tc>
      </w:tr>
      <w:tr>
        <w:trPr/>
        <w:tc>
          <w:tcPr>
            <w:tcW w:w="4597" w:type="dxa"/>
            <w:tcBorders/>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33,559</w:t>
            </w:r>
          </w:p>
        </w:tc>
        <w:tc>
          <w:tcPr>
            <w:tcW w:w="211"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32,495 </w:t>
            </w:r>
          </w:p>
        </w:tc>
        <w:tc>
          <w:tcPr>
            <w:tcW w:w="197"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1,064</w:t>
            </w:r>
          </w:p>
        </w:tc>
        <w:tc>
          <w:tcPr>
            <w:tcW w:w="308" w:type="dxa"/>
            <w:tcBorders/>
            <w:vAlign w:val="center"/>
          </w:tcPr>
          <w:p>
            <w:pPr>
              <w:pStyle w:val="TableContents"/>
              <w:bidi w:val="0"/>
              <w:spacing w:before="0" w:after="283"/>
              <w:jc w:val="left"/>
              <w:rPr>
                <w:sz w:val="4"/>
                <w:szCs w:val="4"/>
              </w:rPr>
            </w:pPr>
            <w:r>
              <w:rPr>
                <w:sz w:val="4"/>
                <w:szCs w:val="4"/>
              </w:rPr>
            </w:r>
          </w:p>
        </w:tc>
      </w:tr>
      <w:tr>
        <w:trPr/>
        <w:tc>
          <w:tcPr>
            <w:tcW w:w="4597" w:type="dxa"/>
            <w:tcBorders/>
            <w:shd w:fill="CCEEFC"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Loss from operations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(12,162</w:t>
            </w:r>
          </w:p>
        </w:tc>
        <w:tc>
          <w:tcPr>
            <w:tcW w:w="211" w:type="dxa"/>
            <w:tcBorders/>
            <w:shd w:fill="CCEEFC" w:val="clear"/>
            <w:vAlign w:val="center"/>
          </w:tcPr>
          <w:p>
            <w:pPr>
              <w:pStyle w:val="TableContents"/>
              <w:bidi w:val="0"/>
              <w:spacing w:before="0" w:after="283"/>
              <w:jc w:val="left"/>
              <w:rPr/>
            </w:pPr>
            <w:r>
              <w:rPr/>
              <w:t>)</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(19,269</w:t>
            </w:r>
          </w:p>
        </w:tc>
        <w:tc>
          <w:tcPr>
            <w:tcW w:w="197"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7,107</w:t>
            </w:r>
          </w:p>
        </w:tc>
        <w:tc>
          <w:tcPr>
            <w:tcW w:w="308" w:type="dxa"/>
            <w:tcBorders/>
            <w:shd w:fill="CCEEFC" w:val="clear"/>
            <w:vAlign w:val="center"/>
          </w:tcPr>
          <w:p>
            <w:pPr>
              <w:pStyle w:val="TableContents"/>
              <w:bidi w:val="0"/>
              <w:spacing w:before="0" w:after="0"/>
              <w:ind w:left="0" w:right="0" w:hanging="0"/>
              <w:jc w:val="left"/>
              <w:rPr/>
            </w:pPr>
            <w:r>
              <w:rPr/>
              <w:t xml:space="preserve">   </w:t>
            </w:r>
          </w:p>
        </w:tc>
      </w:tr>
      <w:tr>
        <w:trPr/>
        <w:tc>
          <w:tcPr>
            <w:tcW w:w="459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left"/>
              <w:rPr/>
            </w:pPr>
            <w:r>
              <w:rPr/>
              <w:t xml:space="preserve">  </w:t>
            </w:r>
          </w:p>
        </w:tc>
        <w:tc>
          <w:tcPr>
            <w:tcW w:w="197"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left"/>
              <w:rPr/>
            </w:pPr>
            <w:r>
              <w:rPr/>
              <w:t xml:space="preserve">  </w:t>
            </w:r>
          </w:p>
        </w:tc>
        <w:tc>
          <w:tcPr>
            <w:tcW w:w="308" w:type="dxa"/>
            <w:tcBorders/>
            <w:vAlign w:val="center"/>
          </w:tcPr>
          <w:p>
            <w:pPr>
              <w:pStyle w:val="TableContents"/>
              <w:bidi w:val="0"/>
              <w:spacing w:before="0" w:after="0"/>
              <w:ind w:left="0" w:right="0" w:hanging="0"/>
              <w:jc w:val="left"/>
              <w:rPr/>
            </w:pPr>
            <w:r>
              <w:rPr/>
              <w:t xml:space="preserve">  </w:t>
            </w:r>
          </w:p>
        </w:tc>
      </w:tr>
      <w:tr>
        <w:trPr/>
        <w:tc>
          <w:tcPr>
            <w:tcW w:w="4597"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Interest and other income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(572</w:t>
            </w:r>
          </w:p>
        </w:tc>
        <w:tc>
          <w:tcPr>
            <w:tcW w:w="211" w:type="dxa"/>
            <w:tcBorders/>
            <w:shd w:fill="CCEEFC" w:val="clear"/>
            <w:vAlign w:val="center"/>
          </w:tcPr>
          <w:p>
            <w:pPr>
              <w:pStyle w:val="TableContents"/>
              <w:bidi w:val="0"/>
              <w:spacing w:before="0" w:after="283"/>
              <w:jc w:val="left"/>
              <w:rPr/>
            </w:pPr>
            <w:r>
              <w:rPr/>
              <w:t>)</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(433 </w:t>
            </w:r>
          </w:p>
        </w:tc>
        <w:tc>
          <w:tcPr>
            <w:tcW w:w="19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(139</w:t>
            </w:r>
          </w:p>
        </w:tc>
        <w:tc>
          <w:tcPr>
            <w:tcW w:w="308" w:type="dxa"/>
            <w:tcBorders/>
            <w:shd w:fill="CCEEFC" w:val="clear"/>
            <w:vAlign w:val="center"/>
          </w:tcPr>
          <w:p>
            <w:pPr>
              <w:pStyle w:val="TableContents"/>
              <w:bidi w:val="0"/>
              <w:spacing w:before="0" w:after="283"/>
              <w:jc w:val="left"/>
              <w:rPr/>
            </w:pPr>
            <w:r>
              <w:rPr/>
              <w:t>)</w:t>
            </w:r>
          </w:p>
        </w:tc>
      </w:tr>
      <w:tr>
        <w:trPr/>
        <w:tc>
          <w:tcPr>
            <w:tcW w:w="4597"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Other expense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389</w:t>
            </w:r>
          </w:p>
        </w:tc>
        <w:tc>
          <w:tcPr>
            <w:tcW w:w="211" w:type="dxa"/>
            <w:tcBorders/>
            <w:vAlign w:val="center"/>
          </w:tcPr>
          <w:p>
            <w:pPr>
              <w:pStyle w:val="TableContents"/>
              <w:bidi w:val="0"/>
              <w:spacing w:before="0" w:after="0"/>
              <w:ind w:left="0" w:right="0" w:hanging="0"/>
              <w:jc w:val="left"/>
              <w:rPr/>
            </w:pPr>
            <w:r>
              <w:rPr/>
              <w:t xml:space="preserve">  </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184 </w:t>
            </w:r>
          </w:p>
        </w:tc>
        <w:tc>
          <w:tcPr>
            <w:tcW w:w="197"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w:t>
            </w:r>
          </w:p>
        </w:tc>
        <w:tc>
          <w:tcPr>
            <w:tcW w:w="308" w:type="dxa"/>
            <w:tcBorders/>
            <w:vAlign w:val="center"/>
          </w:tcPr>
          <w:p>
            <w:pPr>
              <w:pStyle w:val="TableContents"/>
              <w:bidi w:val="0"/>
              <w:spacing w:before="0" w:after="283"/>
              <w:jc w:val="left"/>
              <w:rPr>
                <w:sz w:val="4"/>
                <w:szCs w:val="4"/>
              </w:rPr>
            </w:pPr>
            <w:r>
              <w:rPr>
                <w:sz w:val="4"/>
                <w:szCs w:val="4"/>
              </w:rPr>
            </w:r>
          </w:p>
        </w:tc>
      </w:tr>
      <w:tr>
        <w:trPr/>
        <w:tc>
          <w:tcPr>
            <w:tcW w:w="4597" w:type="dxa"/>
            <w:tcBorders/>
            <w:shd w:fill="CCEEFC"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Total other (income) expense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15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(183</w:t>
            </w:r>
          </w:p>
        </w:tc>
        <w:tc>
          <w:tcPr>
            <w:tcW w:w="211" w:type="dxa"/>
            <w:tcBorders/>
            <w:shd w:fill="CCEEFC" w:val="clear"/>
            <w:vAlign w:val="center"/>
          </w:tcPr>
          <w:p>
            <w:pPr>
              <w:pStyle w:val="TableContents"/>
              <w:bidi w:val="0"/>
              <w:spacing w:before="0" w:after="283"/>
              <w:jc w:val="left"/>
              <w:rPr/>
            </w:pPr>
            <w:r>
              <w:rPr/>
              <w:t>)</w:t>
            </w:r>
          </w:p>
        </w:tc>
        <w:tc>
          <w:tcPr>
            <w:tcW w:w="211" w:type="dxa"/>
            <w:tcBorders/>
            <w:shd w:fill="CCEEFC" w:val="clear"/>
            <w:vAlign w:val="center"/>
          </w:tcPr>
          <w:p>
            <w:pPr>
              <w:pStyle w:val="TableContents"/>
              <w:bidi w:val="0"/>
              <w:spacing w:before="0" w:after="0"/>
              <w:ind w:left="0" w:right="0" w:hanging="0"/>
              <w:jc w:val="left"/>
              <w:rPr/>
            </w:pPr>
            <w:r>
              <w:rPr/>
              <w:t xml:space="preserve">  </w:t>
            </w:r>
          </w:p>
        </w:tc>
        <w:tc>
          <w:tcPr>
            <w:tcW w:w="407" w:type="dxa"/>
            <w:tcBorders/>
            <w:shd w:fill="CCEEFC" w:val="clear"/>
            <w:vAlign w:val="center"/>
          </w:tcPr>
          <w:p>
            <w:pPr>
              <w:pStyle w:val="TableContents"/>
              <w:bidi w:val="0"/>
              <w:spacing w:before="0" w:after="0"/>
              <w:ind w:left="0" w:right="0" w:hanging="0"/>
              <w:jc w:val="left"/>
              <w:rPr/>
            </w:pPr>
            <w:r>
              <w:rPr/>
              <w:t xml:space="preserve">  </w:t>
            </w:r>
          </w:p>
        </w:tc>
        <w:tc>
          <w:tcPr>
            <w:tcW w:w="123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w:t>
            </w:r>
          </w:p>
        </w:tc>
        <w:tc>
          <w:tcPr>
            <w:tcW w:w="197"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89" w:type="dxa"/>
            <w:tcBorders/>
            <w:shd w:fill="CCEEFC" w:val="clear"/>
            <w:vAlign w:val="center"/>
          </w:tcPr>
          <w:p>
            <w:pPr>
              <w:pStyle w:val="TableContents"/>
              <w:bidi w:val="0"/>
              <w:spacing w:before="0" w:after="0"/>
              <w:ind w:left="0" w:right="0" w:hanging="0"/>
              <w:jc w:val="left"/>
              <w:rPr/>
            </w:pPr>
            <w:r>
              <w:rPr/>
              <w:t xml:space="preserve">  </w:t>
            </w:r>
          </w:p>
        </w:tc>
        <w:tc>
          <w:tcPr>
            <w:tcW w:w="434" w:type="dxa"/>
            <w:tcBorders/>
            <w:shd w:fill="CCEEFC" w:val="clear"/>
            <w:vAlign w:val="center"/>
          </w:tcPr>
          <w:p>
            <w:pPr>
              <w:pStyle w:val="TableContents"/>
              <w:bidi w:val="0"/>
              <w:spacing w:before="0" w:after="0"/>
              <w:ind w:left="0" w:right="0" w:hanging="0"/>
              <w:jc w:val="left"/>
              <w:rPr/>
            </w:pPr>
            <w:r>
              <w:rPr/>
              <w:t xml:space="preserve">  </w:t>
            </w:r>
          </w:p>
        </w:tc>
        <w:tc>
          <w:tcPr>
            <w:tcW w:w="85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66</w:t>
            </w:r>
          </w:p>
        </w:tc>
        <w:tc>
          <w:tcPr>
            <w:tcW w:w="308" w:type="dxa"/>
            <w:tcBorders/>
            <w:shd w:fill="CCEEFC" w:val="clear"/>
            <w:vAlign w:val="center"/>
          </w:tcPr>
          <w:p>
            <w:pPr>
              <w:pStyle w:val="TableContents"/>
              <w:bidi w:val="0"/>
              <w:spacing w:before="0" w:after="283"/>
              <w:jc w:val="left"/>
              <w:rPr>
                <w:sz w:val="4"/>
                <w:szCs w:val="4"/>
              </w:rPr>
            </w:pPr>
            <w:r>
              <w:rPr>
                <w:sz w:val="4"/>
                <w:szCs w:val="4"/>
              </w:rPr>
            </w:r>
          </w:p>
        </w:tc>
      </w:tr>
      <w:tr>
        <w:trPr/>
        <w:tc>
          <w:tcPr>
            <w:tcW w:w="459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407" w:type="dxa"/>
            <w:tcBorders/>
            <w:vAlign w:val="center"/>
          </w:tcPr>
          <w:p>
            <w:pPr>
              <w:pStyle w:val="TableContents"/>
              <w:bidi w:val="0"/>
              <w:spacing w:before="0" w:after="0"/>
              <w:ind w:left="0" w:right="0" w:hanging="0"/>
              <w:jc w:val="left"/>
              <w:rPr/>
            </w:pPr>
            <w:r>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(11,979</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0"/>
              <w:ind w:left="0" w:right="0" w:hanging="0"/>
              <w:jc w:val="left"/>
              <w:rPr/>
            </w:pPr>
            <w:r>
              <w:rPr/>
              <w:t xml:space="preserve">  </w:t>
            </w:r>
          </w:p>
        </w:tc>
        <w:tc>
          <w:tcPr>
            <w:tcW w:w="407" w:type="dxa"/>
            <w:tcBorders/>
            <w:vAlign w:val="center"/>
          </w:tcPr>
          <w:p>
            <w:pPr>
              <w:pStyle w:val="TableContents"/>
              <w:bidi w:val="0"/>
              <w:spacing w:before="0" w:after="0"/>
              <w:ind w:left="0" w:right="0" w:hanging="0"/>
              <w:jc w:val="left"/>
              <w:rPr/>
            </w:pPr>
            <w:r>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(19,020 </w:t>
            </w:r>
          </w:p>
        </w:tc>
        <w:tc>
          <w:tcPr>
            <w:tcW w:w="197"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89" w:type="dxa"/>
            <w:tcBorders/>
            <w:vAlign w:val="center"/>
          </w:tcPr>
          <w:p>
            <w:pPr>
              <w:pStyle w:val="TableContents"/>
              <w:bidi w:val="0"/>
              <w:spacing w:before="0" w:after="0"/>
              <w:ind w:left="0" w:right="0" w:hanging="0"/>
              <w:jc w:val="left"/>
              <w:rPr/>
            </w:pPr>
            <w:r>
              <w:rPr/>
              <w:t xml:space="preserve">  </w:t>
            </w:r>
          </w:p>
        </w:tc>
        <w:tc>
          <w:tcPr>
            <w:tcW w:w="434" w:type="dxa"/>
            <w:tcBorders/>
            <w:vAlign w:val="center"/>
          </w:tcPr>
          <w:p>
            <w:pPr>
              <w:pStyle w:val="TableContents"/>
              <w:bidi w:val="0"/>
              <w:spacing w:before="0" w:after="0"/>
              <w:ind w:left="0" w:right="0" w:hanging="0"/>
              <w:jc w:val="left"/>
              <w:rPr/>
            </w:pPr>
            <w:r>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7,041</w:t>
            </w:r>
          </w:p>
        </w:tc>
        <w:tc>
          <w:tcPr>
            <w:tcW w:w="308" w:type="dxa"/>
            <w:tcBorders/>
            <w:vAlign w:val="center"/>
          </w:tcPr>
          <w:p>
            <w:pPr>
              <w:pStyle w:val="TableContents"/>
              <w:bidi w:val="0"/>
              <w:spacing w:before="0" w:after="0"/>
              <w:ind w:left="0" w:right="0" w:hanging="0"/>
              <w:jc w:val="left"/>
              <w:rPr/>
            </w:pPr>
            <w:r>
              <w:rPr/>
              <w:t xml:space="preserve">   </w:t>
            </w:r>
          </w:p>
        </w:tc>
      </w:tr>
      <w:tr>
        <w:trPr/>
        <w:tc>
          <w:tcPr>
            <w:tcW w:w="4597" w:type="dxa"/>
            <w:tcBorders/>
            <w:shd w:fill="CCEEFC" w:val="clear"/>
            <w:vAlign w:val="bottom"/>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Benefit from income taxes </w:t>
            </w:r>
          </w:p>
        </w:tc>
        <w:tc>
          <w:tcPr>
            <w:tcW w:w="407" w:type="dxa"/>
            <w:tcBorders/>
            <w:shd w:fill="CCEEFC" w:val="clear"/>
            <w:vAlign w:val="bottom"/>
          </w:tcPr>
          <w:p>
            <w:pPr>
              <w:pStyle w:val="TableContents"/>
              <w:bidi w:val="0"/>
              <w:spacing w:before="0" w:after="0"/>
              <w:ind w:left="0" w:right="0" w:hanging="0"/>
              <w:jc w:val="left"/>
              <w:rPr/>
            </w:pPr>
            <w:r>
              <w:rPr/>
              <w:t xml:space="preserve">  </w:t>
            </w:r>
          </w:p>
        </w:tc>
        <w:tc>
          <w:tcPr>
            <w:tcW w:w="1153" w:type="dxa"/>
            <w:tcBorders/>
            <w:shd w:fill="CCEEFC"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93</w:t>
            </w:r>
          </w:p>
        </w:tc>
        <w:tc>
          <w:tcPr>
            <w:tcW w:w="211" w:type="dxa"/>
            <w:tcBorders/>
            <w:shd w:fill="CCEEFC" w:val="clear"/>
            <w:vAlign w:val="bottom"/>
          </w:tcPr>
          <w:p>
            <w:pPr>
              <w:pStyle w:val="TableContents"/>
              <w:bidi w:val="0"/>
              <w:spacing w:before="0" w:after="0"/>
              <w:ind w:left="0" w:right="0" w:hanging="0"/>
              <w:jc w:val="left"/>
              <w:rPr/>
            </w:pPr>
            <w:r>
              <w:rPr/>
              <w:t xml:space="preserve">  </w:t>
            </w:r>
          </w:p>
        </w:tc>
        <w:tc>
          <w:tcPr>
            <w:tcW w:w="211" w:type="dxa"/>
            <w:tcBorders/>
            <w:shd w:fill="CCEEFC" w:val="clear"/>
            <w:vAlign w:val="bottom"/>
          </w:tcPr>
          <w:p>
            <w:pPr>
              <w:pStyle w:val="TableContents"/>
              <w:bidi w:val="0"/>
              <w:spacing w:before="0" w:after="0"/>
              <w:ind w:left="0" w:right="0" w:hanging="0"/>
              <w:jc w:val="left"/>
              <w:rPr/>
            </w:pPr>
            <w:r>
              <w:rPr/>
              <w:t xml:space="preserve">  </w:t>
            </w:r>
          </w:p>
        </w:tc>
        <w:tc>
          <w:tcPr>
            <w:tcW w:w="407" w:type="dxa"/>
            <w:tcBorders/>
            <w:shd w:fill="CCEEFC" w:val="clear"/>
            <w:vAlign w:val="bottom"/>
          </w:tcPr>
          <w:p>
            <w:pPr>
              <w:pStyle w:val="TableContents"/>
              <w:bidi w:val="0"/>
              <w:spacing w:before="0" w:after="0"/>
              <w:ind w:left="0" w:right="0" w:hanging="0"/>
              <w:jc w:val="left"/>
              <w:rPr/>
            </w:pPr>
            <w:r>
              <w:rPr/>
              <w:t xml:space="preserve">  </w:t>
            </w:r>
          </w:p>
        </w:tc>
        <w:tc>
          <w:tcPr>
            <w:tcW w:w="1232" w:type="dxa"/>
            <w:tcBorders/>
            <w:shd w:fill="CCEEFC"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186</w:t>
            </w:r>
          </w:p>
        </w:tc>
        <w:tc>
          <w:tcPr>
            <w:tcW w:w="197" w:type="dxa"/>
            <w:tcBorders/>
            <w:shd w:fill="CCEEFC" w:val="clear"/>
            <w:vAlign w:val="bottom"/>
          </w:tcPr>
          <w:p>
            <w:pPr>
              <w:pStyle w:val="TableContents"/>
              <w:bidi w:val="0"/>
              <w:spacing w:before="0" w:after="283"/>
              <w:jc w:val="left"/>
              <w:rPr>
                <w:sz w:val="4"/>
                <w:szCs w:val="4"/>
              </w:rPr>
            </w:pPr>
            <w:r>
              <w:rPr>
                <w:sz w:val="4"/>
                <w:szCs w:val="4"/>
              </w:rPr>
            </w:r>
          </w:p>
        </w:tc>
        <w:tc>
          <w:tcPr>
            <w:tcW w:w="189" w:type="dxa"/>
            <w:tcBorders/>
            <w:shd w:fill="CCEEFC" w:val="clear"/>
            <w:vAlign w:val="bottom"/>
          </w:tcPr>
          <w:p>
            <w:pPr>
              <w:pStyle w:val="TableContents"/>
              <w:bidi w:val="0"/>
              <w:spacing w:before="0" w:after="0"/>
              <w:ind w:left="0" w:right="0" w:hanging="0"/>
              <w:jc w:val="left"/>
              <w:rPr/>
            </w:pPr>
            <w:r>
              <w:rPr/>
              <w:t xml:space="preserve">  </w:t>
            </w:r>
          </w:p>
        </w:tc>
        <w:tc>
          <w:tcPr>
            <w:tcW w:w="434" w:type="dxa"/>
            <w:tcBorders/>
            <w:shd w:fill="CCEEFC" w:val="clear"/>
            <w:vAlign w:val="bottom"/>
          </w:tcPr>
          <w:p>
            <w:pPr>
              <w:pStyle w:val="TableContents"/>
              <w:bidi w:val="0"/>
              <w:spacing w:before="0" w:after="0"/>
              <w:ind w:left="0" w:right="0" w:hanging="0"/>
              <w:jc w:val="left"/>
              <w:rPr/>
            </w:pPr>
            <w:r>
              <w:rPr/>
              <w:t xml:space="preserve">  </w:t>
            </w:r>
          </w:p>
        </w:tc>
        <w:tc>
          <w:tcPr>
            <w:tcW w:w="859" w:type="dxa"/>
            <w:tcBorders/>
            <w:shd w:fill="CCEEFC"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(93</w:t>
            </w:r>
          </w:p>
        </w:tc>
        <w:tc>
          <w:tcPr>
            <w:tcW w:w="308" w:type="dxa"/>
            <w:tcBorders/>
            <w:shd w:fill="CCEEFC" w:val="clear"/>
            <w:vAlign w:val="bottom"/>
          </w:tcPr>
          <w:p>
            <w:pPr>
              <w:pStyle w:val="TableContents"/>
              <w:bidi w:val="0"/>
              <w:spacing w:before="0" w:after="283"/>
              <w:jc w:val="left"/>
              <w:rPr/>
            </w:pPr>
            <w:r>
              <w:rPr/>
              <w:t>)</w:t>
            </w:r>
          </w:p>
        </w:tc>
      </w:tr>
      <w:tr>
        <w:trPr/>
        <w:tc>
          <w:tcPr>
            <w:tcW w:w="4597" w:type="dxa"/>
            <w:tcBorders/>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Net loss </w:t>
            </w:r>
          </w:p>
        </w:tc>
        <w:tc>
          <w:tcPr>
            <w:tcW w:w="407" w:type="dxa"/>
            <w:tcBorders/>
            <w:vAlign w:val="center"/>
          </w:tcPr>
          <w:p>
            <w:pPr>
              <w:pStyle w:val="TableContents"/>
              <w:bidi w:val="0"/>
              <w:spacing w:before="0" w:after="0"/>
              <w:ind w:left="0" w:right="0" w:hanging="0"/>
              <w:jc w:val="left"/>
              <w:rPr/>
            </w:pPr>
            <w:r>
              <w:rPr/>
              <w:t> </w:t>
            </w:r>
            <w:r>
              <w:rPr>
                <w:rFonts w:ascii="times new roman;times" w:hAnsi="times new roman;times"/>
                <w:sz w:val="20"/>
              </w:rPr>
              <w:t xml:space="preserve">$ </w:t>
            </w:r>
          </w:p>
        </w:tc>
        <w:tc>
          <w:tcPr>
            <w:tcW w:w="115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(11,886</w:t>
            </w:r>
          </w:p>
        </w:tc>
        <w:tc>
          <w:tcPr>
            <w:tcW w:w="211" w:type="dxa"/>
            <w:tcBorders/>
            <w:vAlign w:val="bottom"/>
          </w:tcPr>
          <w:p>
            <w:pPr>
              <w:pStyle w:val="TableContents"/>
              <w:bidi w:val="0"/>
              <w:spacing w:before="0" w:after="0"/>
              <w:ind w:left="0" w:right="0" w:hanging="0"/>
              <w:jc w:val="left"/>
              <w:rPr/>
            </w:pPr>
            <w:r>
              <w:rPr/>
              <w:t>)</w:t>
            </w:r>
          </w:p>
        </w:tc>
        <w:tc>
          <w:tcPr>
            <w:tcW w:w="211" w:type="dxa"/>
            <w:tcBorders/>
            <w:vAlign w:val="center"/>
          </w:tcPr>
          <w:p>
            <w:pPr>
              <w:pStyle w:val="TableContents"/>
              <w:pBdr/>
              <w:bidi w:val="0"/>
              <w:spacing w:before="0" w:after="0"/>
              <w:ind w:left="0" w:right="0" w:hanging="0"/>
              <w:jc w:val="left"/>
              <w:rPr/>
            </w:pPr>
            <w:r>
              <w:rPr/>
              <w:t xml:space="preserve">  </w:t>
            </w:r>
          </w:p>
        </w:tc>
        <w:tc>
          <w:tcPr>
            <w:tcW w:w="407" w:type="dxa"/>
            <w:tcBorders/>
            <w:vAlign w:val="center"/>
          </w:tcPr>
          <w:p>
            <w:pPr>
              <w:pStyle w:val="TableContents"/>
              <w:pBdr/>
              <w:bidi w:val="0"/>
              <w:spacing w:before="0" w:after="0"/>
              <w:ind w:left="0" w:right="0" w:hanging="0"/>
              <w:jc w:val="left"/>
              <w:rPr/>
            </w:pPr>
            <w:r>
              <w:rPr/>
              <w:t> </w:t>
            </w:r>
            <w:r>
              <w:rPr>
                <w:rFonts w:ascii="times new roman;times" w:hAnsi="times new roman;times"/>
                <w:sz w:val="20"/>
              </w:rPr>
              <w:t xml:space="preserve">$ </w:t>
            </w:r>
          </w:p>
        </w:tc>
        <w:tc>
          <w:tcPr>
            <w:tcW w:w="123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(18,834</w:t>
            </w:r>
          </w:p>
        </w:tc>
        <w:tc>
          <w:tcPr>
            <w:tcW w:w="197"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pBdr/>
              <w:bidi w:val="0"/>
              <w:spacing w:before="0" w:after="0"/>
              <w:ind w:left="0" w:right="0" w:hanging="0"/>
              <w:jc w:val="left"/>
              <w:rPr/>
            </w:pPr>
            <w:r>
              <w:rPr/>
              <w:t xml:space="preserve">  </w:t>
            </w:r>
          </w:p>
        </w:tc>
        <w:tc>
          <w:tcPr>
            <w:tcW w:w="434" w:type="dxa"/>
            <w:tcBorders/>
            <w:vAlign w:val="center"/>
          </w:tcPr>
          <w:p>
            <w:pPr>
              <w:pStyle w:val="TableContents"/>
              <w:pBdr/>
              <w:bidi w:val="0"/>
              <w:spacing w:before="0" w:after="0"/>
              <w:ind w:left="0" w:right="0" w:hanging="0"/>
              <w:jc w:val="left"/>
              <w:rPr/>
            </w:pPr>
            <w:r>
              <w:rPr/>
              <w:t> </w:t>
            </w:r>
            <w:r>
              <w:rPr>
                <w:rFonts w:ascii="times new roman;times" w:hAnsi="times new roman;times"/>
                <w:sz w:val="20"/>
              </w:rPr>
              <w:t xml:space="preserve">$  </w:t>
            </w:r>
          </w:p>
        </w:tc>
        <w:tc>
          <w:tcPr>
            <w:tcW w:w="85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6,948</w:t>
            </w:r>
          </w:p>
        </w:tc>
        <w:tc>
          <w:tcPr>
            <w:tcW w:w="308" w:type="dxa"/>
            <w:tcBorders/>
            <w:vAlign w:val="bottom"/>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Net Sales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Net sales for the year ended December 31, 2024 increased </w:t>
      </w:r>
      <w:r>
        <w:rPr>
          <w:rFonts w:ascii="times new roman;times" w:hAnsi="times new roman;times"/>
          <w:sz w:val="20"/>
        </w:rPr>
        <w:t>57% </w:t>
      </w:r>
      <w:r>
        <w:rPr>
          <w:rFonts w:ascii="times new roman;times" w:hAnsi="times new roman;times"/>
          <w:sz w:val="20"/>
        </w:rPr>
        <w:t xml:space="preserve">as compared to the year ended December 31, 2023. The </w:t>
      </w:r>
      <w:r>
        <w:rPr>
          <w:rFonts w:ascii="times new roman;times" w:hAnsi="times new roman;times"/>
          <w:sz w:val="20"/>
        </w:rPr>
        <w:t>increase</w:t>
      </w:r>
      <w:r>
        <w:rPr>
          <w:rFonts w:ascii="times new roman;times" w:hAnsi="times new roman;times"/>
          <w:sz w:val="20"/>
        </w:rPr>
        <w:t> of $</w:t>
      </w:r>
      <w:r>
        <w:rPr>
          <w:rFonts w:ascii="times new roman;times" w:hAnsi="times new roman;times"/>
          <w:sz w:val="20"/>
        </w:rPr>
        <w:t>9.2</w:t>
      </w:r>
      <w:r>
        <w:rPr>
          <w:rFonts w:ascii="times new roman;times" w:hAnsi="times new roman;times"/>
          <w:sz w:val="20"/>
        </w:rPr>
        <w:t> million </w:t>
      </w:r>
      <w:r>
        <w:rPr>
          <w:rFonts w:ascii="times new roman;times" w:hAnsi="times new roman;times"/>
          <w:color w:val="000000"/>
          <w:sz w:val="20"/>
        </w:rPr>
        <w:t xml:space="preserve">is due to an increase in net sales in prescription (Rx) - Department of Veteran Affairs and Truvaga channels. We expect that the majority of </w:t>
      </w:r>
      <w:r>
        <w:rPr>
          <w:rFonts w:ascii="times new roman;times" w:hAnsi="times new roman;times"/>
          <w:color w:val="000000"/>
          <w:sz w:val="20"/>
        </w:rPr>
        <w:t>2025</w:t>
      </w:r>
      <w:r>
        <w:rPr>
          <w:rFonts w:ascii="times new roman;times" w:hAnsi="times new roman;times"/>
          <w:color w:val="000000"/>
          <w:sz w:val="20"/>
        </w:rPr>
        <w:t xml:space="preserve"> fiscal year revenue will continue to come from the U.S. Department of Veterans Affairs. See above </w:t>
      </w:r>
      <w:r>
        <w:rPr>
          <w:rFonts w:ascii="times new roman;times" w:hAnsi="times new roman;times"/>
          <w:i/>
          <w:color w:val="000000"/>
          <w:sz w:val="20"/>
        </w:rPr>
        <w:t>Overview</w:t>
      </w:r>
      <w:r>
        <w:rPr>
          <w:rFonts w:ascii="times new roman;times" w:hAnsi="times new roman;times"/>
          <w:color w:val="000000"/>
          <w:sz w:val="20"/>
        </w:rPr>
        <w:t xml:space="preserve"> for discussion regarding the Federal Supply Schedule.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following table sets forth our channel net sales: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454"/>
        <w:gridCol w:w="80"/>
        <w:gridCol w:w="330"/>
        <w:gridCol w:w="1319"/>
        <w:gridCol w:w="112"/>
        <w:gridCol w:w="112"/>
        <w:gridCol w:w="330"/>
        <w:gridCol w:w="1319"/>
        <w:gridCol w:w="149"/>
      </w:tblGrid>
      <w:tr>
        <w:trPr/>
        <w:tc>
          <w:tcPr>
            <w:tcW w:w="6454" w:type="dxa"/>
            <w:tcBorders/>
            <w:vAlign w:val="bottom"/>
          </w:tcPr>
          <w:p>
            <w:pPr>
              <w:pStyle w:val="TableContents"/>
              <w:pBdr/>
              <w:bidi w:val="0"/>
              <w:spacing w:before="0" w:after="0"/>
              <w:ind w:left="0" w:right="0" w:hanging="0"/>
              <w:jc w:val="left"/>
              <w:rPr>
                <w:rFonts w:ascii="times new roman;times" w:hAnsi="times new roman;times"/>
                <w:b/>
                <w:i/>
                <w:sz w:val="20"/>
              </w:rPr>
            </w:pPr>
            <w:r>
              <w:rPr>
                <w:rFonts w:ascii="times new roman;times" w:hAnsi="times new roman;times"/>
                <w:b/>
                <w:i/>
                <w:sz w:val="20"/>
              </w:rPr>
              <w:t xml:space="preserve">(in thousands) </w:t>
            </w:r>
          </w:p>
        </w:tc>
        <w:tc>
          <w:tcPr>
            <w:tcW w:w="80" w:type="dxa"/>
            <w:tcBorders/>
            <w:vAlign w:val="center"/>
          </w:tcPr>
          <w:p>
            <w:pPr>
              <w:pStyle w:val="TableContents"/>
              <w:bidi w:val="0"/>
              <w:spacing w:before="0" w:after="283"/>
              <w:ind w:left="0" w:right="0" w:hanging="0"/>
              <w:jc w:val="left"/>
              <w:rPr/>
            </w:pPr>
            <w:r>
              <w:rPr/>
            </w:r>
          </w:p>
        </w:tc>
        <w:tc>
          <w:tcPr>
            <w:tcW w:w="3522" w:type="dxa"/>
            <w:gridSpan w:val="6"/>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Years ended December 31, </w:t>
            </w:r>
          </w:p>
        </w:tc>
        <w:tc>
          <w:tcPr>
            <w:tcW w:w="149" w:type="dxa"/>
            <w:tcBorders/>
            <w:vAlign w:val="bottom"/>
          </w:tcPr>
          <w:p>
            <w:pPr>
              <w:pStyle w:val="TableContents"/>
              <w:bidi w:val="0"/>
              <w:spacing w:before="0" w:after="283"/>
              <w:ind w:left="0" w:right="0" w:hanging="0"/>
              <w:jc w:val="left"/>
              <w:rPr/>
            </w:pPr>
            <w:r>
              <w:rPr/>
            </w:r>
          </w:p>
        </w:tc>
      </w:tr>
      <w:tr>
        <w:trPr/>
        <w:tc>
          <w:tcPr>
            <w:tcW w:w="6454" w:type="dxa"/>
            <w:tcBorders/>
            <w:shd w:fill="FFFFFF" w:val="clear"/>
            <w:vAlign w:val="bottom"/>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Channel</w:t>
            </w:r>
          </w:p>
        </w:tc>
        <w:tc>
          <w:tcPr>
            <w:tcW w:w="80" w:type="dxa"/>
            <w:tcBorders/>
            <w:shd w:fill="FFFFFF" w:val="clear"/>
            <w:vAlign w:val="center"/>
          </w:tcPr>
          <w:p>
            <w:pPr>
              <w:pStyle w:val="TableContents"/>
              <w:bidi w:val="0"/>
              <w:spacing w:before="0" w:after="283"/>
              <w:ind w:left="0" w:right="0" w:hanging="0"/>
              <w:jc w:val="left"/>
              <w:rPr/>
            </w:pPr>
            <w:r>
              <w:rPr/>
            </w:r>
          </w:p>
        </w:tc>
        <w:tc>
          <w:tcPr>
            <w:tcW w:w="330" w:type="dxa"/>
            <w:tcBorders/>
            <w:shd w:fill="FFFFFF" w:val="clear"/>
            <w:vAlign w:val="bottom"/>
          </w:tcPr>
          <w:p>
            <w:pPr>
              <w:pStyle w:val="TableContents"/>
              <w:bidi w:val="0"/>
              <w:spacing w:before="0" w:after="283"/>
              <w:ind w:left="0" w:right="0" w:hanging="0"/>
              <w:jc w:val="left"/>
              <w:rPr/>
            </w:pPr>
            <w:r>
              <w:rPr/>
            </w:r>
          </w:p>
        </w:tc>
        <w:tc>
          <w:tcPr>
            <w:tcW w:w="1319" w:type="dxa"/>
            <w:tcBorders/>
            <w:shd w:fill="FFFFFF" w:val="clear"/>
            <w:vAlign w:val="bottom"/>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2024</w:t>
            </w:r>
          </w:p>
        </w:tc>
        <w:tc>
          <w:tcPr>
            <w:tcW w:w="112" w:type="dxa"/>
            <w:tcBorders/>
            <w:shd w:fill="FFFFFF" w:val="clear"/>
            <w:vAlign w:val="bottom"/>
          </w:tcPr>
          <w:p>
            <w:pPr>
              <w:pStyle w:val="TableContents"/>
              <w:bidi w:val="0"/>
              <w:spacing w:before="0" w:after="283"/>
              <w:ind w:left="0" w:right="0" w:hanging="0"/>
              <w:jc w:val="left"/>
              <w:rPr/>
            </w:pPr>
            <w:r>
              <w:rPr/>
            </w:r>
          </w:p>
        </w:tc>
        <w:tc>
          <w:tcPr>
            <w:tcW w:w="112" w:type="dxa"/>
            <w:tcBorders/>
            <w:shd w:fill="FFFFFF" w:val="clear"/>
            <w:vAlign w:val="bottom"/>
          </w:tcPr>
          <w:p>
            <w:pPr>
              <w:pStyle w:val="TableContents"/>
              <w:bidi w:val="0"/>
              <w:spacing w:before="0" w:after="283"/>
              <w:ind w:left="0" w:right="0" w:hanging="0"/>
              <w:jc w:val="left"/>
              <w:rPr/>
            </w:pPr>
            <w:r>
              <w:rPr/>
            </w:r>
          </w:p>
        </w:tc>
        <w:tc>
          <w:tcPr>
            <w:tcW w:w="330" w:type="dxa"/>
            <w:tcBorders/>
            <w:shd w:fill="FFFFFF" w:val="clear"/>
            <w:vAlign w:val="bottom"/>
          </w:tcPr>
          <w:p>
            <w:pPr>
              <w:pStyle w:val="TableContents"/>
              <w:bidi w:val="0"/>
              <w:spacing w:before="0" w:after="283"/>
              <w:ind w:left="0" w:right="0" w:hanging="0"/>
              <w:jc w:val="left"/>
              <w:rPr/>
            </w:pPr>
            <w:r>
              <w:rPr/>
            </w:r>
          </w:p>
        </w:tc>
        <w:tc>
          <w:tcPr>
            <w:tcW w:w="1319" w:type="dxa"/>
            <w:tcBorders/>
            <w:shd w:fill="FFFFFF" w:val="clear"/>
            <w:vAlign w:val="bottom"/>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2023</w:t>
            </w:r>
          </w:p>
        </w:tc>
        <w:tc>
          <w:tcPr>
            <w:tcW w:w="149" w:type="dxa"/>
            <w:tcBorders/>
            <w:shd w:fill="FFFFFF" w:val="clear"/>
            <w:vAlign w:val="bottom"/>
          </w:tcPr>
          <w:p>
            <w:pPr>
              <w:pStyle w:val="TableContents"/>
              <w:bidi w:val="0"/>
              <w:spacing w:before="0" w:after="283"/>
              <w:ind w:left="0" w:right="0" w:hanging="0"/>
              <w:jc w:val="left"/>
              <w:rPr/>
            </w:pPr>
            <w:r>
              <w:rPr/>
            </w:r>
          </w:p>
        </w:tc>
      </w:tr>
      <w:tr>
        <w:trPr/>
        <w:tc>
          <w:tcPr>
            <w:tcW w:w="6454"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Rx gammaCore - U.S. Department of Veteran Affairs</w:t>
            </w:r>
          </w:p>
        </w:tc>
        <w:tc>
          <w:tcPr>
            <w:tcW w:w="80" w:type="dxa"/>
            <w:tcBorders/>
            <w:shd w:fill="CCEEFC" w:val="clear"/>
            <w:vAlign w:val="center"/>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319"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17,788</w:t>
            </w:r>
          </w:p>
        </w:tc>
        <w:tc>
          <w:tcPr>
            <w:tcW w:w="112" w:type="dxa"/>
            <w:tcBorders/>
            <w:shd w:fill="CCEEFC" w:val="clear"/>
            <w:vAlign w:val="bottom"/>
          </w:tcPr>
          <w:p>
            <w:pPr>
              <w:pStyle w:val="TableContents"/>
              <w:bidi w:val="0"/>
              <w:spacing w:before="0" w:after="283"/>
              <w:ind w:left="0" w:right="0" w:hanging="0"/>
              <w:jc w:val="left"/>
              <w:rPr/>
            </w:pPr>
            <w:r>
              <w:rPr/>
            </w:r>
          </w:p>
        </w:tc>
        <w:tc>
          <w:tcPr>
            <w:tcW w:w="112" w:type="dxa"/>
            <w:tcBorders/>
            <w:shd w:fill="CCEEFC" w:val="clear"/>
            <w:vAlign w:val="bottom"/>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319"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9,636</w:t>
            </w:r>
          </w:p>
        </w:tc>
        <w:tc>
          <w:tcPr>
            <w:tcW w:w="149" w:type="dxa"/>
            <w:tcBorders/>
            <w:shd w:fill="CCEEFC" w:val="clear"/>
            <w:vAlign w:val="bottom"/>
          </w:tcPr>
          <w:p>
            <w:pPr>
              <w:pStyle w:val="TableContents"/>
              <w:bidi w:val="0"/>
              <w:spacing w:before="0" w:after="283"/>
              <w:ind w:left="0" w:right="0" w:hanging="0"/>
              <w:jc w:val="left"/>
              <w:rPr/>
            </w:pPr>
            <w:r>
              <w:rPr/>
            </w:r>
          </w:p>
        </w:tc>
      </w:tr>
      <w:tr>
        <w:trPr/>
        <w:tc>
          <w:tcPr>
            <w:tcW w:w="6454"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Rx gammaCore - U.S. Commercial</w:t>
            </w:r>
          </w:p>
        </w:tc>
        <w:tc>
          <w:tcPr>
            <w:tcW w:w="80" w:type="dxa"/>
            <w:tcBorders/>
            <w:vAlign w:val="center"/>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283"/>
              <w:ind w:left="0" w:right="0" w:hanging="0"/>
              <w:jc w:val="left"/>
              <w:rPr/>
            </w:pPr>
            <w:r>
              <w:rPr/>
            </w:r>
          </w:p>
        </w:tc>
        <w:tc>
          <w:tcPr>
            <w:tcW w:w="1319"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1,536</w:t>
            </w:r>
          </w:p>
        </w:tc>
        <w:tc>
          <w:tcPr>
            <w:tcW w:w="112" w:type="dxa"/>
            <w:tcBorders/>
            <w:vAlign w:val="bottom"/>
          </w:tcPr>
          <w:p>
            <w:pPr>
              <w:pStyle w:val="TableContents"/>
              <w:bidi w:val="0"/>
              <w:spacing w:before="0" w:after="283"/>
              <w:ind w:left="0" w:right="0" w:hanging="0"/>
              <w:jc w:val="left"/>
              <w:rPr/>
            </w:pPr>
            <w:r>
              <w:rPr/>
            </w:r>
          </w:p>
        </w:tc>
        <w:tc>
          <w:tcPr>
            <w:tcW w:w="112" w:type="dxa"/>
            <w:tcBorders/>
            <w:vAlign w:val="bottom"/>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283"/>
              <w:ind w:left="0" w:right="0" w:hanging="0"/>
              <w:jc w:val="left"/>
              <w:rPr/>
            </w:pPr>
            <w:r>
              <w:rPr/>
            </w:r>
          </w:p>
        </w:tc>
        <w:tc>
          <w:tcPr>
            <w:tcW w:w="1319"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1,797</w:t>
            </w:r>
          </w:p>
        </w:tc>
        <w:tc>
          <w:tcPr>
            <w:tcW w:w="149" w:type="dxa"/>
            <w:tcBorders/>
            <w:vAlign w:val="bottom"/>
          </w:tcPr>
          <w:p>
            <w:pPr>
              <w:pStyle w:val="TableContents"/>
              <w:bidi w:val="0"/>
              <w:spacing w:before="0" w:after="283"/>
              <w:ind w:left="0" w:right="0" w:hanging="0"/>
              <w:jc w:val="left"/>
              <w:rPr/>
            </w:pPr>
            <w:r>
              <w:rPr/>
            </w:r>
          </w:p>
        </w:tc>
      </w:tr>
      <w:tr>
        <w:trPr/>
        <w:tc>
          <w:tcPr>
            <w:tcW w:w="6454"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Outside the United States</w:t>
            </w:r>
          </w:p>
        </w:tc>
        <w:tc>
          <w:tcPr>
            <w:tcW w:w="80" w:type="dxa"/>
            <w:tcBorders/>
            <w:shd w:fill="CCEEFC" w:val="clear"/>
            <w:vAlign w:val="center"/>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bidi w:val="0"/>
              <w:spacing w:before="0" w:after="283"/>
              <w:ind w:left="0" w:right="0" w:hanging="0"/>
              <w:jc w:val="left"/>
              <w:rPr/>
            </w:pPr>
            <w:r>
              <w:rPr/>
            </w:r>
          </w:p>
        </w:tc>
        <w:tc>
          <w:tcPr>
            <w:tcW w:w="1319"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1,850</w:t>
            </w:r>
          </w:p>
        </w:tc>
        <w:tc>
          <w:tcPr>
            <w:tcW w:w="112" w:type="dxa"/>
            <w:tcBorders/>
            <w:shd w:fill="CCEEFC" w:val="clear"/>
            <w:vAlign w:val="bottom"/>
          </w:tcPr>
          <w:p>
            <w:pPr>
              <w:pStyle w:val="TableContents"/>
              <w:bidi w:val="0"/>
              <w:spacing w:before="0" w:after="283"/>
              <w:ind w:left="0" w:right="0" w:hanging="0"/>
              <w:jc w:val="left"/>
              <w:rPr/>
            </w:pPr>
            <w:r>
              <w:rPr/>
            </w:r>
          </w:p>
        </w:tc>
        <w:tc>
          <w:tcPr>
            <w:tcW w:w="112" w:type="dxa"/>
            <w:tcBorders/>
            <w:shd w:fill="CCEEFC" w:val="clear"/>
            <w:vAlign w:val="bottom"/>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bidi w:val="0"/>
              <w:spacing w:before="0" w:after="283"/>
              <w:ind w:left="0" w:right="0" w:hanging="0"/>
              <w:jc w:val="left"/>
              <w:rPr/>
            </w:pPr>
            <w:r>
              <w:rPr/>
            </w:r>
          </w:p>
        </w:tc>
        <w:tc>
          <w:tcPr>
            <w:tcW w:w="1319"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1,821</w:t>
            </w:r>
          </w:p>
        </w:tc>
        <w:tc>
          <w:tcPr>
            <w:tcW w:w="149" w:type="dxa"/>
            <w:tcBorders/>
            <w:shd w:fill="CCEEFC" w:val="clear"/>
            <w:vAlign w:val="bottom"/>
          </w:tcPr>
          <w:p>
            <w:pPr>
              <w:pStyle w:val="TableContents"/>
              <w:bidi w:val="0"/>
              <w:spacing w:before="0" w:after="283"/>
              <w:ind w:left="0" w:right="0" w:hanging="0"/>
              <w:jc w:val="left"/>
              <w:rPr/>
            </w:pPr>
            <w:r>
              <w:rPr/>
            </w:r>
          </w:p>
        </w:tc>
      </w:tr>
      <w:tr>
        <w:trPr/>
        <w:tc>
          <w:tcPr>
            <w:tcW w:w="6454"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Truvaga</w:t>
            </w:r>
          </w:p>
        </w:tc>
        <w:tc>
          <w:tcPr>
            <w:tcW w:w="80" w:type="dxa"/>
            <w:tcBorders/>
            <w:vAlign w:val="center"/>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283"/>
              <w:ind w:left="0" w:right="0" w:hanging="0"/>
              <w:jc w:val="left"/>
              <w:rPr/>
            </w:pPr>
            <w:r>
              <w:rPr/>
            </w:r>
          </w:p>
        </w:tc>
        <w:tc>
          <w:tcPr>
            <w:tcW w:w="1319"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2,811</w:t>
            </w:r>
          </w:p>
        </w:tc>
        <w:tc>
          <w:tcPr>
            <w:tcW w:w="112" w:type="dxa"/>
            <w:tcBorders/>
            <w:vAlign w:val="bottom"/>
          </w:tcPr>
          <w:p>
            <w:pPr>
              <w:pStyle w:val="TableContents"/>
              <w:bidi w:val="0"/>
              <w:spacing w:before="0" w:after="283"/>
              <w:ind w:left="0" w:right="0" w:hanging="0"/>
              <w:jc w:val="left"/>
              <w:rPr/>
            </w:pPr>
            <w:r>
              <w:rPr/>
            </w:r>
          </w:p>
        </w:tc>
        <w:tc>
          <w:tcPr>
            <w:tcW w:w="112" w:type="dxa"/>
            <w:tcBorders/>
            <w:vAlign w:val="bottom"/>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283"/>
              <w:ind w:left="0" w:right="0" w:hanging="0"/>
              <w:jc w:val="left"/>
              <w:rPr/>
            </w:pPr>
            <w:r>
              <w:rPr/>
            </w:r>
          </w:p>
        </w:tc>
        <w:tc>
          <w:tcPr>
            <w:tcW w:w="131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1,027</w:t>
            </w:r>
          </w:p>
        </w:tc>
        <w:tc>
          <w:tcPr>
            <w:tcW w:w="149" w:type="dxa"/>
            <w:tcBorders/>
            <w:vAlign w:val="bottom"/>
          </w:tcPr>
          <w:p>
            <w:pPr>
              <w:pStyle w:val="TableContents"/>
              <w:bidi w:val="0"/>
              <w:spacing w:before="0" w:after="283"/>
              <w:ind w:left="0" w:right="0" w:hanging="0"/>
              <w:jc w:val="left"/>
              <w:rPr/>
            </w:pPr>
            <w:r>
              <w:rPr/>
            </w:r>
          </w:p>
        </w:tc>
      </w:tr>
      <w:tr>
        <w:trPr/>
        <w:tc>
          <w:tcPr>
            <w:tcW w:w="6454"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TAC-STIM</w:t>
            </w:r>
          </w:p>
        </w:tc>
        <w:tc>
          <w:tcPr>
            <w:tcW w:w="80" w:type="dxa"/>
            <w:tcBorders/>
            <w:shd w:fill="CCEEFC" w:val="clear"/>
            <w:vAlign w:val="center"/>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bidi w:val="0"/>
              <w:spacing w:before="0" w:after="283"/>
              <w:ind w:left="0" w:right="0" w:hanging="0"/>
              <w:jc w:val="left"/>
              <w:rPr/>
            </w:pPr>
            <w:r>
              <w:rPr/>
            </w:r>
          </w:p>
        </w:tc>
        <w:tc>
          <w:tcPr>
            <w:tcW w:w="1319"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1,197</w:t>
            </w:r>
          </w:p>
        </w:tc>
        <w:tc>
          <w:tcPr>
            <w:tcW w:w="112" w:type="dxa"/>
            <w:tcBorders/>
            <w:shd w:fill="CCEEFC" w:val="clear"/>
            <w:vAlign w:val="bottom"/>
          </w:tcPr>
          <w:p>
            <w:pPr>
              <w:pStyle w:val="TableContents"/>
              <w:bidi w:val="0"/>
              <w:spacing w:before="0" w:after="283"/>
              <w:ind w:left="0" w:right="0" w:hanging="0"/>
              <w:jc w:val="left"/>
              <w:rPr/>
            </w:pPr>
            <w:r>
              <w:rPr/>
            </w:r>
          </w:p>
        </w:tc>
        <w:tc>
          <w:tcPr>
            <w:tcW w:w="112" w:type="dxa"/>
            <w:tcBorders/>
            <w:shd w:fill="CCEEFC" w:val="clear"/>
            <w:vAlign w:val="bottom"/>
          </w:tcPr>
          <w:p>
            <w:pPr>
              <w:pStyle w:val="TableContents"/>
              <w:bidi w:val="0"/>
              <w:spacing w:before="0" w:after="283"/>
              <w:ind w:left="0" w:right="0" w:hanging="0"/>
              <w:jc w:val="left"/>
              <w:rPr/>
            </w:pPr>
            <w:r>
              <w:rPr/>
            </w:r>
          </w:p>
        </w:tc>
        <w:tc>
          <w:tcPr>
            <w:tcW w:w="330" w:type="dxa"/>
            <w:tcBorders/>
            <w:shd w:fill="CCEEFC" w:val="clear"/>
            <w:vAlign w:val="bottom"/>
          </w:tcPr>
          <w:p>
            <w:pPr>
              <w:pStyle w:val="TableContents"/>
              <w:bidi w:val="0"/>
              <w:spacing w:before="0" w:after="283"/>
              <w:ind w:left="0" w:right="0" w:hanging="0"/>
              <w:jc w:val="left"/>
              <w:rPr/>
            </w:pPr>
            <w:r>
              <w:rPr/>
            </w:r>
          </w:p>
        </w:tc>
        <w:tc>
          <w:tcPr>
            <w:tcW w:w="1319" w:type="dxa"/>
            <w:tcBorders/>
            <w:shd w:fill="CCEEFC"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1,749</w:t>
            </w:r>
          </w:p>
        </w:tc>
        <w:tc>
          <w:tcPr>
            <w:tcW w:w="149" w:type="dxa"/>
            <w:tcBorders/>
            <w:shd w:fill="CCEEFC" w:val="clear"/>
            <w:vAlign w:val="bottom"/>
          </w:tcPr>
          <w:p>
            <w:pPr>
              <w:pStyle w:val="TableContents"/>
              <w:bidi w:val="0"/>
              <w:spacing w:before="0" w:after="283"/>
              <w:ind w:left="0" w:right="0" w:hanging="0"/>
              <w:jc w:val="left"/>
              <w:rPr/>
            </w:pPr>
            <w:r>
              <w:rPr/>
            </w:r>
          </w:p>
        </w:tc>
      </w:tr>
      <w:tr>
        <w:trPr/>
        <w:tc>
          <w:tcPr>
            <w:tcW w:w="6454" w:type="dxa"/>
            <w:tcBorders/>
            <w:vAlign w:val="bottom"/>
          </w:tcPr>
          <w:p>
            <w:pPr>
              <w:pStyle w:val="TableContents"/>
              <w:bidi w:val="0"/>
              <w:spacing w:before="0" w:after="283"/>
              <w:ind w:left="0" w:right="0" w:hanging="0"/>
              <w:jc w:val="left"/>
              <w:rPr/>
            </w:pPr>
            <w:r>
              <w:rPr/>
            </w:r>
          </w:p>
        </w:tc>
        <w:tc>
          <w:tcPr>
            <w:tcW w:w="80" w:type="dxa"/>
            <w:tcBorders/>
            <w:vAlign w:val="center"/>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319"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25,182</w:t>
            </w:r>
          </w:p>
        </w:tc>
        <w:tc>
          <w:tcPr>
            <w:tcW w:w="112" w:type="dxa"/>
            <w:tcBorders/>
            <w:vAlign w:val="bottom"/>
          </w:tcPr>
          <w:p>
            <w:pPr>
              <w:pStyle w:val="TableContents"/>
              <w:bidi w:val="0"/>
              <w:spacing w:before="0" w:after="283"/>
              <w:ind w:left="0" w:right="0" w:hanging="0"/>
              <w:jc w:val="left"/>
              <w:rPr/>
            </w:pPr>
            <w:r>
              <w:rPr/>
            </w:r>
          </w:p>
        </w:tc>
        <w:tc>
          <w:tcPr>
            <w:tcW w:w="112" w:type="dxa"/>
            <w:tcBorders/>
            <w:vAlign w:val="bottom"/>
          </w:tcPr>
          <w:p>
            <w:pPr>
              <w:pStyle w:val="TableContents"/>
              <w:bidi w:val="0"/>
              <w:spacing w:before="0" w:after="283"/>
              <w:ind w:left="0" w:right="0" w:hanging="0"/>
              <w:jc w:val="left"/>
              <w:rPr/>
            </w:pPr>
            <w:r>
              <w:rPr/>
            </w:r>
          </w:p>
        </w:tc>
        <w:tc>
          <w:tcPr>
            <w:tcW w:w="330"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319"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16,030</w:t>
            </w:r>
          </w:p>
        </w:tc>
        <w:tc>
          <w:tcPr>
            <w:tcW w:w="149" w:type="dxa"/>
            <w:tcBorders/>
            <w:vAlign w:val="bottom"/>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Gross Profit</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Gross profit in</w:t>
      </w:r>
      <w:r>
        <w:rPr>
          <w:rFonts w:ascii="times new roman;times" w:hAnsi="times new roman;times"/>
          <w:b w:val="false"/>
          <w:i w:val="false"/>
          <w:caps w:val="false"/>
          <w:smallCaps w:val="false"/>
          <w:strike w:val="false"/>
          <w:dstrike w:val="false"/>
          <w:color w:val="000000"/>
          <w:spacing w:val="0"/>
          <w:sz w:val="20"/>
          <w:u w:val="none"/>
          <w:effect w:val="none"/>
        </w:rPr>
        <w:t>creased</w:t>
      </w:r>
      <w:r>
        <w:rPr>
          <w:rFonts w:ascii="times new roman;times" w:hAnsi="times new roman;times"/>
          <w:b w:val="false"/>
          <w:i w:val="false"/>
          <w:caps w:val="false"/>
          <w:smallCaps w:val="false"/>
          <w:strike w:val="false"/>
          <w:dstrike w:val="false"/>
          <w:color w:val="000000"/>
          <w:spacing w:val="0"/>
          <w:sz w:val="20"/>
          <w:u w:val="none"/>
          <w:effect w:val="none"/>
        </w:rPr>
        <w:t xml:space="preserve"> $8.2 million for the year ended December 31, 2024 compared to the year ended December 31, 2023. The increase in gross profit was primarily driven by the increase in net sales. Gross margin was </w:t>
      </w:r>
      <w:r>
        <w:rPr>
          <w:rFonts w:ascii="times new roman;times" w:hAnsi="times new roman;times"/>
          <w:b w:val="false"/>
          <w:i w:val="false"/>
          <w:caps w:val="false"/>
          <w:smallCaps w:val="false"/>
          <w:strike w:val="false"/>
          <w:dstrike w:val="false"/>
          <w:color w:val="000000"/>
          <w:spacing w:val="0"/>
          <w:sz w:val="20"/>
          <w:u w:val="none"/>
          <w:effect w:val="none"/>
        </w:rPr>
        <w:t>85%</w:t>
      </w:r>
      <w:r>
        <w:rPr>
          <w:rFonts w:ascii="times new roman;times" w:hAnsi="times new roman;times"/>
          <w:b w:val="false"/>
          <w:i w:val="false"/>
          <w:caps w:val="false"/>
          <w:smallCaps w:val="false"/>
          <w:strike w:val="false"/>
          <w:dstrike w:val="false"/>
          <w:color w:val="000000"/>
          <w:spacing w:val="0"/>
          <w:sz w:val="20"/>
          <w:u w:val="none"/>
          <w:effect w:val="none"/>
        </w:rPr>
        <w:t> and </w:t>
      </w:r>
      <w:r>
        <w:rPr>
          <w:rFonts w:ascii="times new roman;times" w:hAnsi="times new roman;times"/>
          <w:b w:val="false"/>
          <w:i w:val="false"/>
          <w:caps w:val="false"/>
          <w:smallCaps w:val="false"/>
          <w:strike w:val="false"/>
          <w:dstrike w:val="false"/>
          <w:color w:val="000000"/>
          <w:spacing w:val="0"/>
          <w:sz w:val="20"/>
          <w:u w:val="none"/>
          <w:effect w:val="none"/>
        </w:rPr>
        <w:t>83%</w:t>
      </w:r>
      <w:r>
        <w:rPr>
          <w:rFonts w:ascii="times new roman;times" w:hAnsi="times new roman;times"/>
          <w:b w:val="false"/>
          <w:i w:val="false"/>
          <w:caps w:val="false"/>
          <w:smallCaps w:val="false"/>
          <w:strike w:val="false"/>
          <w:dstrike w:val="false"/>
          <w:color w:val="000000"/>
          <w:spacing w:val="0"/>
          <w:sz w:val="20"/>
          <w:u w:val="none"/>
          <w:effect w:val="none"/>
        </w:rPr>
        <w:t> for the years ended </w:t>
      </w:r>
      <w:r>
        <w:rPr>
          <w:rFonts w:ascii="times new roman;times" w:hAnsi="times new roman;times"/>
          <w:b w:val="false"/>
          <w:i w:val="false"/>
          <w:caps w:val="false"/>
          <w:smallCaps w:val="false"/>
          <w:strike w:val="false"/>
          <w:dstrike w:val="false"/>
          <w:color w:val="000000"/>
          <w:spacing w:val="0"/>
          <w:sz w:val="20"/>
          <w:u w:val="none"/>
          <w:effect w:val="none"/>
        </w:rPr>
        <w:t>December 31, 2024</w:t>
      </w:r>
      <w:r>
        <w:rPr>
          <w:rFonts w:ascii="times new roman;times" w:hAnsi="times new roman;times"/>
          <w:b w:val="false"/>
          <w:i w:val="false"/>
          <w:caps w:val="false"/>
          <w:smallCaps w:val="false"/>
          <w:strike w:val="false"/>
          <w:dstrike w:val="false"/>
          <w:color w:val="000000"/>
          <w:spacing w:val="0"/>
          <w:sz w:val="20"/>
          <w:u w:val="none"/>
          <w:effect w:val="none"/>
        </w:rPr>
        <w:t> and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strike w:val="false"/>
          <w:dstrike w:val="false"/>
          <w:color w:val="000000"/>
          <w:spacing w:val="0"/>
          <w:sz w:val="20"/>
          <w:u w:val="none"/>
          <w:effect w:val="none"/>
        </w:rPr>
        <w:t>,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Research and Development</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Research and development expense of $</w:t>
      </w:r>
      <w:r>
        <w:rPr>
          <w:rFonts w:ascii="times new roman;times" w:hAnsi="times new roman;times"/>
          <w:sz w:val="20"/>
        </w:rPr>
        <w:t>2.4 m</w:t>
      </w:r>
      <w:r>
        <w:rPr>
          <w:rFonts w:ascii="times new roman;times" w:hAnsi="times new roman;times"/>
          <w:sz w:val="20"/>
        </w:rPr>
        <w:t>illion for the year ended</w:t>
      </w:r>
      <w:r>
        <w:rPr>
          <w:rFonts w:ascii="times new roman;times" w:hAnsi="times new roman;times"/>
          <w:sz w:val="20"/>
        </w:rPr>
        <w:t xml:space="preserve"> December 31, 2024</w:t>
      </w:r>
      <w:r>
        <w:rPr>
          <w:rFonts w:ascii="times new roman;times" w:hAnsi="times new roman;times"/>
          <w:sz w:val="20"/>
        </w:rPr>
        <w:t xml:space="preserve"> decreased by $3.0 million compared to the prior year. </w:t>
      </w:r>
      <w:r>
        <w:rPr>
          <w:rFonts w:ascii="times new roman;times" w:hAnsi="times new roman;times"/>
          <w:b w:val="false"/>
          <w:color w:val="000000"/>
          <w:spacing w:val="0"/>
          <w:sz w:val="20"/>
        </w:rPr>
        <w:t>This decrease was primarily due to a significant reduction in investments associated with the development of Truvaga Plus.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Selling, General and Administrative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Selling, general and administrative expense of $</w:t>
      </w:r>
      <w:r>
        <w:rPr>
          <w:rFonts w:ascii="times new roman;times" w:hAnsi="times new roman;times"/>
          <w:color w:val="000000"/>
          <w:sz w:val="20"/>
        </w:rPr>
        <w:t>31.2 million</w:t>
      </w:r>
      <w:r>
        <w:rPr>
          <w:rFonts w:ascii="times new roman;times" w:hAnsi="times new roman;times"/>
          <w:color w:val="000000"/>
          <w:sz w:val="20"/>
        </w:rPr>
        <w:t xml:space="preserve"> for the year ended December 31, 2024 increased by $4.0 million compared to $27.2 million for the previous year. This increase was primarily due to our greater variable selling and marketing costs consistent with our increase in sales. In </w:t>
      </w:r>
      <w:r>
        <w:rPr>
          <w:rFonts w:ascii="times new roman;times" w:hAnsi="times new roman;times"/>
          <w:color w:val="000000"/>
          <w:sz w:val="20"/>
        </w:rPr>
        <w:t>2025</w:t>
      </w:r>
      <w:r>
        <w:rPr>
          <w:rFonts w:ascii="times new roman;times" w:hAnsi="times new roman;times"/>
          <w:color w:val="000000"/>
          <w:sz w:val="20"/>
        </w:rPr>
        <w:t>, we plan on continuing to make targeted investments in sales and marketing to support our commercial efforts, particularly around sales and marketing efforts across all major U.S. channels.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(Income) Expense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Other (income) expense of $183,000 for the year ended December 31, 2024 increased by $66,000 from prior year due to increased interest income offset by non-recurring expenses associated with the termination of a financing agreement and transaction expenses with the NURO transaction.</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Benefit from Income Taxes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may be eligible, from time to time, to receive cash from the sale of our net operating losses under New Jersey's Department of the Treasury - Division of Taxation NOL Transfer Program. During the years ended December 31, 2024 and 2023, we received net cash payments of $0.1 million and $0.2 million from the sale of our New Jersey state net operating losses, respectively.</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Liquidity and Capital Resources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At </w:t>
      </w:r>
      <w:r>
        <w:rPr>
          <w:rFonts w:ascii="times new roman;times" w:hAnsi="times new roman;times"/>
          <w:sz w:val="20"/>
        </w:rPr>
        <w:t>December 31, 2024</w:t>
      </w:r>
      <w:r>
        <w:rPr>
          <w:rFonts w:ascii="times new roman;times" w:hAnsi="times new roman;times"/>
          <w:sz w:val="20"/>
        </w:rPr>
        <w:t>, our cash, cash equivalents, restricted cash and marketable securities was $12.2 million compared to $10.6 million at December 31, 2023.</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730"/>
        <w:gridCol w:w="265"/>
        <w:gridCol w:w="375"/>
        <w:gridCol w:w="1201"/>
        <w:gridCol w:w="264"/>
        <w:gridCol w:w="265"/>
        <w:gridCol w:w="374"/>
        <w:gridCol w:w="1433"/>
        <w:gridCol w:w="298"/>
      </w:tblGrid>
      <w:tr>
        <w:trPr/>
        <w:tc>
          <w:tcPr>
            <w:tcW w:w="5730" w:type="dxa"/>
            <w:tcBorders/>
            <w:shd w:fill="FFFFFF" w:val="clear"/>
            <w:vAlign w:val="center"/>
          </w:tcPr>
          <w:p>
            <w:pPr>
              <w:pStyle w:val="TableContents"/>
              <w:bidi w:val="0"/>
              <w:spacing w:before="0" w:after="0"/>
              <w:ind w:left="0" w:right="0" w:hanging="0"/>
              <w:jc w:val="left"/>
              <w:rPr/>
            </w:pPr>
            <w:r>
              <w:rPr/>
              <w:t xml:space="preserve">  </w:t>
            </w:r>
          </w:p>
        </w:tc>
        <w:tc>
          <w:tcPr>
            <w:tcW w:w="265" w:type="dxa"/>
            <w:tcBorders/>
            <w:shd w:fill="FFFFFF" w:val="clear"/>
            <w:vAlign w:val="center"/>
          </w:tcPr>
          <w:p>
            <w:pPr>
              <w:pStyle w:val="TableContents"/>
              <w:bidi w:val="0"/>
              <w:spacing w:before="0" w:after="0"/>
              <w:ind w:left="0" w:right="0" w:hanging="0"/>
              <w:jc w:val="left"/>
              <w:rPr/>
            </w:pPr>
            <w:r>
              <w:rPr/>
              <w:t xml:space="preserve">  </w:t>
            </w:r>
          </w:p>
        </w:tc>
        <w:tc>
          <w:tcPr>
            <w:tcW w:w="3912"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December 31, </w:t>
            </w:r>
          </w:p>
        </w:tc>
        <w:tc>
          <w:tcPr>
            <w:tcW w:w="298" w:type="dxa"/>
            <w:tcBorders/>
            <w:shd w:fill="FFFFFF" w:val="clear"/>
            <w:vAlign w:val="center"/>
          </w:tcPr>
          <w:p>
            <w:pPr>
              <w:pStyle w:val="TableContents"/>
              <w:bidi w:val="0"/>
              <w:spacing w:before="0" w:after="0"/>
              <w:ind w:left="0" w:right="0" w:hanging="0"/>
              <w:jc w:val="left"/>
              <w:rPr/>
            </w:pPr>
            <w:r>
              <w:rPr/>
              <w:t xml:space="preserve">  </w:t>
            </w:r>
          </w:p>
        </w:tc>
      </w:tr>
      <w:tr>
        <w:trPr/>
        <w:tc>
          <w:tcPr>
            <w:tcW w:w="5730" w:type="dxa"/>
            <w:tcBorders/>
            <w:shd w:fill="FFFFFF" w:val="clear"/>
            <w:vAlign w:val="center"/>
          </w:tcPr>
          <w:p>
            <w:pPr>
              <w:pStyle w:val="TableContents"/>
              <w:bidi w:val="0"/>
              <w:spacing w:before="0" w:after="0"/>
              <w:ind w:left="0" w:right="0" w:hanging="0"/>
              <w:jc w:val="left"/>
              <w:rPr>
                <w:b/>
                <w:i/>
              </w:rPr>
            </w:pPr>
            <w:r>
              <w:rPr>
                <w:b/>
                <w:i/>
              </w:rPr>
              <w:t xml:space="preserve">(in thousands) </w:t>
            </w:r>
          </w:p>
        </w:tc>
        <w:tc>
          <w:tcPr>
            <w:tcW w:w="265" w:type="dxa"/>
            <w:tcBorders/>
            <w:shd w:fill="FFFFFF" w:val="clear"/>
            <w:vAlign w:val="center"/>
          </w:tcPr>
          <w:p>
            <w:pPr>
              <w:pStyle w:val="TableContents"/>
              <w:bidi w:val="0"/>
              <w:spacing w:before="0" w:after="0"/>
              <w:ind w:left="0" w:right="0" w:hanging="0"/>
              <w:jc w:val="left"/>
              <w:rPr/>
            </w:pPr>
            <w:r>
              <w:rPr/>
              <w:t xml:space="preserve">  </w:t>
            </w:r>
          </w:p>
        </w:tc>
        <w:tc>
          <w:tcPr>
            <w:tcW w:w="1576"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2024 </w:t>
            </w:r>
          </w:p>
        </w:tc>
        <w:tc>
          <w:tcPr>
            <w:tcW w:w="264" w:type="dxa"/>
            <w:tcBorders/>
            <w:shd w:fill="FFFFFF" w:val="clear"/>
            <w:vAlign w:val="center"/>
          </w:tcPr>
          <w:p>
            <w:pPr>
              <w:pStyle w:val="TableContents"/>
              <w:bidi w:val="0"/>
              <w:spacing w:before="0" w:after="0"/>
              <w:ind w:left="0" w:right="0" w:hanging="0"/>
              <w:jc w:val="left"/>
              <w:rPr/>
            </w:pPr>
            <w:r>
              <w:rPr/>
              <w:t xml:space="preserve">  </w:t>
            </w:r>
          </w:p>
        </w:tc>
        <w:tc>
          <w:tcPr>
            <w:tcW w:w="265" w:type="dxa"/>
            <w:tcBorders/>
            <w:shd w:fill="FFFFFF" w:val="clear"/>
            <w:vAlign w:val="center"/>
          </w:tcPr>
          <w:p>
            <w:pPr>
              <w:pStyle w:val="TableContents"/>
              <w:bidi w:val="0"/>
              <w:spacing w:before="0" w:after="0"/>
              <w:ind w:left="0" w:right="0" w:hanging="0"/>
              <w:jc w:val="left"/>
              <w:rPr/>
            </w:pPr>
            <w:r>
              <w:rPr/>
              <w:t xml:space="preserve">  </w:t>
            </w:r>
          </w:p>
        </w:tc>
        <w:tc>
          <w:tcPr>
            <w:tcW w:w="1807"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298" w:type="dxa"/>
            <w:tcBorders/>
            <w:shd w:fill="FFFFFF" w:val="clear"/>
            <w:vAlign w:val="center"/>
          </w:tcPr>
          <w:p>
            <w:pPr>
              <w:pStyle w:val="TableContents"/>
              <w:bidi w:val="0"/>
              <w:spacing w:before="0" w:after="0"/>
              <w:ind w:left="0" w:right="0" w:hanging="0"/>
              <w:jc w:val="left"/>
              <w:rPr/>
            </w:pPr>
            <w:r>
              <w:rPr/>
              <w:t xml:space="preserve">  </w:t>
            </w:r>
          </w:p>
        </w:tc>
      </w:tr>
      <w:tr>
        <w:trPr/>
        <w:tc>
          <w:tcPr>
            <w:tcW w:w="5730"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Net cash (used in) provided by </w:t>
            </w:r>
          </w:p>
        </w:tc>
        <w:tc>
          <w:tcPr>
            <w:tcW w:w="265"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pPr>
            <w:r>
              <w:rPr/>
              <w:t xml:space="preserve">  </w:t>
            </w:r>
          </w:p>
        </w:tc>
        <w:tc>
          <w:tcPr>
            <w:tcW w:w="1201"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265" w:type="dxa"/>
            <w:tcBorders/>
            <w:shd w:fill="CCEEFF" w:val="clear"/>
            <w:vAlign w:val="center"/>
          </w:tcPr>
          <w:p>
            <w:pPr>
              <w:pStyle w:val="TableContents"/>
              <w:bidi w:val="0"/>
              <w:spacing w:before="0" w:after="0"/>
              <w:ind w:left="0" w:right="0" w:hanging="0"/>
              <w:jc w:val="left"/>
              <w:rPr/>
            </w:pPr>
            <w:r>
              <w:rPr/>
              <w:t xml:space="preserve">  </w:t>
            </w:r>
          </w:p>
        </w:tc>
        <w:tc>
          <w:tcPr>
            <w:tcW w:w="374" w:type="dxa"/>
            <w:tcBorders/>
            <w:shd w:fill="CCEEFF" w:val="clear"/>
            <w:vAlign w:val="center"/>
          </w:tcPr>
          <w:p>
            <w:pPr>
              <w:pStyle w:val="TableContents"/>
              <w:bidi w:val="0"/>
              <w:spacing w:before="0" w:after="0"/>
              <w:ind w:left="0" w:right="0" w:hanging="0"/>
              <w:jc w:val="left"/>
              <w:rPr/>
            </w:pPr>
            <w:r>
              <w:rPr/>
              <w:t xml:space="preserve">  </w:t>
            </w:r>
          </w:p>
        </w:tc>
        <w:tc>
          <w:tcPr>
            <w:tcW w:w="1433" w:type="dxa"/>
            <w:tcBorders/>
            <w:shd w:fill="CCEEFF" w:val="clear"/>
            <w:vAlign w:val="center"/>
          </w:tcPr>
          <w:p>
            <w:pPr>
              <w:pStyle w:val="TableContents"/>
              <w:bidi w:val="0"/>
              <w:spacing w:before="0" w:after="0"/>
              <w:ind w:left="0" w:right="0" w:hanging="0"/>
              <w:jc w:val="left"/>
              <w:rPr/>
            </w:pPr>
            <w:r>
              <w:rPr/>
              <w:t xml:space="preserve">  </w:t>
            </w:r>
          </w:p>
        </w:tc>
        <w:tc>
          <w:tcPr>
            <w:tcW w:w="298" w:type="dxa"/>
            <w:tcBorders/>
            <w:shd w:fill="CCEEFF" w:val="clear"/>
            <w:vAlign w:val="center"/>
          </w:tcPr>
          <w:p>
            <w:pPr>
              <w:pStyle w:val="TableContents"/>
              <w:bidi w:val="0"/>
              <w:spacing w:before="0" w:after="0"/>
              <w:ind w:left="0" w:right="0" w:hanging="0"/>
              <w:jc w:val="left"/>
              <w:rPr/>
            </w:pPr>
            <w:r>
              <w:rPr/>
              <w:t xml:space="preserve">  </w:t>
            </w:r>
          </w:p>
        </w:tc>
      </w:tr>
      <w:tr>
        <w:trPr/>
        <w:tc>
          <w:tcPr>
            <w:tcW w:w="5730"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Operating activities </w:t>
            </w:r>
          </w:p>
        </w:tc>
        <w:tc>
          <w:tcPr>
            <w:tcW w:w="265"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0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(6,948</w:t>
            </w:r>
          </w:p>
        </w:tc>
        <w:tc>
          <w:tcPr>
            <w:tcW w:w="264" w:type="dxa"/>
            <w:tcBorders/>
            <w:vAlign w:val="center"/>
          </w:tcPr>
          <w:p>
            <w:pPr>
              <w:pStyle w:val="TableContents"/>
              <w:bidi w:val="0"/>
              <w:spacing w:before="0" w:after="283"/>
              <w:jc w:val="left"/>
              <w:rPr/>
            </w:pPr>
            <w:r>
              <w:rPr/>
              <w:t>)</w:t>
            </w:r>
          </w:p>
        </w:tc>
        <w:tc>
          <w:tcPr>
            <w:tcW w:w="265" w:type="dxa"/>
            <w:tcBorders/>
            <w:vAlign w:val="center"/>
          </w:tcPr>
          <w:p>
            <w:pPr>
              <w:pStyle w:val="TableContents"/>
              <w:bidi w:val="0"/>
              <w:spacing w:before="0" w:after="0"/>
              <w:ind w:left="0" w:right="0" w:hanging="0"/>
              <w:jc w:val="left"/>
              <w:rPr/>
            </w:pPr>
            <w:r>
              <w:rPr/>
              <w:t xml:space="preserve">  </w:t>
            </w:r>
          </w:p>
        </w:tc>
        <w:tc>
          <w:tcPr>
            <w:tcW w:w="37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(14,668</w:t>
            </w:r>
          </w:p>
        </w:tc>
        <w:tc>
          <w:tcPr>
            <w:tcW w:w="298" w:type="dxa"/>
            <w:tcBorders/>
            <w:vAlign w:val="center"/>
          </w:tcPr>
          <w:p>
            <w:pPr>
              <w:pStyle w:val="TableContents"/>
              <w:bidi w:val="0"/>
              <w:spacing w:before="0" w:after="283"/>
              <w:jc w:val="left"/>
              <w:rPr/>
            </w:pPr>
            <w:r>
              <w:rPr/>
              <w:t>)</w:t>
            </w:r>
          </w:p>
        </w:tc>
      </w:tr>
      <w:tr>
        <w:trPr/>
        <w:tc>
          <w:tcPr>
            <w:tcW w:w="5730" w:type="dxa"/>
            <w:tcBorders/>
            <w:shd w:fill="CCEEFF"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Investing activities </w:t>
            </w:r>
          </w:p>
        </w:tc>
        <w:tc>
          <w:tcPr>
            <w:tcW w:w="265"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0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(8,519</w:t>
            </w:r>
          </w:p>
        </w:tc>
        <w:tc>
          <w:tcPr>
            <w:tcW w:w="264" w:type="dxa"/>
            <w:tcBorders/>
            <w:shd w:fill="CCEEFF" w:val="clear"/>
            <w:vAlign w:val="center"/>
          </w:tcPr>
          <w:p>
            <w:pPr>
              <w:pStyle w:val="TableContents"/>
              <w:bidi w:val="0"/>
              <w:spacing w:before="0" w:after="283"/>
              <w:jc w:val="left"/>
              <w:rPr/>
            </w:pPr>
            <w:r>
              <w:rPr/>
              <w:t>)</w:t>
            </w:r>
          </w:p>
        </w:tc>
        <w:tc>
          <w:tcPr>
            <w:tcW w:w="265" w:type="dxa"/>
            <w:tcBorders/>
            <w:shd w:fill="CCEEFF" w:val="clear"/>
            <w:vAlign w:val="center"/>
          </w:tcPr>
          <w:p>
            <w:pPr>
              <w:pStyle w:val="TableContents"/>
              <w:bidi w:val="0"/>
              <w:spacing w:before="0" w:after="0"/>
              <w:ind w:left="0" w:right="0" w:hanging="0"/>
              <w:jc w:val="left"/>
              <w:rPr/>
            </w:pPr>
            <w:r>
              <w:rPr/>
              <w:t xml:space="preserve">  </w:t>
            </w:r>
          </w:p>
        </w:tc>
        <w:tc>
          <w:tcPr>
            <w:tcW w:w="37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33"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298" w:type="dxa"/>
            <w:tcBorders/>
            <w:shd w:fill="CCEEFF" w:val="clear"/>
            <w:vAlign w:val="center"/>
          </w:tcPr>
          <w:p>
            <w:pPr>
              <w:pStyle w:val="TableContents"/>
              <w:bidi w:val="0"/>
              <w:spacing w:before="0" w:after="283"/>
              <w:jc w:val="left"/>
              <w:rPr/>
            </w:pPr>
            <w:r>
              <w:rPr/>
              <w:t>)</w:t>
            </w:r>
          </w:p>
        </w:tc>
      </w:tr>
      <w:tr>
        <w:trPr/>
        <w:tc>
          <w:tcPr>
            <w:tcW w:w="5730"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Financing activities </w:t>
            </w:r>
          </w:p>
        </w:tc>
        <w:tc>
          <w:tcPr>
            <w:tcW w:w="265"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0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8,439</w:t>
            </w:r>
          </w:p>
        </w:tc>
        <w:tc>
          <w:tcPr>
            <w:tcW w:w="264" w:type="dxa"/>
            <w:tcBorders/>
            <w:vAlign w:val="center"/>
          </w:tcPr>
          <w:p>
            <w:pPr>
              <w:pStyle w:val="TableContents"/>
              <w:bidi w:val="0"/>
              <w:spacing w:before="0" w:after="0"/>
              <w:ind w:left="0" w:right="0" w:hanging="0"/>
              <w:jc w:val="left"/>
              <w:rPr/>
            </w:pPr>
            <w:r>
              <w:rPr/>
              <w:t xml:space="preserve">  </w:t>
            </w:r>
          </w:p>
        </w:tc>
        <w:tc>
          <w:tcPr>
            <w:tcW w:w="265" w:type="dxa"/>
            <w:tcBorders/>
            <w:vAlign w:val="center"/>
          </w:tcPr>
          <w:p>
            <w:pPr>
              <w:pStyle w:val="TableContents"/>
              <w:bidi w:val="0"/>
              <w:spacing w:before="0" w:after="0"/>
              <w:ind w:left="0" w:right="0" w:hanging="0"/>
              <w:jc w:val="left"/>
              <w:rPr/>
            </w:pPr>
            <w:r>
              <w:rPr/>
              <w:t xml:space="preserve">  </w:t>
            </w:r>
          </w:p>
        </w:tc>
        <w:tc>
          <w:tcPr>
            <w:tcW w:w="37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7,487 </w:t>
            </w:r>
          </w:p>
        </w:tc>
        <w:tc>
          <w:tcPr>
            <w:tcW w:w="298"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Operating Activities</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Net cash used in operating activities was $</w:t>
      </w:r>
      <w:r>
        <w:rPr>
          <w:rFonts w:ascii="times new roman;times" w:hAnsi="times new roman;times"/>
          <w:b w:val="false"/>
          <w:color w:val="000000"/>
          <w:spacing w:val="0"/>
          <w:sz w:val="20"/>
        </w:rPr>
        <w:t>6.9</w:t>
      </w:r>
      <w:r>
        <w:rPr>
          <w:rFonts w:ascii="times new roman;times" w:hAnsi="times new roman;times"/>
          <w:sz w:val="20"/>
        </w:rPr>
        <w:t xml:space="preserve"> million and </w:t>
      </w:r>
      <w:r>
        <w:rPr>
          <w:rFonts w:ascii="times new roman;times" w:hAnsi="times new roman;times"/>
          <w:b w:val="false"/>
          <w:color w:val="000000"/>
          <w:spacing w:val="0"/>
          <w:sz w:val="20"/>
        </w:rPr>
        <w:t>$</w:t>
      </w:r>
      <w:r>
        <w:rPr>
          <w:rFonts w:ascii="times new roman;times" w:hAnsi="times new roman;times"/>
          <w:sz w:val="20"/>
        </w:rPr>
        <w:t>14.7 million for the years ended December 31, 2024 and 2023, respectively. The decrease of $7.7 million is primarily due to the increase in net sales and resulting decrease in our net loss from operations as adjusted for non-cash expense items.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Investing Activities</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Net cash used in investing activities was $8.5 million and $0.2 million for the years ended December 31, 2024 and 2023, respectively. During the year ended December 31, 2024, cash used in investing activities was related to the purchase of marketable securities. </w:t>
      </w:r>
      <w:r>
        <w:rPr>
          <w:rFonts w:ascii="times new roman;times" w:hAnsi="times new roman;times"/>
          <w:b w:val="false"/>
          <w:i w:val="false"/>
          <w:caps w:val="false"/>
          <w:smallCaps w:val="false"/>
          <w:color w:val="000000"/>
          <w:spacing w:val="0"/>
          <w:sz w:val="20"/>
        </w:rPr>
        <w:t>During the year ended </w:t>
      </w:r>
      <w:r>
        <w:rPr>
          <w:rFonts w:ascii="times new roman;times" w:hAnsi="times new roman;times"/>
          <w:sz w:val="20"/>
        </w:rPr>
        <w:t>December 31, 2023</w:t>
      </w:r>
      <w:r>
        <w:rPr>
          <w:rFonts w:ascii="times new roman;times" w:hAnsi="times new roman;times"/>
          <w:b w:val="false"/>
          <w:i w:val="false"/>
          <w:caps w:val="false"/>
          <w:smallCaps w:val="false"/>
          <w:color w:val="000000"/>
          <w:spacing w:val="0"/>
          <w:sz w:val="20"/>
        </w:rPr>
        <w:t>, cash used in investing activities was related to equipment purchases.</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Financing Activities</w:t>
      </w:r>
    </w:p>
    <w:p>
      <w:pPr>
        <w:pStyle w:val="TextBody"/>
        <w:bidi w:val="0"/>
        <w:spacing w:lineRule="auto" w:line="288" w:before="0" w:after="0"/>
        <w:ind w:left="0" w:right="0" w:hanging="0"/>
        <w:jc w:val="left"/>
        <w:rPr/>
      </w:pPr>
      <w:r>
        <w:rPr/>
      </w:r>
    </w:p>
    <w:p>
      <w:pPr>
        <w:pStyle w:val="TextBody"/>
        <w:widowControl/>
        <w:bidi w:val="0"/>
        <w:spacing w:lineRule="auto" w:line="288"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provided by financing activities for the year ended December 31, 2024 was $8.4 million which was attributable to the Company entering into a registered direct offering and concurrent private placements, each of which closed on June 5, 2024, and proceeds from the exercise of warrants. Pursuant to a registered direct offering with an institutional and accredited investor, we issued and sold pre-funded warrants to purchase up to 225,000 shares of common stock. In a concurrent private placement, we issued and sold to the institutional and accredited investor warrants to purchase up to 112,500 shares of common stock. In a separate concurrent private placement with certain institutional and accredited investors and six of the Company’s officers and directors, we issued and sold 438,191 shares of common stock, pre-funded warrants to purchase up to 770,119 shares of common stock, and warrants to purchase up to an aggregate of 604,150 shares of common stock. Each share of common stock was sold together with one-half of one warrant to purchase one share of common stock, at a combined offering price of $6.4925 per share of common stock and related one-half of one warrant. Each pre-funded warrant was sold together with one-half of one warrant to purchase one share of common stock, at a combined offering price of $6.4925 per pre-funded warrant and related one-half of one warrant. The common stock purchase warrants became exercisable immediately upon issuance at a price of $6.43 per share and expire five years from the date of issuance. The pre-funded warrants became exercisable immediately upon issuance at a price of $0.001 per share. </w:t>
      </w:r>
    </w:p>
    <w:p>
      <w:pPr>
        <w:pStyle w:val="TextBody"/>
        <w:widowControl/>
        <w:bidi w:val="0"/>
        <w:spacing w:lineRule="auto" w:line="288"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cash provided by financing activities for the year ended December 31, 2023 was $7.5 million which was attributable to (i) a registered direct offering and concurrent private placement closed on August 2, 2023 with certain institutional and accredited investors pursuant to which we issued and sold an aggregate of 1,062,600 shares of common stock, 613,314  pre-funded common stock purchase warrants that are exercisable upon issuance, and warrants to purchase up to an aggregate of 837,955 shares of common stock and (ii) a concurrent private placement closed on August 2, 2023 with certain of the Company's officers and directors pursuant to which we issued and sold 169,968 shares of common stock and warrants to purchase up to an aggregate of 84,982 shares of common stock. The combined effective offering price of the securities sold pursuant to these transactions was $4.4125 per share of common stock and related warrant to purchase one-half of a share of common stock. The common stock purchase warrants became exercisable as of February 2, 2024 at a price of $4.35 per share and expire five years from the date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94</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Liquidity Outlook</w:t>
      </w:r>
    </w:p>
    <w:p>
      <w:pPr>
        <w:pStyle w:val="TextBody"/>
        <w:widowControl/>
        <w:bidi w:val="0"/>
        <w:spacing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November 29, 2024, we entered into the Sales Agreement with Wainwright, whereby the Company may offer and sell shares of its common stock from time to time having an aggregate offering price of up to $20 million during the term. In 2024, we did not raise money pursuant to the ATM Facility.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2025, we intend to continue to make targeted investments in sales and marketing to continue driving commercial activities. We have historically funded our operations from the sale of our common stock and may continue through utilization of the ATM facility orother equity or debt transactions if needed. As of March 6, 2025, the Company had approximately $19.78 million of ATM Shares remaining available for issuance under the Sales Agreement.</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expected cash requirements for the next 12 months and beyond are largely based on the commercial success of our products. We believe our cash and cash equivalents will enable us to fund our operating expenses, working capital, and capital expenditure requirements, as currently planned, through 12 months from the date the accompanying financial statements are issued. There are significant risks and uncertainties as to our ability to achieve these operating results. Due to these risks and uncertainties, there can be no assurance that we will have sufficient cash flow and liquidity to fund our planned activities, which could force us to significantly reduce or curtail our activities and, ultimately, potentially cease operations. The accompanying financial statements do not include any adjustment that might result from the outcome of this uncertainty. </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did not have during the periods presented, and we do not have any off-balance sheet arrangements, as defined in the rules and regulations of the SEC.</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Impact of Recently Issued Accounting Standards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ind w:left="0" w:right="0" w:hanging="0"/>
        <w:jc w:val="left"/>
        <w:rPr/>
      </w:pPr>
      <w:r>
        <w:rPr>
          <w:rFonts w:ascii="times new roman;times" w:hAnsi="times new roman;times"/>
          <w:b/>
          <w:sz w:val="20"/>
        </w:rPr>
        <w:t xml:space="preserve">Item 7A. </w:t>
      </w:r>
      <w:hyperlink w:anchor="TOC">
        <w:bookmarkStart w:id="60" w:name="BItem_7A_MJM5L0AN8G00000000000000000000"/>
        <w:bookmarkEnd w:id="60"/>
        <w:r>
          <w:rPr>
            <w:rStyle w:val="InternetLink"/>
            <w:rFonts w:ascii="times new roman;times" w:hAnsi="times new roman;times"/>
            <w:b/>
            <w:strike w:val="false"/>
            <w:dstrike w:val="false"/>
            <w:color w:val="000000"/>
            <w:sz w:val="20"/>
            <w:u w:val="none"/>
            <w:effect w:val="none"/>
          </w:rPr>
          <w:t>Quantitative and Qualitative Disclosures About Market Risk</w:t>
        </w:r>
      </w:hyperlink>
      <w:r>
        <w:rPr>
          <w:rFonts w:ascii="times new roman;times" w:hAnsi="times new roman;times"/>
          <w:b/>
          <w:sz w:val="20"/>
        </w:rPr>
        <w:t>.</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and our license agreement with Teijin is denominated in Japanese Yen.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pStyle w:val="TextBody"/>
        <w:widowControl/>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If the U.S. dollar uniformly increased or decreased in strength by 15</w:t>
      </w:r>
      <w:r>
        <w:rPr>
          <w:rFonts w:ascii="times new roman;times" w:hAnsi="times new roman;times"/>
          <w:b w:val="false"/>
          <w:i w:val="false"/>
          <w:caps w:val="false"/>
          <w:smallCaps w:val="false"/>
          <w:color w:val="000000"/>
          <w:spacing w:val="0"/>
          <w:sz w:val="20"/>
        </w:rPr>
        <w:t>%</w:t>
      </w:r>
      <w:r>
        <w:rPr>
          <w:rFonts w:ascii="times new roman;times" w:hAnsi="times new roman;times"/>
          <w:sz w:val="20"/>
        </w:rPr>
        <w:t xml:space="preserve"> relative to the foreign currencies in which our sales were denominated, our net income would have correspondingly increased or decreased by an immaterial amount for the year ended December 31, 2024.</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w:t>
      </w:r>
      <w:r>
        <w:rPr>
          <w:rFonts w:ascii="times new roman;times" w:hAnsi="times new roman;times"/>
          <w:color w:val="000000"/>
          <w:sz w:val="20"/>
        </w:rPr>
        <w:t>osure. Because of the short-term maturities of our cash equivalents, we do not believe that an increase in market rates would have any material negative impact on interest income recognized in our statement of operations. We</w:t>
      </w:r>
      <w:r>
        <w:rPr>
          <w:rFonts w:ascii="times new roman;times" w:hAnsi="times new roman;times"/>
          <w:sz w:val="20"/>
        </w:rPr>
        <w:t xml:space="preserve"> have no investments denominated in foreign currencies and therefore our investments are not subject to foreign currency exchange risk. We contract with investigational sites, suppliers and other vendors in Europe and internationally. In addition, our license agreement requires payments to us to be denominated in Japanese Yen. We are subject to fluctuations in foreign currency rates in connection with these agreements. We do not hedge our foreign currency exchange rate risk.</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color w:val="000000"/>
          <w:sz w:val="20"/>
        </w:rPr>
        <w:t>All of the potential changes noted above are based on sensitivity analyses performed on our financial position as of December 31, 2024.</w:t>
      </w:r>
      <w:r>
        <w:rPr>
          <w:rFonts w:ascii="times new roman;times" w:hAnsi="times new roman;times"/>
          <w:sz w:val="20"/>
        </w:rPr>
        <w:t xml:space="preserve"> </w:t>
      </w:r>
    </w:p>
    <w:p>
      <w:pPr>
        <w:pStyle w:val="TextBody"/>
        <w:bidi w:val="0"/>
        <w:spacing w:lineRule="auto" w:line="288" w:before="240" w:after="0"/>
        <w:ind w:left="0" w:right="0" w:hanging="0"/>
        <w:jc w:val="left"/>
        <w:rPr/>
      </w:pPr>
      <w:r>
        <w:rPr>
          <w:rFonts w:ascii="times new roman;times" w:hAnsi="times new roman;times"/>
          <w:b/>
          <w:sz w:val="20"/>
        </w:rPr>
        <w:t xml:space="preserve">Item 8. </w:t>
      </w:r>
      <w:hyperlink w:anchor="TOC">
        <w:bookmarkStart w:id="61" w:name="BItem_8_3USHIUWJM800000000000000000000"/>
        <w:bookmarkEnd w:id="61"/>
        <w:r>
          <w:rPr>
            <w:rStyle w:val="InternetLink"/>
            <w:rFonts w:ascii="times new roman;times" w:hAnsi="times new roman;times"/>
            <w:b/>
            <w:strike w:val="false"/>
            <w:dstrike w:val="false"/>
            <w:color w:val="000000"/>
            <w:sz w:val="20"/>
            <w:u w:val="none"/>
            <w:effect w:val="none"/>
          </w:rPr>
          <w:t>Financial Statements and Supplementary Data.</w:t>
        </w:r>
      </w:hyperlink>
    </w:p>
    <w:p>
      <w:pPr>
        <w:pStyle w:val="TextBody"/>
        <w:bidi w:val="0"/>
        <w:spacing w:lineRule="auto" w:line="288"/>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financial statements required to be filed pursuant to this Item 8 are appended to this Annual Report. An index of those financial statements is found in Item 15.</w:t>
      </w:r>
    </w:p>
    <w:p>
      <w:pPr>
        <w:pStyle w:val="TextBody"/>
        <w:bidi w:val="0"/>
        <w:spacing w:lineRule="auto" w:line="288" w:before="0" w:after="0"/>
        <w:ind w:left="0" w:right="0" w:hanging="0"/>
        <w:jc w:val="left"/>
        <w:rPr/>
      </w:pPr>
      <w:r>
        <w:rPr/>
      </w:r>
    </w:p>
    <w:p>
      <w:pPr>
        <w:pStyle w:val="TextBody"/>
        <w:bidi w:val="0"/>
        <w:spacing w:lineRule="auto" w:line="288"/>
        <w:ind w:left="0" w:right="0" w:hanging="0"/>
        <w:jc w:val="left"/>
        <w:rPr/>
      </w:pPr>
      <w:r>
        <w:rPr>
          <w:rFonts w:ascii="times new roman;times" w:hAnsi="times new roman;times"/>
          <w:b/>
          <w:sz w:val="20"/>
        </w:rPr>
        <w:t>Item 9. </w:t>
      </w:r>
      <w:hyperlink w:anchor="TOC">
        <w:bookmarkStart w:id="62" w:name="BItem_9_H0L656DCGG00000000000000000000"/>
        <w:bookmarkEnd w:id="62"/>
        <w:r>
          <w:rPr>
            <w:rStyle w:val="InternetLink"/>
            <w:rFonts w:ascii="times new roman;times" w:hAnsi="times new roman;times"/>
            <w:b/>
            <w:strike w:val="false"/>
            <w:dstrike w:val="false"/>
            <w:color w:val="000000"/>
            <w:sz w:val="20"/>
            <w:u w:val="none"/>
            <w:effect w:val="none"/>
          </w:rPr>
          <w:t>Changes in and Disagreements with Accountants on Accounting and Financial Disclosure</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None.</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96</w:t>
            </w:r>
          </w:p>
        </w:tc>
      </w:tr>
    </w:tbl>
    <w:p>
      <w:pPr>
        <w:pStyle w:val="TextBody"/>
        <w:bidi w:val="0"/>
        <w:spacing w:lineRule="auto" w:line="288" w:before="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200"/>
        <w:jc w:val="left"/>
        <w:rPr/>
      </w:pPr>
      <w:r>
        <w:rPr/>
      </w:r>
    </w:p>
    <w:p>
      <w:pPr>
        <w:pStyle w:val="TextBody"/>
        <w:bidi w:val="0"/>
        <w:spacing w:lineRule="auto" w:line="288" w:before="0" w:after="200"/>
        <w:jc w:val="left"/>
        <w:rPr>
          <w:sz w:val="20"/>
        </w:rPr>
      </w:pPr>
      <w:r>
        <w:rPr>
          <w:sz w:val="20"/>
        </w:rPr>
      </w:r>
    </w:p>
    <w:p>
      <w:pPr>
        <w:pStyle w:val="TextBody"/>
        <w:bidi w:val="0"/>
        <w:spacing w:lineRule="auto" w:line="288"/>
        <w:ind w:left="0" w:right="0" w:hanging="0"/>
        <w:jc w:val="left"/>
        <w:rPr/>
      </w:pPr>
      <w:r>
        <w:rPr>
          <w:rFonts w:ascii="times new roman;times" w:hAnsi="times new roman;times"/>
          <w:b/>
          <w:sz w:val="20"/>
        </w:rPr>
        <w:t>Item 9A. </w:t>
      </w:r>
      <w:hyperlink w:anchor="TOC">
        <w:bookmarkStart w:id="63" w:name="BControls_and_Procedures_MATHIIPD1S00000"/>
        <w:bookmarkEnd w:id="63"/>
        <w:r>
          <w:rPr>
            <w:rStyle w:val="InternetLink"/>
            <w:rFonts w:ascii="times new roman;times" w:hAnsi="times new roman;times"/>
            <w:b/>
            <w:strike w:val="false"/>
            <w:dstrike w:val="false"/>
            <w:color w:val="000000"/>
            <w:sz w:val="20"/>
            <w:u w:val="none"/>
            <w:effect w:val="none"/>
          </w:rPr>
          <w:t>Controls and Procedures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Evaluation of Disclosure Controls and Procedures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required by Rule 13a-15(b) of the Exchange Act, an evaluation as of December 31, 2024,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2024, were effective.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Management’s Report on Internal Control Over Financial Reporting </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of December 31, 2024,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2024 our internal control over financial reporting was effective.</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Changes in Internal Control over Financial Reporting</w:t>
      </w:r>
    </w:p>
    <w:p>
      <w:pPr>
        <w:pStyle w:val="TextBody"/>
        <w:widowControl/>
        <w:bidi w:val="0"/>
        <w:spacing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was no change in our internal control over financial reporting as such term is defined in Rules 13a-15(f) and 15d-15(f) under the Exchange Act, that occurred during the three months ended December 31, 2024 that has materially affected or is reasonably likely to materially affect our internal control over financial reporting.</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xml:space="preserve">  </w:t>
      </w:r>
    </w:p>
    <w:p>
      <w:pPr>
        <w:pStyle w:val="TextBody"/>
        <w:bidi w:val="0"/>
        <w:spacing w:lineRule="auto" w:line="288" w:before="0" w:after="0"/>
        <w:ind w:left="0" w:right="0" w:hanging="0"/>
        <w:jc w:val="left"/>
        <w:rPr/>
      </w:pPr>
      <w:r>
        <w:rPr>
          <w:rFonts w:ascii="times new roman;times" w:hAnsi="times new roman;times"/>
          <w:b/>
          <w:sz w:val="20"/>
        </w:rPr>
        <w:t xml:space="preserve">Item </w:t>
      </w:r>
      <w:r>
        <w:rPr>
          <w:rFonts w:ascii="times new roman;times" w:hAnsi="times new roman;times"/>
          <w:b/>
          <w:sz w:val="20"/>
        </w:rPr>
        <w:t>9</w:t>
      </w:r>
      <w:r>
        <w:rPr>
          <w:rFonts w:ascii="times new roman;times" w:hAnsi="times new roman;times"/>
          <w:b/>
          <w:sz w:val="20"/>
        </w:rPr>
        <w:t xml:space="preserve">B. </w:t>
      </w:r>
      <w:hyperlink w:anchor="TOC">
        <w:bookmarkStart w:id="64" w:name="BOther_Information_KGNKKMJFPS00000000000"/>
        <w:bookmarkEnd w:id="64"/>
        <w:r>
          <w:rPr>
            <w:rStyle w:val="InternetLink"/>
            <w:rFonts w:ascii="times new roman;times" w:hAnsi="times new roman;times"/>
            <w:b/>
            <w:strike w:val="false"/>
            <w:dstrike w:val="false"/>
            <w:color w:val="000000"/>
            <w:sz w:val="20"/>
            <w:u w:val="none"/>
            <w:effect w:val="none"/>
          </w:rPr>
          <w:t>Other Information</w:t>
        </w:r>
      </w:hyperlink>
    </w:p>
    <w:p>
      <w:pPr>
        <w:pStyle w:val="TextBody"/>
        <w:bidi w:val="0"/>
        <w:spacing w:lineRule="auto" w:line="288"/>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i/>
          <w:sz w:val="20"/>
        </w:rPr>
        <w:t>Director and Officer Trading Plans and Arrangements</w:t>
      </w:r>
      <w:r>
        <w:rPr>
          <w:rFonts w:ascii="times new roman;times" w:hAnsi="times new roman;times"/>
          <w:sz w:val="20"/>
        </w:rPr>
        <w:br/>
        <w:br/>
        <w:t xml:space="preserve">During the three months ended December 31, 2024, </w:t>
      </w:r>
      <w:r>
        <w:rPr>
          <w:rFonts w:ascii="times new roman;times" w:hAnsi="times new roman;times"/>
          <w:sz w:val="20"/>
        </w:rPr>
        <w:t>n</w:t>
      </w:r>
      <w:r>
        <w:rPr>
          <w:rFonts w:ascii="times new roman;times" w:hAnsi="times new roman;times"/>
          <w:sz w:val="20"/>
        </w:rPr>
        <w:t>o</w:t>
      </w:r>
      <w:r>
        <w:rPr>
          <w:rFonts w:ascii="times new roman;times" w:hAnsi="times new roman;times"/>
          <w:sz w:val="20"/>
        </w:rPr>
        <w:t>n</w:t>
      </w:r>
      <w:r>
        <w:rPr>
          <w:rFonts w:ascii="times new roman;times" w:hAnsi="times new roman;times"/>
          <w:sz w:val="20"/>
        </w:rPr>
        <w:t>e of our directors or officers adopted, made certain modifications or terminated a “Rule 10b5-1 trading arrangement” or “non-Rule 10b5-1 trading arrangement,” as each term is defined in Item 408(a) of Regulation S-K.</w:t>
      </w:r>
    </w:p>
    <w:p>
      <w:pPr>
        <w:pStyle w:val="TextBody"/>
        <w:shd w:fill="FFFFFF" w:val="clear"/>
        <w:bidi w:val="0"/>
        <w:spacing w:lineRule="auto" w:line="288" w:before="0" w:after="0"/>
        <w:ind w:left="0" w:right="0" w:hanging="0"/>
        <w:jc w:val="left"/>
        <w:rPr/>
      </w:pPr>
      <w:r>
        <w:rPr/>
      </w:r>
    </w:p>
    <w:p>
      <w:pPr>
        <w:pStyle w:val="TextBody"/>
        <w:widowControl/>
        <w:bidi w:val="0"/>
        <w:ind w:left="0" w:right="0" w:hanging="0"/>
        <w:jc w:val="left"/>
        <w:rPr/>
      </w:pPr>
      <w:r>
        <w:rPr>
          <w:rFonts w:ascii="times new roman;times" w:hAnsi="times new roman;times"/>
          <w:b w:val="false"/>
          <w:i w:val="false"/>
          <w:caps w:val="false"/>
          <w:smallCaps w:val="false"/>
          <w:color w:val="000000"/>
          <w:spacing w:val="0"/>
          <w:sz w:val="20"/>
        </w:rPr>
        <w:t xml:space="preserve">Item 9C. </w:t>
      </w:r>
      <w:hyperlink w:anchor="TOC">
        <w:bookmarkStart w:id="65" w:name="BDRF_LOMZPL8JS000000000000000000000"/>
        <w:bookmarkEnd w:id="65"/>
        <w:r>
          <w:rPr>
            <w:rStyle w:val="InternetLink"/>
            <w:rFonts w:ascii="times new roman;times" w:hAnsi="times new roman;times"/>
            <w:b w:val="false"/>
            <w:i w:val="false"/>
            <w:caps w:val="false"/>
            <w:smallCaps w:val="false"/>
            <w:strike w:val="false"/>
            <w:dstrike w:val="false"/>
            <w:color w:val="000000"/>
            <w:spacing w:val="0"/>
            <w:sz w:val="20"/>
            <w:u w:val="none"/>
            <w:effect w:val="none"/>
          </w:rPr>
          <w:t>Disclosure Regarding Foreign Jurisdictions that Prevent Inspections</w:t>
        </w:r>
      </w:hyperlink>
    </w:p>
    <w:p>
      <w:pPr>
        <w:pStyle w:val="TextBody"/>
        <w:widowControl/>
        <w:bidi w:val="0"/>
        <w:spacing w:before="0" w:after="0"/>
        <w:ind w:left="0" w:right="0" w:hanging="0"/>
        <w:jc w:val="left"/>
        <w:rPr/>
      </w:pPr>
      <w:r>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uto" w:line="288" w:before="0" w:after="160"/>
        <w:ind w:left="0" w:right="0" w:hanging="0"/>
        <w:jc w:val="center"/>
        <w:rPr>
          <w:rFonts w:ascii="times new roman;times" w:hAnsi="times new roman;times"/>
          <w:b/>
          <w:caps w:val="false"/>
          <w:smallCaps w:val="false"/>
          <w:color w:val="000000"/>
          <w:spacing w:val="0"/>
          <w:sz w:val="20"/>
        </w:rPr>
      </w:pPr>
      <w:r>
        <w:rPr>
          <w:rFonts w:ascii="times new roman;times" w:hAnsi="times new roman;times"/>
          <w:b/>
          <w:caps w:val="false"/>
          <w:smallCaps w:val="false"/>
          <w:color w:val="000000"/>
          <w:spacing w:val="0"/>
          <w:sz w:val="20"/>
        </w:rPr>
        <w:t>PART III</w:t>
      </w:r>
    </w:p>
    <w:p>
      <w:pPr>
        <w:pStyle w:val="TextBody"/>
        <w:bidi w:val="0"/>
        <w:spacing w:lineRule="auto" w:line="288" w:before="0" w:after="0"/>
        <w:ind w:left="0" w:right="0" w:hanging="0"/>
        <w:jc w:val="left"/>
        <w:rPr/>
      </w:pPr>
      <w:r>
        <w:rPr>
          <w:rFonts w:ascii="times new roman;times" w:hAnsi="times new roman;times"/>
          <w:b/>
          <w:sz w:val="20"/>
        </w:rPr>
        <w:t xml:space="preserve">Item 10. </w:t>
      </w:r>
      <w:hyperlink w:anchor="TOC">
        <w:bookmarkStart w:id="66" w:name="BW123_171202465946115"/>
        <w:bookmarkEnd w:id="66"/>
        <w:r>
          <w:rPr>
            <w:rStyle w:val="InternetLink"/>
            <w:rFonts w:ascii="times new roman;times" w:hAnsi="times new roman;times"/>
            <w:b/>
            <w:strike w:val="false"/>
            <w:dstrike w:val="false"/>
            <w:color w:val="000000"/>
            <w:sz w:val="20"/>
            <w:u w:val="none"/>
            <w:effect w:val="none"/>
          </w:rPr>
          <w:t>Directors, Executive Directors, Executive Officers and Corporate Governance</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Directors</w:t>
      </w:r>
    </w:p>
    <w:p>
      <w:pPr>
        <w:pStyle w:val="TextBody"/>
        <w:bidi w:val="0"/>
        <w:spacing w:lineRule="auto" w:line="288" w:before="0" w:after="0"/>
        <w:ind w:left="0" w:right="0" w:hanging="0"/>
        <w:jc w:val="both"/>
        <w:rPr/>
      </w:pPr>
      <w:r>
        <w:rPr/>
        <w:t> </w:t>
      </w:r>
    </w:p>
    <w:p>
      <w:pPr>
        <w:pStyle w:val="TextBody"/>
        <w:bidi w:val="0"/>
        <w:spacing w:lineRule="atLeast" w:line="240" w:before="0" w:after="160"/>
        <w:ind w:left="0" w:right="0" w:hanging="0"/>
        <w:jc w:val="left"/>
        <w:rPr>
          <w:rFonts w:ascii="times new roman;times" w:hAnsi="times new roman;times"/>
          <w:sz w:val="20"/>
        </w:rPr>
      </w:pPr>
      <w:r>
        <w:rPr>
          <w:rFonts w:ascii="times new roman;times" w:hAnsi="times new roman;times"/>
          <w:sz w:val="20"/>
        </w:rPr>
        <w:t>Our Board is divided into three classes, and currently has seven members, who are generally elected for a three-year term. The classification results in staggered elections, with a different class of directors standing for election every year. Vacancies on the Board may be filled only by person(s) elected by a majority of the remaining directors. A director elected by the Board to fill a vacancy in a class, including a vacancy created by an increase in the number of directors, will have serve the remainder of the term of that class until the director’s successor is duly elected and qualified. Set forth below is the name, age as of March 12, 2025, and certain biographical information with respect to each of our current directors, by class.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 Peter Cuneo resigned as a Class III director with a term expiring at the 2024 Annual Meeting of Stockholders, and was immediately reappointed to the Board as a Class I director with a term expiring at the 2025 Annual Meeting of Stockholders. The resignation and reappointment of Mr. Cuneo was not due to any disagreement with the Company, the Board or the management of the Company. For all other purposes, including equity award vesting and other compensation matters, Mr. Cuneo’s service on the Board is deemed to have continued uninterrupted. Mr. Cuneo is expected to continue to serve as the Chairman of the Board until the 2025 Annual Meeting, at which he will not stand for reelection.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Class I Directors (Terms Expiring in 2025)</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Daniel S. Goldberger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Daniel S. Goldberger, 66, has served as our Chief Executive Officer and a member of the Board since October 2019. Mr. Goldberger served as a director of Koru Medical Systems, a manufacturer of infusion pump systems, from April 2017 until May 2022 and he served as its executive chairman from August 2017 until September 2019. From January 2018 to September 2019, Mr. Goldberger served as the chief executive officer of Synergy Disc Replacement Inc., a private company commercializing a proprietary total disc implant for cervical spine therapy. From July 2017 to September 2017, Mr. Goldberger served as chief executive officer of Milestone Medical, Inc. Prior to this he served as the chief executive officer of Xtant Medical Holdings, Inc. from August 2013 to January 2017. He also served on the board and as the chief executive officer of Sound Surgical Technologies LLC from April 2007 to February 2013. Mr. Goldberger has also served on the boards of Xtant Medical Holdings, Inc., Sound Surgical, Xcorporeal. Theragen, Inc., and Glucon. Mr. Goldberger earned a B.S. in mechanical engineering from The Massachusetts Institute of Technology, and a M.S. in mechanical engineering from Stanford University. The Board believes that Mr. Goldberger’s extensive senior management experience in the medical device industry, including as our Chief Executive Officer, qualify him for service on the Board.</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Julie A. Goldstein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Julie A. Goldstein, 66, has served as a member of the Board since March 2022. Ms. Goldstein has more than 30 years of leadership expertise in product, media and entertainment marketing, which spans a career in radio, television, music and theater. Ms. Goldstein’s specific expertise includes operations, sales development, advertising, and project management. She has also spearheaded many major national and international marketing campaigns. She was a producer for the Broadway musical First Date from 2013 to 2014. At music labels JIVE Records, RCA Records, and Virgin Records, she served as vice president of marketing and development. She also held the position of vice president of marketing and sales at NewsCorp / TV Guide Television Network and began her career in radio marketing. Her expertise around spending and strategic marketing techniques contributed to RCA’s turnaround. She received the Billboard Magazine’s Radio Promotion Director of the Year, Bertelsmann Key Management Award, and Virgin Records Promotion Director of the Year. Ms. Goldstein holds a B.A. in communications and social welfare from California State University at Chico. The Board believes Ms. Goldstein’s extensive media and marketing expertise qualifies her to serve on the Board.</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98</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Patricia Wilber</w:t>
      </w:r>
    </w:p>
    <w:p>
      <w:pPr>
        <w:pStyle w:val="TextBody"/>
        <w:bidi w:val="0"/>
        <w:spacing w:lineRule="auto" w:line="288"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Patricia Wilber, 63, has served as a member of the Board since March 2022. Ms. Wilber has been a chief marketing officer, global business strategist, and board member who delivers organizational and cultural transformation for branding. She is a pioneer in new franchise models and branded partnerships. Ms. Wilber last served as the executive vice president, chief marketing officer, and managing director of partnerships, EMEA, the highest position in the marketing department at The Walt Disney Company from 2015 to 2018, where she drove growth for Disney’s marquee brands by leading marketing and communications for Disney, Pixar, Star Wars, and Marvel. Additionally, she established and led EMEA’s 40-country integrated marketing, franchise and partnership functions, including a major reorganization of the EMEA channels to boost growth and profitability by significantly reducing expenses. She also currently serves on the board of Zapp Electric Vehicles Group Limited and Yale New Haven Hospital, a medical nonprofit organization. She served on the boards of Euro Disney SCA from 2015 to 2018, Magical Cruise Company, more commonly known as the Disney Cruise Line, from 2013 to 2018, and Vibrant Emotional Health from 2022 to 2023. Ms. Wilber holds a B.A. in history from Brown University. The Board believes Ms. Wilber’s strategic marketing expertise and public company board experience qualify her to serve on the Board.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Class II Directors (Terms Expiring in 2026)</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Thomas J. Errico, M.D.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Thomas J. Errico, M.D., 73, is a founder of our company and has served as a member of the Board since 2005. Dr. Errico has been a board-certified orthopedic surgeon since 1986 and currently serves as a pediatric orthopedic spine surgeon at Nicklaus Children’s Hospital. He also is an associate Professor of Orthopedic Surgery at the University of Miami School of Medicine. He previously served as the chief, Division of Spine Surgery in Orthopedics, at NYU Langone Health from 1997 until 2018. He currently serves on the board of Setting Scoliosis Straight, a nonprofit organization focused on advancing medical techniques in the treatment of spinal deformities and was an adjunct professor of the Department of Orthopedic Surgery at NYU Grossman School of Medicine.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2001,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world-class medical institutions, as well as serving as a co-founder, director and investor in a number of successful early-stage healthcare companies.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Thomas M. Patton</w:t>
      </w:r>
    </w:p>
    <w:p>
      <w:pPr>
        <w:pStyle w:val="TextBody"/>
        <w:bidi w:val="0"/>
        <w:spacing w:lineRule="auto" w:line="288" w:before="0" w:after="0"/>
        <w:ind w:left="0" w:right="0" w:hanging="0"/>
        <w:jc w:val="both"/>
        <w:rPr/>
      </w:pPr>
      <w:r>
        <w:rPr/>
        <w:t> </w:t>
      </w:r>
    </w:p>
    <w:p>
      <w:pPr>
        <w:pStyle w:val="TextBody"/>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Thomas M. Patton, 61, has served as a member of the Board since April 2020. He is a seasoned healthcare executive and board member with operational, strategic, financial, legal, compliance and transactional experience, from start-ups to growth companies, both public and private. He currently is an advisor to the private equity firm SV Health Investors, is the executive chairman of the board of directors of Spineology, Inc., a privately held, therapeutic devices corporation, and serves on the board of the Connecticut Port Authority and is co-chair of its audit committee. He also serves on the private company boards' of directors of each of Packing Compliance Labs, Robling Medical, LLC and Miach Orthopedics, Inc. He was the chief executive officer and member of the board of directors of Ximedica, LLC, a private medical products outsource design and development company from August 2020 to May 2021. From 2015 to 2021, he also served on the board of Misonix, Inc., a publicly traded ultrasonic surgical tools and wound care company, and chaired that company’s audit committee, from October 2015 to November 2021 and served as president and chief executive officer of CAS Medical Systems, a publicly traded developer and distributor of patient monitoring equipment, from 2010-2019. His prior experience includes roles as co-founder, president and chief executive officer of QDx, Inc., a developer of unique micro-fluidic diagnostic technology utilizing digital imaging techniques for hematologic analysis, as president and chief operating officer of Novametrix Medical Systems, Inc., and as chief executive officer of Wright Medical Technology, Inc. Mr. Patton has served on more than a dozen boards of directors for both public and private medical products and services companies. Mr. Patton holds a B.A. in economics from Holy Cross University and J.D. from Georgetown University Law Center. The Board believes that Mr. Patton’s business and financial experience, as well as his medical device industry expertise and ability to serve as an “audit committee financial expert,” qualify him to serve on the Board.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99</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 xml:space="preserve">Class III Directors (Terms Expiring in 2027)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 xml:space="preserve">F. Peter Cuneo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 Peter Cuneo, 80, has served as a member of the Board since April 2020 and been the Chairman of the Board since October 2021. He currently serves as a managing principal of Cuneo &amp; Company LLC, a private investment and management company that he founded. He previously served as executive chairman of CIIG Capital Partners II, a special acquisition corporation listed on Nasdaq, from September 2022 until April 2023 following the completion of the business combination with Zapp Electric Vehicles, Inc. He was the chairman of Arrival Ltd., a global electric vehicle company, from September 2021 until February 2023. Mr. Cuneo’s past experience includes serving as chief executive officer of Marvel Entertainment Inc. and as vice chairmen until its sale to The Walt Disney Company in 2009 and served on the board of Iconix Brand Group from 2007 through 2021. Earlier in his career, he successfully led three turnarounds, first as president of Clairol’s Personal Care Division, as president of Black and Decker’s Security Hardware Group, and as chief executive officer of Remington Products. Previously, he also served as president of Bristol-Meyers Squibb Co.’s pharmaceutical group in Canada. Mr. Cuneo’s board experience includes serving as chairman of Valiant Entertainment from 2012 to 2018 following Cuneo &amp; Company LLC’s investment in the company. He currently serves as chairman emeritus of the Alfred University Board of Trustees and served on the board of the National Archives Foundation in Washington, D.C. until 2023. Mr. Cuneo holds an M.B.A. from Harvard Business School, a B.S. from Alfred University and was a Lieutenant in the United States Navy, having served two deployments during the Vietnam War. The Board believes that Mr. Cuneo’s extensive business and financial background, including his significant consumer-focused expertise, qualify him to serve on the Board.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 xml:space="preserve">John P. Gandolfo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John P. Gandolfo, 64, has served as a member of the Board since April 2020. He brings to the Board more than 30 years of financial leadership at both public and private companies across multiple industry sectors, including in expense control and cash flow optimization having retired in 2024 as chief financial officer of Eyenovia, Inc., a publicly held, late clinical stage biopharmaceutical company focusing on the development of ophthalmic drugs. Prior to Eyenovia, he served as chief financial officer of Xtant Medical Holdings, Inc., a publicly held orthopedic and spine medical device company with multiple operations throughout the United States from 2010 to 2017. He has served on the board of Oragenics, Inc, a development-stage company dedicated to fighting infectious diseases including coronaviruses and multidrug-resistant organisms, since September 2023.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including Odyssey Health, Inc., a medical device company which he has served as a director since 2019. Mr. Gandolfo holds a B.A. in business administration from Rutgers University. The Board believes that these experiences, and his ability to serve as a financial expert on our audit committee, qualify him to serve on the Board.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100</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drawing>
          <wp:inline distT="0" distB="0" distL="0" distR="0">
            <wp:extent cx="4762500" cy="3638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4762500" cy="3638550"/>
                    </a:xfrm>
                    <a:prstGeom prst="rect">
                      <a:avLst/>
                    </a:prstGeom>
                  </pic:spPr>
                </pic:pic>
              </a:graphicData>
            </a:graphic>
          </wp:inline>
        </w:drawing>
      </w:r>
    </w:p>
    <w:p>
      <w:pPr>
        <w:pStyle w:val="TextBody"/>
        <w:bidi w:val="0"/>
        <w:spacing w:lineRule="auto" w:line="288" w:before="240" w:after="0"/>
        <w:jc w:val="left"/>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Demographic Background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 </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center"/>
        <w:rPr/>
      </w:pPr>
      <w:r>
        <w:rPr/>
        <w:t> </w:t>
      </w:r>
      <w:r>
        <w:rPr/>
        <w:drawing>
          <wp:inline distT="0" distB="0" distL="0" distR="0">
            <wp:extent cx="2667000" cy="156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667000" cy="1562100"/>
                    </a:xfrm>
                    <a:prstGeom prst="rect">
                      <a:avLst/>
                    </a:prstGeom>
                  </pic:spPr>
                </pic:pic>
              </a:graphicData>
            </a:graphic>
          </wp:inline>
        </w:drawing>
      </w:r>
      <w:r>
        <w:rPr/>
        <w:t> </w:t>
      </w:r>
      <w:r>
        <w:rPr/>
        <w:drawing>
          <wp:inline distT="0" distB="0" distL="0" distR="0">
            <wp:extent cx="2674620" cy="1638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674620" cy="1638300"/>
                    </a:xfrm>
                    <a:prstGeom prst="rect">
                      <a:avLst/>
                    </a:prstGeom>
                  </pic:spPr>
                </pic:pic>
              </a:graphicData>
            </a:graphic>
          </wp:inline>
        </w:drawing>
      </w:r>
    </w:p>
    <w:p>
      <w:pPr>
        <w:pStyle w:val="TextBody"/>
        <w:bidi w:val="0"/>
        <w:spacing w:lineRule="auto" w:line="288" w:before="0" w:after="0"/>
        <w:ind w:left="0" w:right="0" w:hanging="0"/>
        <w:jc w:val="center"/>
        <w:rPr/>
      </w:pPr>
      <w:r>
        <w:rPr/>
        <w:t> </w:t>
      </w:r>
    </w:p>
    <w:p>
      <w:pPr>
        <w:pStyle w:val="TextBody"/>
        <w:pBdr/>
        <w:bidi w:val="0"/>
        <w:spacing w:lineRule="auto" w:line="288" w:before="0" w:after="0"/>
        <w:ind w:left="0" w:right="0" w:hanging="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101</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Executive Officers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Set forth below is the name, age as of March 12, 2025, and certain biographical information for our current executive officers other than our Chief Executive Officer, Daniel S. Goldberger, whose information is set forth above in “Class I Directors (Terms Expiring in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Joshua S. Lev</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Joshua S. Lev, 40, has served as our Chief Financial Officer since October 2024. Mr. Lev, has served as the Chief Strategy Officer of the Company since January 2022, previously having served as Vice President of Business Development, Strategy and Financial Planning since February 2020. Prior to joining the Company, Mr. Lev had over 15 years of experience in the financial services industry as an investment banker and investor focusing on emerging growth companies. From 2011 to February 2020, Mr. Lev served as Director of Business Development at Wellfleet Partners, Inc. focusing on capital raising, M&amp;A, strategic transactions and institutional client relations. From March 2014 through February 2020, he was also a co-founder of Aracle Capital, LLC, an investment firm with a focus on early-stage and emerging-growth companies. Mr. Lev received an M.B.A. from the University of North Carolina’s Kenan-Flagler Business School and a B.S. in Business &amp; Management from the Sy Syms School of Business at Yeshiva University.</w:t>
      </w:r>
    </w:p>
    <w:p>
      <w:pPr>
        <w:pStyle w:val="TextBody"/>
        <w:bidi w:val="0"/>
        <w:spacing w:lineRule="auto" w:line="288" w:before="0" w:after="0"/>
        <w:ind w:left="0" w:right="0" w:hanging="0"/>
        <w:jc w:val="both"/>
        <w:rPr/>
      </w:pPr>
      <w:r>
        <w:rPr/>
        <w:t> </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Executive officers serve at the pleasure of our Board of Directors.</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102</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Corporate Governance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Board Operating and Governance Guidelines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have adopted Corporate Governance Guidelines to assure that the Board has the necessary authority and practices in place to review and evaluate our business operations as needed and can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our website at www.electrocore.com.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Board Leadership Structure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Board has an independent chairman, Mr. Cuneo,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We believe that separation of the positions of Board Chairman and Chief Executive Officer reinforces the independence of the Board in its oversight of the business and affairs of us. In addition, we believe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our company and our stockholders. As a result, we believe that having an independent Board Chairman enhances the effectiveness of the Board as a whole.</w:t>
        <w:b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There are no family relationships among any of our directors and executive officers nor have any of our executive officers or key employees been involved in a legal proceeding that would be required to be disclosed pursuant to Item 401(f) of Regulation S-K of the Exchange Act.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Role of the Board In Risk Oversight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One of the key functions of the Board is informed oversight of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is responsible for considering and discussing our major financial risk exposures and our risk assessment and risk management policies (including those related to data privacy, data security and cybersecurity). Our audit committee also periodically reviews the general process for the oversight of risk management by the Board.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nominating and governance committee monitors compliance with legal and regulatory requirements and the effectiveness of tour corporate governance practices, including whether they are successful in preventing illegal or improper liability-creating conduct. Our nominating and governance committee is responsible for overseeing key aspects of our general risk management efforts, including the allocation of risk management functions among the Board and its committees. Our compensation committee is responsible for assessing and monitoring whether any of our compensation policies and programs has the potential to encourage excessive risk-taking.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Meetings of the Board Of Directors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Board met seven times during 2024. Each Board member attended 75% or more of the aggregate number of meetings of the Board and of the committee(s) on which he or she served that were held during the portion of 2024 for which he or she was a director or committee member.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Nasdaq rules require that the non-management directors of the board meet at regularly scheduled executive sessions, without management present, in order to empower the non-management directors to serve as a more effective check on management. During 2024, our non-management directors met in executive session, without management present, at the end of regularly scheduled board meetings or during scheduled executive session calls. Mr. Cuneo, our Board Chairman, presided over the executive sessions. </w:t>
      </w:r>
    </w:p>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103</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Nominating and Governance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nominating and governance committee currently consists of three directors, Dr. Errico, Ms. Goldstein, and Ms. Wilber. Dr. Errico is the chairman of the nominating and governance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opinion of the Board, the composition of our nominating and governance committee satisfies the applicable independence requirements under, and the functioning of our nominating and governance committee complies with, the applicable requirements of Nasdaq. The Board also believes that each member of our nominating and governance committee satisfies the applicable independence requirements of Nasdaq. We will continue to evaluate and will comply with all future requirements applicable to our nominating and governance committee. The nominating and governance committee’s responsibilities include:</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annually reviewing the list of director selection criteria contained in our corporate governance guidelines, and making recommendations to the Board regarding necessary or appropriate changes thereto;</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identifying, reviewing and evaluating candidates, including candidates submitted by stockholders, for election to the Board and recommending to the Board (i) nominees to fill vacancies or new positions on the Board and (ii) the slate of nominees to stand for election by our stockholders at each annual meeting of stockholders;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annually recommending to the Board (i) the assignment of directors to serve on each committee; (ii) the chairman of each committee and (iii) the chairman of the Board or lead independent director, as appropriate; developing, recommending, overseeing the implementation of and monitoring compliance with, our corporate governance guidelines, and periodically reviewing and recommending any necessary or appropriate changes thereto; reviewing the adequacy of our certificate of incorporation and bylaws and recommending to the Board, as conditions dictate, amendments for consideration by the stockholders; and such other matters as directed by the Board.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nominating and governance committee believes that candidates for director should have certain minimum qualifications, which are described in our Corporate Governance Guidelines. The nominating and governance committee also takes these minimum qualifications into account in identifying and evaluating director nominees, including nominees validly recommended by stockholders in accordance with applicable law and the provisions of our bylaws. In identifying director nominees, the nominating and governance committee strives for a diverse mix of backgrounds and expertise that enhances the ability of the directors collectively to understand the issues facing us and to fulfill the responsibilities of the Board and its committees. For example, during 2021 and early 2022, the Board and the Committee made a concerted effort to recruit diverse directors to the Board culminating in the appointment of Ms. Goldstein and Ms. Wilber in March 2022.</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Compensation Committee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compensation committee reviews and determines the compensation of our executive officers. Our compensation committee currently consists of three directors, Dr. Errico, Mr. Gandolfo and Ms. Goldstein, each of whom is a non-employee member of the Board as defined in Rule 16b-3 under the Exchange Act. Mr. Gandolfo is the chairman of the compensation committee. The Board is of the opinion that the composition and functioning of our compensation committee satisfies the applicable independence and other applicable requirements of Nasdaq and SEC rules and regulations. We intend to continue to evaluate and comply with the requirements applicable to our compensation committee. The principal duties and responsibilities of our compensation committee include:</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establishing, approving, and making recommendations to the Board regarding performance goals and objectives relevant to the compensation of our Chief Executive Officer, evaluating the performance of our Chief Executive Officer in light of those goals and objectives and recommending to the full Board for approval, the chief executive officer’s compensation, including incentive-based and equity-based compensation, based on that evaluation;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setting the compensation of our other executive officers, based in part on recommendations of the chief executive officer;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reviewing, approving, and making recommendations to the Board regarding employment agreements, severance arrangements and change of control agreements for the Chief Executive Officer and other executive officers, as appropriate;</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exercising administrative authority under our stock plans and employee benefit plans;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establishing policies and making recommendations to the Board regarding director compensation;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review, approve and oversee the policies and procedures in connection with any compensation </w:t>
            </w:r>
            <w:r>
              <w:rPr>
                <w:rFonts w:ascii="times new roman;times" w:hAnsi="times new roman;times"/>
                <w:sz w:val="20"/>
              </w:rPr>
              <w:t>clawback</w:t>
            </w:r>
            <w:r>
              <w:rPr>
                <w:rFonts w:ascii="times new roman;times" w:hAnsi="times new roman;times"/>
                <w:color w:val="000000"/>
                <w:spacing w:val="0"/>
                <w:sz w:val="20"/>
              </w:rPr>
              <w:t> </w:t>
            </w:r>
            <w:r>
              <w:rPr>
                <w:rFonts w:ascii="times new roman;times" w:hAnsi="times new roman;times"/>
                <w:b w:val="false"/>
                <w:color w:val="000000"/>
                <w:spacing w:val="0"/>
                <w:sz w:val="20"/>
              </w:rPr>
              <w:t>policy;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reviewing compensation plans, programs and policies;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handling other matters that are specifically delegated to the compensation committee by the Board from time to time.</w:t>
            </w:r>
          </w:p>
        </w:tc>
      </w:tr>
    </w:tbl>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our expense, advice and assistance from any consultants, independent legal counsel or other advisors.</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recommends to the Board any adjustments to his compensation as well as awards to be granted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a compensation consultant, including analyses of executive and director compensation paid at other companies identified by the consultant, or otherwise considered by the Committee, to be comparable to us. During the year ended December 31, 2024 and 2023, the compensation committee in its discretion did not engage a compensation consultant.</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Audit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audit committee reviews our internal accounting procedures and consults with and reviews the services provided by our independent registered public accountants. Our audit committee currently consists of three directors, Mr. Gandolfo, Mr. Patton and Ms. Wilber. Mr. Patton is the chairman of the audit committee, and it is the opinion of the Board that Mr. Gandolfo and Mr. Patton are each an “audit committee financial expert” as defined by SEC rules and regulations. The Board has determined that each of the members of our audit committee is independent under Nasdaq listing rules and under Rule 10A-3 under the Exchange Act. We intend to continue to evaluate and comply with the requirements applicable to the audit committee. The principal duties and responsibilities of our audit committee include: </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appointing, compensating, retaining, evaluating, terminating and overseeing our independent registered public accounting firm;</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discussing with our independent registered public accounting firm their independence from management and us;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with our independent registered public accounting firm the scope and results of their audit;</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approving all audit and permissible non-audit services to be performed by our independent registered public accounting firm and related fees;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overseeing the financial reporting process and discussing with management and our independent registered public accounting firm the interim and annual financial statements that we file with the SEC;</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and monitoring our accounting principles, accounting policies, financial and accounting controls and compliance with legal and regulatory requirements;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 xml:space="preserve">establishing procedures for the confidential anonymous submission of concerns regarding questionable accounting, internal control or auditing matters; </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our code of business conduct and ethics and recommending any changes to the Board;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and approving certain related party transactions;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discussing our major financial risk exposures (including those related to data privacy, cybersecurity data security and network security) and management's program to monitor, assess and control such exposures, including our risk assessment and risk management policies.</w:t>
            </w:r>
          </w:p>
        </w:tc>
      </w:tr>
    </w:tbl>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Information Regarding Committees of the Board of Directors</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Board has three committees: an audit committee, a compensation committee and a nominating and governance committee. The following table provides membership and meeting information for 2024 for each of the Board committees.</w:t>
      </w:r>
    </w:p>
    <w:tbl>
      <w:tblPr>
        <w:tblW w:w="5000" w:type="pct"/>
        <w:jc w:val="left"/>
        <w:tblInd w:w="0" w:type="dxa"/>
        <w:tblLayout w:type="fixed"/>
        <w:tblCellMar>
          <w:top w:w="0" w:type="dxa"/>
          <w:left w:w="0" w:type="dxa"/>
          <w:bottom w:w="0" w:type="dxa"/>
          <w:right w:w="0" w:type="dxa"/>
        </w:tblCellMar>
      </w:tblPr>
      <w:tblGrid>
        <w:gridCol w:w="2771"/>
        <w:gridCol w:w="69"/>
        <w:gridCol w:w="1482"/>
        <w:gridCol w:w="219"/>
        <w:gridCol w:w="70"/>
        <w:gridCol w:w="1255"/>
        <w:gridCol w:w="186"/>
        <w:gridCol w:w="70"/>
        <w:gridCol w:w="3553"/>
        <w:gridCol w:w="530"/>
      </w:tblGrid>
      <w:tr>
        <w:trPr/>
        <w:tc>
          <w:tcPr>
            <w:tcW w:w="2771"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w:t>
            </w:r>
          </w:p>
        </w:tc>
        <w:tc>
          <w:tcPr>
            <w:tcW w:w="69" w:type="dxa"/>
            <w:tcBorders/>
            <w:vAlign w:val="center"/>
          </w:tcPr>
          <w:p>
            <w:pPr>
              <w:pStyle w:val="TableContents"/>
              <w:bidi w:val="0"/>
              <w:spacing w:before="0" w:after="0"/>
              <w:ind w:left="0" w:right="0" w:hanging="0"/>
              <w:jc w:val="center"/>
              <w:rPr/>
            </w:pPr>
            <w:r>
              <w:rPr/>
              <w:t> </w:t>
            </w:r>
          </w:p>
        </w:tc>
        <w:tc>
          <w:tcPr>
            <w:tcW w:w="1701"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Audit Committee</w:t>
            </w:r>
          </w:p>
        </w:tc>
        <w:tc>
          <w:tcPr>
            <w:tcW w:w="70" w:type="dxa"/>
            <w:tcBorders/>
            <w:vAlign w:val="center"/>
          </w:tcPr>
          <w:p>
            <w:pPr>
              <w:pStyle w:val="TableContents"/>
              <w:bidi w:val="0"/>
              <w:spacing w:before="0" w:after="0"/>
              <w:ind w:left="0" w:right="0" w:hanging="0"/>
              <w:jc w:val="center"/>
              <w:rPr/>
            </w:pPr>
            <w:r>
              <w:rPr/>
              <w:t> </w:t>
            </w:r>
          </w:p>
        </w:tc>
        <w:tc>
          <w:tcPr>
            <w:tcW w:w="1441"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Compensation</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Committee </w:t>
            </w:r>
          </w:p>
        </w:tc>
        <w:tc>
          <w:tcPr>
            <w:tcW w:w="70" w:type="dxa"/>
            <w:tcBorders/>
            <w:vAlign w:val="center"/>
          </w:tcPr>
          <w:p>
            <w:pPr>
              <w:pStyle w:val="TableContents"/>
              <w:bidi w:val="0"/>
              <w:spacing w:before="0" w:after="0"/>
              <w:ind w:left="0" w:right="0" w:hanging="0"/>
              <w:jc w:val="center"/>
              <w:rPr/>
            </w:pPr>
            <w:r>
              <w:rPr/>
              <w:t> </w:t>
            </w:r>
          </w:p>
        </w:tc>
        <w:tc>
          <w:tcPr>
            <w:tcW w:w="4083"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Nominating and Governance Committee </w:t>
            </w:r>
          </w:p>
        </w:tc>
      </w:tr>
      <w:tr>
        <w:trPr/>
        <w:tc>
          <w:tcPr>
            <w:tcW w:w="277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Thomas J. Errico, M.D.</w:t>
            </w:r>
          </w:p>
        </w:tc>
        <w:tc>
          <w:tcPr>
            <w:tcW w:w="69" w:type="dxa"/>
            <w:tcBorders/>
            <w:shd w:fill="CCEEFF" w:val="clear"/>
            <w:vAlign w:val="center"/>
          </w:tcPr>
          <w:p>
            <w:pPr>
              <w:pStyle w:val="TableContents"/>
              <w:bidi w:val="0"/>
              <w:spacing w:before="0" w:after="0"/>
              <w:ind w:left="0" w:right="0" w:hanging="0"/>
              <w:jc w:val="center"/>
              <w:rPr/>
            </w:pPr>
            <w:r>
              <w:rPr/>
              <w:t> </w:t>
            </w:r>
          </w:p>
        </w:tc>
        <w:tc>
          <w:tcPr>
            <w:tcW w:w="1482" w:type="dxa"/>
            <w:tcBorders/>
            <w:shd w:fill="CCEEFF" w:val="clear"/>
            <w:vAlign w:val="center"/>
          </w:tcPr>
          <w:p>
            <w:pPr>
              <w:pStyle w:val="TableContents"/>
              <w:bidi w:val="0"/>
              <w:spacing w:before="0" w:after="0"/>
              <w:ind w:left="0" w:right="0" w:hanging="0"/>
              <w:jc w:val="righ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125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6"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355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3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7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John P. Gandolfo</w:t>
            </w:r>
          </w:p>
        </w:tc>
        <w:tc>
          <w:tcPr>
            <w:tcW w:w="69" w:type="dxa"/>
            <w:tcBorders/>
            <w:vAlign w:val="center"/>
          </w:tcPr>
          <w:p>
            <w:pPr>
              <w:pStyle w:val="TableContents"/>
              <w:bidi w:val="0"/>
              <w:spacing w:before="0" w:after="0"/>
              <w:ind w:left="0" w:right="0" w:hanging="0"/>
              <w:jc w:val="center"/>
              <w:rPr/>
            </w:pPr>
            <w:r>
              <w:rPr/>
              <w:t> </w:t>
            </w:r>
          </w:p>
        </w:tc>
        <w:tc>
          <w:tcPr>
            <w:tcW w:w="148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9" w:type="dxa"/>
            <w:tcBorders/>
            <w:vAlign w:val="center"/>
          </w:tcPr>
          <w:p>
            <w:pPr>
              <w:pStyle w:val="TableContents"/>
              <w:bidi w:val="0"/>
              <w:spacing w:before="0" w:after="0"/>
              <w:ind w:left="0" w:right="0" w:hanging="0"/>
              <w:jc w:val="left"/>
              <w:rPr/>
            </w:pPr>
            <w:r>
              <w:rPr/>
              <w:t> </w:t>
            </w:r>
          </w:p>
        </w:tc>
        <w:tc>
          <w:tcPr>
            <w:tcW w:w="70" w:type="dxa"/>
            <w:tcBorders/>
            <w:vAlign w:val="center"/>
          </w:tcPr>
          <w:p>
            <w:pPr>
              <w:pStyle w:val="TableContents"/>
              <w:bidi w:val="0"/>
              <w:spacing w:before="0" w:after="0"/>
              <w:ind w:left="0" w:right="0" w:hanging="0"/>
              <w:jc w:val="center"/>
              <w:rPr/>
            </w:pPr>
            <w:r>
              <w:rPr/>
              <w:t> </w:t>
            </w:r>
          </w:p>
        </w:tc>
        <w:tc>
          <w:tcPr>
            <w:tcW w:w="125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0" w:type="dxa"/>
            <w:tcBorders/>
            <w:vAlign w:val="center"/>
          </w:tcPr>
          <w:p>
            <w:pPr>
              <w:pStyle w:val="TableContents"/>
              <w:bidi w:val="0"/>
              <w:spacing w:before="0" w:after="0"/>
              <w:ind w:left="0" w:right="0" w:hanging="0"/>
              <w:jc w:val="center"/>
              <w:rPr/>
            </w:pPr>
            <w:r>
              <w:rPr/>
              <w:t> </w:t>
            </w:r>
          </w:p>
        </w:tc>
        <w:tc>
          <w:tcPr>
            <w:tcW w:w="3553" w:type="dxa"/>
            <w:tcBorders/>
            <w:vAlign w:val="center"/>
          </w:tcPr>
          <w:p>
            <w:pPr>
              <w:pStyle w:val="TableContents"/>
              <w:bidi w:val="0"/>
              <w:spacing w:before="0" w:after="0"/>
              <w:ind w:left="0" w:right="0" w:hanging="0"/>
              <w:jc w:val="right"/>
              <w:rPr/>
            </w:pPr>
            <w:r>
              <w:rPr/>
              <w:t> </w:t>
            </w:r>
          </w:p>
        </w:tc>
        <w:tc>
          <w:tcPr>
            <w:tcW w:w="530" w:type="dxa"/>
            <w:tcBorders/>
            <w:vAlign w:val="center"/>
          </w:tcPr>
          <w:p>
            <w:pPr>
              <w:pStyle w:val="TableContents"/>
              <w:bidi w:val="0"/>
              <w:spacing w:before="0" w:after="0"/>
              <w:ind w:left="0" w:right="0" w:hanging="0"/>
              <w:jc w:val="left"/>
              <w:rPr/>
            </w:pPr>
            <w:r>
              <w:rPr/>
              <w:t> </w:t>
            </w:r>
          </w:p>
        </w:tc>
      </w:tr>
      <w:tr>
        <w:trPr/>
        <w:tc>
          <w:tcPr>
            <w:tcW w:w="277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Julie Goldstein</w:t>
            </w:r>
          </w:p>
        </w:tc>
        <w:tc>
          <w:tcPr>
            <w:tcW w:w="69" w:type="dxa"/>
            <w:tcBorders/>
            <w:shd w:fill="CCEEFF" w:val="clear"/>
            <w:vAlign w:val="center"/>
          </w:tcPr>
          <w:p>
            <w:pPr>
              <w:pStyle w:val="TableContents"/>
              <w:bidi w:val="0"/>
              <w:spacing w:before="0" w:after="0"/>
              <w:ind w:left="0" w:right="0" w:hanging="0"/>
              <w:jc w:val="center"/>
              <w:rPr/>
            </w:pPr>
            <w:r>
              <w:rPr/>
              <w:t> </w:t>
            </w:r>
          </w:p>
        </w:tc>
        <w:tc>
          <w:tcPr>
            <w:tcW w:w="1482" w:type="dxa"/>
            <w:tcBorders/>
            <w:shd w:fill="CCEEFF" w:val="clear"/>
            <w:vAlign w:val="center"/>
          </w:tcPr>
          <w:p>
            <w:pPr>
              <w:pStyle w:val="TableContents"/>
              <w:bidi w:val="0"/>
              <w:spacing w:before="0" w:after="0"/>
              <w:ind w:left="0" w:right="0" w:hanging="0"/>
              <w:jc w:val="righ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125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6"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355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30" w:type="dxa"/>
            <w:tcBorders/>
            <w:shd w:fill="CCEEFF" w:val="clear"/>
            <w:vAlign w:val="center"/>
          </w:tcPr>
          <w:p>
            <w:pPr>
              <w:pStyle w:val="TableContents"/>
              <w:bidi w:val="0"/>
              <w:spacing w:before="0" w:after="0"/>
              <w:ind w:left="0" w:right="0" w:hanging="0"/>
              <w:jc w:val="left"/>
              <w:rPr/>
            </w:pPr>
            <w:r>
              <w:rPr/>
              <w:t> </w:t>
            </w:r>
          </w:p>
        </w:tc>
      </w:tr>
      <w:tr>
        <w:trPr/>
        <w:tc>
          <w:tcPr>
            <w:tcW w:w="27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Thomas M. Patton</w:t>
            </w:r>
          </w:p>
        </w:tc>
        <w:tc>
          <w:tcPr>
            <w:tcW w:w="69" w:type="dxa"/>
            <w:tcBorders/>
            <w:vAlign w:val="center"/>
          </w:tcPr>
          <w:p>
            <w:pPr>
              <w:pStyle w:val="TableContents"/>
              <w:bidi w:val="0"/>
              <w:spacing w:before="0" w:after="0"/>
              <w:ind w:left="0" w:right="0" w:hanging="0"/>
              <w:jc w:val="center"/>
              <w:rPr/>
            </w:pPr>
            <w:r>
              <w:rPr/>
              <w:t> </w:t>
            </w:r>
          </w:p>
        </w:tc>
        <w:tc>
          <w:tcPr>
            <w:tcW w:w="148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0" w:type="dxa"/>
            <w:tcBorders/>
            <w:vAlign w:val="center"/>
          </w:tcPr>
          <w:p>
            <w:pPr>
              <w:pStyle w:val="TableContents"/>
              <w:bidi w:val="0"/>
              <w:spacing w:before="0" w:after="0"/>
              <w:ind w:left="0" w:right="0" w:hanging="0"/>
              <w:jc w:val="center"/>
              <w:rPr/>
            </w:pPr>
            <w:r>
              <w:rPr/>
              <w:t> </w:t>
            </w:r>
          </w:p>
        </w:tc>
        <w:tc>
          <w:tcPr>
            <w:tcW w:w="1255"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70" w:type="dxa"/>
            <w:tcBorders/>
            <w:vAlign w:val="center"/>
          </w:tcPr>
          <w:p>
            <w:pPr>
              <w:pStyle w:val="TableContents"/>
              <w:bidi w:val="0"/>
              <w:spacing w:before="0" w:after="0"/>
              <w:ind w:left="0" w:right="0" w:hanging="0"/>
              <w:jc w:val="center"/>
              <w:rPr/>
            </w:pPr>
            <w:r>
              <w:rPr/>
              <w:t> </w:t>
            </w:r>
          </w:p>
        </w:tc>
        <w:tc>
          <w:tcPr>
            <w:tcW w:w="3553" w:type="dxa"/>
            <w:tcBorders/>
            <w:vAlign w:val="center"/>
          </w:tcPr>
          <w:p>
            <w:pPr>
              <w:pStyle w:val="TableContents"/>
              <w:bidi w:val="0"/>
              <w:spacing w:before="0" w:after="0"/>
              <w:ind w:left="0" w:right="0" w:hanging="0"/>
              <w:jc w:val="right"/>
              <w:rPr/>
            </w:pPr>
            <w:r>
              <w:rPr/>
              <w:t> </w:t>
            </w:r>
          </w:p>
        </w:tc>
        <w:tc>
          <w:tcPr>
            <w:tcW w:w="530" w:type="dxa"/>
            <w:tcBorders/>
            <w:vAlign w:val="center"/>
          </w:tcPr>
          <w:p>
            <w:pPr>
              <w:pStyle w:val="TableContents"/>
              <w:bidi w:val="0"/>
              <w:spacing w:before="0" w:after="0"/>
              <w:ind w:left="0" w:right="0" w:hanging="0"/>
              <w:jc w:val="left"/>
              <w:rPr/>
            </w:pPr>
            <w:r>
              <w:rPr/>
              <w:t> </w:t>
            </w:r>
          </w:p>
        </w:tc>
      </w:tr>
      <w:tr>
        <w:trPr/>
        <w:tc>
          <w:tcPr>
            <w:tcW w:w="2771"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 xml:space="preserve">Charles S. Theofilos, M.D. </w:t>
            </w:r>
            <w:r>
              <w:rPr>
                <w:rFonts w:ascii="times new roman;times" w:hAnsi="times new roman;times"/>
                <w:position w:val="5"/>
                <w:sz w:val="13"/>
                <w:sz w:val="16"/>
              </w:rPr>
              <w:t>(1)</w:t>
            </w:r>
          </w:p>
        </w:tc>
        <w:tc>
          <w:tcPr>
            <w:tcW w:w="69" w:type="dxa"/>
            <w:tcBorders/>
            <w:shd w:fill="CCEEFF" w:val="clear"/>
            <w:vAlign w:val="center"/>
          </w:tcPr>
          <w:p>
            <w:pPr>
              <w:pStyle w:val="TableContents"/>
              <w:bidi w:val="0"/>
              <w:spacing w:before="0" w:after="283"/>
              <w:jc w:val="left"/>
              <w:rPr/>
            </w:pPr>
            <w:r>
              <w:rPr/>
            </w:r>
          </w:p>
        </w:tc>
        <w:tc>
          <w:tcPr>
            <w:tcW w:w="1482" w:type="dxa"/>
            <w:tcBorders/>
            <w:shd w:fill="CCEEFF" w:val="clear"/>
            <w:vAlign w:val="center"/>
          </w:tcPr>
          <w:p>
            <w:pPr>
              <w:pStyle w:val="TableContents"/>
              <w:bidi w:val="0"/>
              <w:spacing w:before="0" w:after="283"/>
              <w:jc w:val="left"/>
              <w:rPr/>
            </w:pPr>
            <w:r>
              <w:rPr/>
            </w:r>
          </w:p>
        </w:tc>
        <w:tc>
          <w:tcPr>
            <w:tcW w:w="219" w:type="dxa"/>
            <w:tcBorders/>
            <w:shd w:fill="CCEEFF" w:val="clear"/>
            <w:vAlign w:val="center"/>
          </w:tcPr>
          <w:p>
            <w:pPr>
              <w:pStyle w:val="TableContents"/>
              <w:bidi w:val="0"/>
              <w:spacing w:before="0" w:after="283"/>
              <w:jc w:val="left"/>
              <w:rPr/>
            </w:pPr>
            <w:r>
              <w:rPr/>
            </w:r>
          </w:p>
        </w:tc>
        <w:tc>
          <w:tcPr>
            <w:tcW w:w="70" w:type="dxa"/>
            <w:tcBorders/>
            <w:shd w:fill="CCEEFF" w:val="clear"/>
            <w:vAlign w:val="center"/>
          </w:tcPr>
          <w:p>
            <w:pPr>
              <w:pStyle w:val="TableContents"/>
              <w:bidi w:val="0"/>
              <w:spacing w:before="0" w:after="283"/>
              <w:jc w:val="left"/>
              <w:rPr/>
            </w:pPr>
            <w:r>
              <w:rPr/>
            </w:r>
          </w:p>
        </w:tc>
        <w:tc>
          <w:tcPr>
            <w:tcW w:w="1255"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X</w:t>
            </w:r>
          </w:p>
        </w:tc>
        <w:tc>
          <w:tcPr>
            <w:tcW w:w="186" w:type="dxa"/>
            <w:tcBorders/>
            <w:shd w:fill="CCEEFF" w:val="clear"/>
            <w:vAlign w:val="center"/>
          </w:tcPr>
          <w:p>
            <w:pPr>
              <w:pStyle w:val="TableContents"/>
              <w:bidi w:val="0"/>
              <w:spacing w:before="0" w:after="283"/>
              <w:jc w:val="left"/>
              <w:rPr/>
            </w:pPr>
            <w:r>
              <w:rPr/>
            </w:r>
          </w:p>
        </w:tc>
        <w:tc>
          <w:tcPr>
            <w:tcW w:w="70" w:type="dxa"/>
            <w:tcBorders/>
            <w:shd w:fill="CCEEFF" w:val="clear"/>
            <w:vAlign w:val="center"/>
          </w:tcPr>
          <w:p>
            <w:pPr>
              <w:pStyle w:val="TableContents"/>
              <w:bidi w:val="0"/>
              <w:spacing w:before="0" w:after="283"/>
              <w:jc w:val="left"/>
              <w:rPr/>
            </w:pPr>
            <w:r>
              <w:rPr/>
            </w:r>
          </w:p>
        </w:tc>
        <w:tc>
          <w:tcPr>
            <w:tcW w:w="355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X</w:t>
            </w:r>
          </w:p>
        </w:tc>
        <w:tc>
          <w:tcPr>
            <w:tcW w:w="530" w:type="dxa"/>
            <w:tcBorders/>
            <w:shd w:fill="CCEEFF" w:val="clear"/>
            <w:vAlign w:val="center"/>
          </w:tcPr>
          <w:p>
            <w:pPr>
              <w:pStyle w:val="TableContents"/>
              <w:bidi w:val="0"/>
              <w:spacing w:before="0" w:after="283"/>
              <w:jc w:val="left"/>
              <w:rPr/>
            </w:pPr>
            <w:r>
              <w:rPr/>
            </w:r>
          </w:p>
        </w:tc>
      </w:tr>
      <w:tr>
        <w:trPr/>
        <w:tc>
          <w:tcPr>
            <w:tcW w:w="27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Patricia Wilber</w:t>
            </w:r>
          </w:p>
        </w:tc>
        <w:tc>
          <w:tcPr>
            <w:tcW w:w="69" w:type="dxa"/>
            <w:tcBorders/>
            <w:vAlign w:val="center"/>
          </w:tcPr>
          <w:p>
            <w:pPr>
              <w:pStyle w:val="TableContents"/>
              <w:bidi w:val="0"/>
              <w:spacing w:before="0" w:after="0"/>
              <w:ind w:left="0" w:right="0" w:hanging="0"/>
              <w:jc w:val="center"/>
              <w:rPr/>
            </w:pPr>
            <w:r>
              <w:rPr/>
              <w:t> </w:t>
            </w:r>
          </w:p>
        </w:tc>
        <w:tc>
          <w:tcPr>
            <w:tcW w:w="148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9" w:type="dxa"/>
            <w:tcBorders/>
            <w:vAlign w:val="center"/>
          </w:tcPr>
          <w:p>
            <w:pPr>
              <w:pStyle w:val="TableContents"/>
              <w:bidi w:val="0"/>
              <w:spacing w:before="0" w:after="0"/>
              <w:ind w:left="0" w:right="0" w:hanging="0"/>
              <w:jc w:val="left"/>
              <w:rPr/>
            </w:pPr>
            <w:r>
              <w:rPr/>
              <w:t> </w:t>
            </w:r>
          </w:p>
        </w:tc>
        <w:tc>
          <w:tcPr>
            <w:tcW w:w="70" w:type="dxa"/>
            <w:tcBorders/>
            <w:vAlign w:val="center"/>
          </w:tcPr>
          <w:p>
            <w:pPr>
              <w:pStyle w:val="TableContents"/>
              <w:bidi w:val="0"/>
              <w:spacing w:before="0" w:after="0"/>
              <w:ind w:left="0" w:right="0" w:hanging="0"/>
              <w:jc w:val="center"/>
              <w:rPr/>
            </w:pPr>
            <w:r>
              <w:rPr/>
              <w:t> </w:t>
            </w:r>
          </w:p>
        </w:tc>
        <w:tc>
          <w:tcPr>
            <w:tcW w:w="1255"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70" w:type="dxa"/>
            <w:tcBorders/>
            <w:vAlign w:val="center"/>
          </w:tcPr>
          <w:p>
            <w:pPr>
              <w:pStyle w:val="TableContents"/>
              <w:bidi w:val="0"/>
              <w:spacing w:before="0" w:after="0"/>
              <w:ind w:left="0" w:right="0" w:hanging="0"/>
              <w:jc w:val="center"/>
              <w:rPr/>
            </w:pPr>
            <w:r>
              <w:rPr/>
              <w:t> </w:t>
            </w:r>
          </w:p>
        </w:tc>
        <w:tc>
          <w:tcPr>
            <w:tcW w:w="355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30" w:type="dxa"/>
            <w:tcBorders/>
            <w:vAlign w:val="center"/>
          </w:tcPr>
          <w:p>
            <w:pPr>
              <w:pStyle w:val="TableContents"/>
              <w:bidi w:val="0"/>
              <w:spacing w:before="0" w:after="0"/>
              <w:ind w:left="0" w:right="0" w:hanging="0"/>
              <w:jc w:val="left"/>
              <w:rPr/>
            </w:pPr>
            <w:r>
              <w:rPr/>
              <w:t> </w:t>
            </w:r>
          </w:p>
        </w:tc>
      </w:tr>
      <w:tr>
        <w:trPr/>
        <w:tc>
          <w:tcPr>
            <w:tcW w:w="277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Number of meetings in 2024</w:t>
            </w:r>
          </w:p>
        </w:tc>
        <w:tc>
          <w:tcPr>
            <w:tcW w:w="69" w:type="dxa"/>
            <w:tcBorders/>
            <w:shd w:fill="CCEEFF" w:val="clear"/>
            <w:vAlign w:val="center"/>
          </w:tcPr>
          <w:p>
            <w:pPr>
              <w:pStyle w:val="TableContents"/>
              <w:bidi w:val="0"/>
              <w:spacing w:before="0" w:after="0"/>
              <w:ind w:left="0" w:right="0" w:hanging="0"/>
              <w:jc w:val="center"/>
              <w:rPr/>
            </w:pPr>
            <w:r>
              <w:rPr/>
              <w:t> </w:t>
            </w:r>
          </w:p>
        </w:tc>
        <w:tc>
          <w:tcPr>
            <w:tcW w:w="14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219"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125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w:t>
            </w:r>
          </w:p>
        </w:tc>
        <w:tc>
          <w:tcPr>
            <w:tcW w:w="186"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center"/>
              <w:rPr/>
            </w:pPr>
            <w:r>
              <w:rPr/>
              <w:t> </w:t>
            </w:r>
          </w:p>
        </w:tc>
        <w:tc>
          <w:tcPr>
            <w:tcW w:w="355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w:t>
            </w:r>
          </w:p>
        </w:tc>
        <w:tc>
          <w:tcPr>
            <w:tcW w:w="53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*Committee Chair </w:t>
      </w:r>
    </w:p>
    <w:p>
      <w:pPr>
        <w:pStyle w:val="TextBody"/>
        <w:bidi w:val="0"/>
        <w:spacing w:lineRule="auto" w:line="288" w:before="0" w:after="0"/>
        <w:ind w:left="0" w:right="0" w:hanging="0"/>
        <w:jc w:val="left"/>
        <w:rPr/>
      </w:pPr>
      <w:r>
        <w:rPr/>
        <w:t> </w:t>
      </w:r>
    </w:p>
    <w:tbl>
      <w:tblPr>
        <w:tblW w:w="5432" w:type="dxa"/>
        <w:jc w:val="left"/>
        <w:tblInd w:w="0" w:type="dxa"/>
        <w:tblLayout w:type="fixed"/>
        <w:tblCellMar>
          <w:top w:w="28" w:type="dxa"/>
          <w:left w:w="28" w:type="dxa"/>
          <w:bottom w:w="28" w:type="dxa"/>
          <w:right w:w="28" w:type="dxa"/>
        </w:tblCellMar>
      </w:tblPr>
      <w:tblGrid>
        <w:gridCol w:w="346"/>
        <w:gridCol w:w="5086"/>
      </w:tblGrid>
      <w:tr>
        <w:trPr/>
        <w:tc>
          <w:tcPr>
            <w:tcW w:w="346"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w:t>
            </w:r>
          </w:p>
        </w:tc>
        <w:tc>
          <w:tcPr>
            <w:tcW w:w="5086"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Dr. Theofilos resigned from the Board on February 24, 2025. </w:t>
            </w:r>
          </w:p>
        </w:tc>
      </w:tr>
    </w:tbl>
    <w:p>
      <w:pPr>
        <w:pStyle w:val="TextBody"/>
        <w:bidi w:val="0"/>
        <w:spacing w:lineRule="auto" w:line="288" w:before="0" w:after="0"/>
        <w:ind w:left="0" w:right="0" w:hanging="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Director Nominating Procedures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Nominating and Governance Committee assists our Board in identifying director nominees consistent with criteria established by our Board. Although the Nominating and Governance Committee does not currently have a specific policy with regard to consideration of director candidates validly recommended by stockholders, the Board and the Nominating and Governance Committee believe that the Nominating and Governance Committee generally would provide valid recommendations for the same consideration as other candidates. Any recommendation submitted by a stockholder to the Nominating and Governance Committee should include information relating to each of the qualifications outlined below concerning the potential candidate along with the other information required by the rules of the SEC, our Bylaws for stockholder nominations, and the Corporate Governance Guidelines available on our website.</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Generally, nominees for director are identified and suggested to the Nominating and Governance Committee by our current directors or management using their business networks and evaluation criteria they deem important, which may or may not include diversity. While we do not have a specific policy regarding diversity and have not established minimum experience or diversity qualifications for director candidates, when considering the nomination of directors, the Nominating and Governance Committee does generally consider the diversity of its directors and nominees in terms of knowledge, experience, background, skills, expertise and other demographic factors. We do not impose any term limits on our directors.</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t>Effective as of November 13, 2024, the Board approved and adopted our second amended and restated bylaws, which amend certain of the provisions of Article III, Sections 5(B)(1), (B)(4), (B)(5), (F), and (G). Among other things, the amendments (i) address provisions of the universal proxy rules adopted by the SEC, by clarifying that to comply with such rules, stockholders who intend to solicit proxies in support of a director nominee other than the Board’s nominees must provide a notice to us that sets forth the information required by Rule 14a-19 under the Exchange Act, including with respect to applicable notice and solicitation requirements, and that we shall disregard any proxies or votes solicited for such stockholder’s nominee(s) by any such stockholder who fails to comply with Rule 14a-19; (ii) specify the process and disclosure requirements for a stockholder submitting notice of a director nomination with respect to, among other things, (x) the dates of first contact between the proposed director and the stockholder nominee; (y) known financial supporters of the proposed director; and (z) a form of questionnaire and form of nominee's representation and agreement that must be delivered to us and requiring that such items, completed by the nominee, be delivered to us along with such notice of a director nomination; and (iii) require that a stockholder directly or indirectly soliciting proxies from other stockholders use a proxy card color other than white.</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times" w:hAnsi="times new roman;times"/>
          <w:sz w:val="20"/>
        </w:rPr>
        <w:t>The foregoing summary is qualified in its entirety by reference to the text of the second amended and restated bylaws filed as Exhibit 3.1 to our Quarterly Report on Form 10-Q for the period ended September 30, 2024, as filed with the SEC on November 13, 2024.</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Section 16(A) Beneficial Ownership Reporting Compliance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Section 16(a) of the Exchange Act requires our directors and executive officers, and persons who own more than 10% of a registered class of our equity securities, to file with the SEC initial reports of ownership and reports of changes in ownership of our shares of common stock and other equity securities. Officers, directors and greater than 10% stockholders are required by SEC regulations to furnish us with copies of all Section 16(a) forms they file.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To our knowledge, based solely on a review of the copies of such reports furnished to it and written representations that no other reports were required, during the fiscal year ended December 31, 2024, all Section 16(a) filing requirements applicable to its officers, directors and greater than 10% beneficial owners were complied with.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Code Of Business Conduct And Ethics For Employees, Executive Officers And Directors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We have adopted a Code of Business Conduct and Ethics, (the “Code of Conduct”) applicable to all of our employees, executive officers and directors. The Code of Conduct is available on our website at </w:t>
      </w:r>
      <w:r>
        <w:rPr>
          <w:rFonts w:ascii="times new roman;times" w:hAnsi="times new roman;times"/>
          <w:strike w:val="false"/>
          <w:dstrike w:val="false"/>
          <w:sz w:val="20"/>
          <w:u w:val="none"/>
          <w:effect w:val="none"/>
        </w:rPr>
        <w:t>www.electrocore</w:t>
      </w:r>
      <w:r>
        <w:rPr>
          <w:rFonts w:ascii="times new roman;times" w:hAnsi="times new roman;times"/>
          <w:sz w:val="20"/>
        </w:rPr>
        <w:t xml:space="preserve">.com, under the “Corporate Governance” tab of the “Investors” section. The audit committee of the Board is responsible for overseeing the Code of Conduct and must approve any waivers of the Code of Conduct for executive officers and directors. We expect that any amendments to the Code of Conduct, or any waivers of its requirements, will be disclosed on our website. A copy of the Code of Conduct may be provided to any person without charge upon written request to: electroCore, Inc., Attn: Corporate Secretary, 200 Forge Way, Suite 205, Rockaway, NJ 07866. </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160"/>
        <w:ind w:left="0" w:right="0" w:hanging="0"/>
        <w:jc w:val="left"/>
        <w:rPr/>
      </w:pPr>
      <w:r>
        <w:rPr>
          <w:rFonts w:ascii="times new roman;times" w:hAnsi="times new roman;times"/>
          <w:b/>
          <w:sz w:val="20"/>
        </w:rPr>
        <w:t xml:space="preserve">Item 11. </w:t>
      </w:r>
      <w:hyperlink w:anchor="TOC">
        <w:bookmarkStart w:id="67" w:name="BE123_17120247022498"/>
        <w:bookmarkEnd w:id="67"/>
        <w:r>
          <w:rPr>
            <w:rStyle w:val="InternetLink"/>
            <w:rFonts w:ascii="times new roman;times" w:hAnsi="times new roman;times"/>
            <w:b/>
            <w:strike w:val="false"/>
            <w:dstrike w:val="false"/>
            <w:color w:val="000000"/>
            <w:sz w:val="20"/>
            <w:u w:val="none"/>
            <w:effect w:val="none"/>
          </w:rPr>
          <w:t>Executive Compensation</w:t>
        </w:r>
      </w:hyperlink>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Named Executive Officers Summary Compensation Table</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The Company is currently subject to the scaled reporting rules of the SEC applicable to smaller reporting companies. The following section and notes describe, under such scaled reporting rules,  information for the fiscal years ended December 31, 2024 and 2023, concerning the compensation awarded to, earned by or paid to: (i) our principal executive officer during the fiscal year ended December 31, 2024, and (ii) the most highly compensated executive officer, other than the principal executive officer, during the fiscal year ended December 31, 2024 (collectively, the “NEOs”). Our only executive officers are our Chief Executive Officer (the “CEO”) and our Chief Financial Officer. </w:t>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Summary Compensation Table</w:t>
      </w:r>
    </w:p>
    <w:tbl>
      <w:tblPr>
        <w:tblW w:w="5000" w:type="pct"/>
        <w:jc w:val="left"/>
        <w:tblInd w:w="0" w:type="dxa"/>
        <w:tblLayout w:type="fixed"/>
        <w:tblCellMar>
          <w:top w:w="0" w:type="dxa"/>
          <w:left w:w="0" w:type="dxa"/>
          <w:bottom w:w="0" w:type="dxa"/>
          <w:right w:w="0" w:type="dxa"/>
        </w:tblCellMar>
      </w:tblPr>
      <w:tblGrid>
        <w:gridCol w:w="2010"/>
        <w:gridCol w:w="60"/>
        <w:gridCol w:w="440"/>
        <w:gridCol w:w="60"/>
        <w:gridCol w:w="736"/>
        <w:gridCol w:w="60"/>
        <w:gridCol w:w="781"/>
        <w:gridCol w:w="60"/>
        <w:gridCol w:w="883"/>
        <w:gridCol w:w="60"/>
        <w:gridCol w:w="823"/>
        <w:gridCol w:w="60"/>
        <w:gridCol w:w="1743"/>
        <w:gridCol w:w="60"/>
        <w:gridCol w:w="1445"/>
        <w:gridCol w:w="60"/>
        <w:gridCol w:w="864"/>
      </w:tblGrid>
      <w:tr>
        <w:trPr/>
        <w:tc>
          <w:tcPr>
            <w:tcW w:w="201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and Principal Position</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w:t>
            </w:r>
          </w:p>
        </w:tc>
        <w:tc>
          <w:tcPr>
            <w:tcW w:w="60"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Salary ($)</w:t>
            </w:r>
          </w:p>
        </w:tc>
        <w:tc>
          <w:tcPr>
            <w:tcW w:w="60"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Bonus ($)(1)</w:t>
            </w:r>
          </w:p>
        </w:tc>
        <w:tc>
          <w:tcPr>
            <w:tcW w:w="60"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Stock Awards ($)</w:t>
            </w:r>
          </w:p>
        </w:tc>
        <w:tc>
          <w:tcPr>
            <w:tcW w:w="60" w:type="dxa"/>
            <w:tcBorders/>
            <w:vAlign w:val="center"/>
          </w:tcPr>
          <w:p>
            <w:pPr>
              <w:pStyle w:val="TableContents"/>
              <w:bidi w:val="0"/>
              <w:spacing w:before="0" w:after="0"/>
              <w:ind w:left="0" w:right="0" w:hanging="0"/>
              <w:jc w:val="center"/>
              <w:rPr/>
            </w:pPr>
            <w:r>
              <w:rPr/>
              <w:t> </w:t>
            </w:r>
          </w:p>
        </w:tc>
        <w:tc>
          <w:tcPr>
            <w:tcW w:w="82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Awards</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($)(2)(3)</w:t>
            </w:r>
          </w:p>
        </w:tc>
        <w:tc>
          <w:tcPr>
            <w:tcW w:w="60" w:type="dxa"/>
            <w:tcBorders/>
            <w:vAlign w:val="center"/>
          </w:tcPr>
          <w:p>
            <w:pPr>
              <w:pStyle w:val="TableContents"/>
              <w:bidi w:val="0"/>
              <w:spacing w:before="0" w:after="0"/>
              <w:ind w:left="0" w:right="0" w:hanging="0"/>
              <w:jc w:val="center"/>
              <w:rPr/>
            </w:pPr>
            <w:r>
              <w:rPr/>
              <w:t> </w:t>
            </w:r>
          </w:p>
        </w:tc>
        <w:tc>
          <w:tcPr>
            <w:tcW w:w="1743" w:type="dxa"/>
            <w:tcBorders/>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Non-equity incentive plan compensation</w:t>
            </w:r>
          </w:p>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1445" w:type="dxa"/>
            <w:tcBorders/>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All Other Compensation</w:t>
            </w:r>
          </w:p>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($)(4)</w:t>
            </w:r>
          </w:p>
        </w:tc>
        <w:tc>
          <w:tcPr>
            <w:tcW w:w="60" w:type="dxa"/>
            <w:tcBorders/>
            <w:vAlign w:val="center"/>
          </w:tcPr>
          <w:p>
            <w:pPr>
              <w:pStyle w:val="TableContents"/>
              <w:bidi w:val="0"/>
              <w:spacing w:before="0" w:after="0"/>
              <w:ind w:left="0" w:right="0" w:hanging="0"/>
              <w:jc w:val="center"/>
              <w:rPr/>
            </w:pPr>
            <w:r>
              <w:rPr/>
              <w:t> </w:t>
            </w:r>
          </w:p>
        </w:tc>
        <w:tc>
          <w:tcPr>
            <w:tcW w:w="86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Total</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w:t>
            </w:r>
          </w:p>
        </w:tc>
      </w:tr>
      <w:tr>
        <w:trPr/>
        <w:tc>
          <w:tcPr>
            <w:tcW w:w="201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Daniel S. Goldberger</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2024</w:t>
            </w:r>
          </w:p>
        </w:tc>
        <w:tc>
          <w:tcPr>
            <w:tcW w:w="60" w:type="dxa"/>
            <w:tcBorders/>
            <w:shd w:fill="CCEEFF" w:val="clear"/>
            <w:vAlign w:val="center"/>
          </w:tcPr>
          <w:p>
            <w:pPr>
              <w:pStyle w:val="TableContents"/>
              <w:bidi w:val="0"/>
              <w:spacing w:before="0" w:after="0"/>
              <w:ind w:left="0" w:right="0" w:hanging="0"/>
              <w:jc w:val="center"/>
              <w:rPr/>
            </w:pPr>
            <w:r>
              <w:rPr/>
              <w:t> </w:t>
            </w:r>
          </w:p>
        </w:tc>
        <w:tc>
          <w:tcPr>
            <w:tcW w:w="736"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631,071</w:t>
            </w:r>
          </w:p>
        </w:tc>
        <w:tc>
          <w:tcPr>
            <w:tcW w:w="60" w:type="dxa"/>
            <w:tcBorders/>
            <w:shd w:fill="CCEEFF" w:val="clear"/>
            <w:vAlign w:val="center"/>
          </w:tcPr>
          <w:p>
            <w:pPr>
              <w:pStyle w:val="TableContents"/>
              <w:bidi w:val="0"/>
              <w:spacing w:before="0" w:after="283"/>
              <w:jc w:val="left"/>
              <w:rPr/>
            </w:pPr>
            <w:r>
              <w:rPr/>
            </w:r>
          </w:p>
        </w:tc>
        <w:tc>
          <w:tcPr>
            <w:tcW w:w="781"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473,250</w:t>
            </w:r>
          </w:p>
        </w:tc>
        <w:tc>
          <w:tcPr>
            <w:tcW w:w="60" w:type="dxa"/>
            <w:tcBorders/>
            <w:shd w:fill="CCEEFF" w:val="clear"/>
            <w:vAlign w:val="center"/>
          </w:tcPr>
          <w:p>
            <w:pPr>
              <w:pStyle w:val="TableContents"/>
              <w:bidi w:val="0"/>
              <w:spacing w:before="0" w:after="283"/>
              <w:jc w:val="left"/>
              <w:rPr/>
            </w:pPr>
            <w:r>
              <w:rPr/>
            </w:r>
          </w:p>
        </w:tc>
        <w:tc>
          <w:tcPr>
            <w:tcW w:w="8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486,000</w:t>
            </w:r>
          </w:p>
        </w:tc>
        <w:tc>
          <w:tcPr>
            <w:tcW w:w="60" w:type="dxa"/>
            <w:tcBorders/>
            <w:shd w:fill="CCEEFF" w:val="clear"/>
            <w:vAlign w:val="center"/>
          </w:tcPr>
          <w:p>
            <w:pPr>
              <w:pStyle w:val="TableContents"/>
              <w:bidi w:val="0"/>
              <w:spacing w:before="0" w:after="283"/>
              <w:jc w:val="left"/>
              <w:rPr/>
            </w:pPr>
            <w:r>
              <w:rPr/>
            </w:r>
          </w:p>
        </w:tc>
        <w:tc>
          <w:tcPr>
            <w:tcW w:w="82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174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1445"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28,264</w:t>
            </w:r>
          </w:p>
        </w:tc>
        <w:tc>
          <w:tcPr>
            <w:tcW w:w="60" w:type="dxa"/>
            <w:tcBorders/>
            <w:shd w:fill="CCEEFF" w:val="clear"/>
            <w:vAlign w:val="center"/>
          </w:tcPr>
          <w:p>
            <w:pPr>
              <w:pStyle w:val="TableContents"/>
              <w:bidi w:val="0"/>
              <w:spacing w:before="0" w:after="283"/>
              <w:jc w:val="left"/>
              <w:rPr/>
            </w:pPr>
            <w:r>
              <w:rPr/>
            </w:r>
          </w:p>
        </w:tc>
        <w:tc>
          <w:tcPr>
            <w:tcW w:w="864"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1,618,585</w:t>
            </w:r>
          </w:p>
        </w:tc>
      </w:tr>
      <w:tr>
        <w:trPr/>
        <w:tc>
          <w:tcPr>
            <w:tcW w:w="2010"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Chief Executive Officer</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2023</w:t>
            </w:r>
          </w:p>
        </w:tc>
        <w:tc>
          <w:tcPr>
            <w:tcW w:w="60"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601,018</w:t>
            </w:r>
          </w:p>
        </w:tc>
        <w:tc>
          <w:tcPr>
            <w:tcW w:w="60" w:type="dxa"/>
            <w:tcBorders/>
            <w:vAlign w:val="center"/>
          </w:tcPr>
          <w:p>
            <w:pPr>
              <w:pStyle w:val="TableContents"/>
              <w:bidi w:val="0"/>
              <w:spacing w:before="0" w:after="283"/>
              <w:jc w:val="left"/>
              <w:rPr/>
            </w:pPr>
            <w:r>
              <w:rPr/>
            </w:r>
          </w:p>
        </w:tc>
        <w:tc>
          <w:tcPr>
            <w:tcW w:w="781"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420,714</w:t>
            </w:r>
          </w:p>
        </w:tc>
        <w:tc>
          <w:tcPr>
            <w:tcW w:w="60" w:type="dxa"/>
            <w:tcBorders/>
            <w:vAlign w:val="center"/>
          </w:tcPr>
          <w:p>
            <w:pPr>
              <w:pStyle w:val="TableContents"/>
              <w:bidi w:val="0"/>
              <w:spacing w:before="0" w:after="283"/>
              <w:jc w:val="left"/>
              <w:rPr/>
            </w:pPr>
            <w:r>
              <w:rPr/>
            </w:r>
          </w:p>
        </w:tc>
        <w:tc>
          <w:tcPr>
            <w:tcW w:w="8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230,000</w:t>
            </w:r>
          </w:p>
        </w:tc>
        <w:tc>
          <w:tcPr>
            <w:tcW w:w="60" w:type="dxa"/>
            <w:tcBorders/>
            <w:vAlign w:val="center"/>
          </w:tcPr>
          <w:p>
            <w:pPr>
              <w:pStyle w:val="TableContents"/>
              <w:bidi w:val="0"/>
              <w:spacing w:before="0" w:after="283"/>
              <w:jc w:val="left"/>
              <w:rPr/>
            </w:pPr>
            <w:r>
              <w:rPr/>
            </w:r>
          </w:p>
        </w:tc>
        <w:tc>
          <w:tcPr>
            <w:tcW w:w="82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283"/>
              <w:jc w:val="left"/>
              <w:rPr/>
            </w:pPr>
            <w:r>
              <w:rPr/>
            </w:r>
          </w:p>
        </w:tc>
        <w:tc>
          <w:tcPr>
            <w:tcW w:w="174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29,601</w:t>
            </w:r>
          </w:p>
        </w:tc>
        <w:tc>
          <w:tcPr>
            <w:tcW w:w="60" w:type="dxa"/>
            <w:tcBorders/>
            <w:vAlign w:val="center"/>
          </w:tcPr>
          <w:p>
            <w:pPr>
              <w:pStyle w:val="TableContents"/>
              <w:bidi w:val="0"/>
              <w:spacing w:before="0" w:after="283"/>
              <w:jc w:val="left"/>
              <w:rPr/>
            </w:pPr>
            <w:r>
              <w:rPr/>
            </w:r>
          </w:p>
        </w:tc>
        <w:tc>
          <w:tcPr>
            <w:tcW w:w="864"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1,281,333</w:t>
            </w:r>
          </w:p>
        </w:tc>
      </w:tr>
      <w:tr>
        <w:trPr/>
        <w:tc>
          <w:tcPr>
            <w:tcW w:w="2010"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Joshua S. Lev</w:t>
            </w:r>
          </w:p>
        </w:tc>
        <w:tc>
          <w:tcPr>
            <w:tcW w:w="60" w:type="dxa"/>
            <w:tcBorders/>
            <w:shd w:fill="CCEEFF" w:val="clear"/>
            <w:vAlign w:val="center"/>
          </w:tcPr>
          <w:p>
            <w:pPr>
              <w:pStyle w:val="TableContents"/>
              <w:bidi w:val="0"/>
              <w:spacing w:before="0" w:after="283"/>
              <w:jc w:val="left"/>
              <w:rPr/>
            </w:pPr>
            <w:r>
              <w:rPr/>
            </w:r>
          </w:p>
        </w:tc>
        <w:tc>
          <w:tcPr>
            <w:tcW w:w="440" w:type="dxa"/>
            <w:tcBorders/>
            <w:shd w:fill="CCEEFF" w:val="clear"/>
            <w:vAlign w:val="center"/>
          </w:tcPr>
          <w:p>
            <w:pPr>
              <w:pStyle w:val="TableContents"/>
              <w:widowControl/>
              <w:bidi w:val="0"/>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2024</w:t>
            </w:r>
          </w:p>
        </w:tc>
        <w:tc>
          <w:tcPr>
            <w:tcW w:w="60" w:type="dxa"/>
            <w:tcBorders/>
            <w:shd w:fill="CCEEFF" w:val="clear"/>
            <w:vAlign w:val="center"/>
          </w:tcPr>
          <w:p>
            <w:pPr>
              <w:pStyle w:val="TableContents"/>
              <w:bidi w:val="0"/>
              <w:spacing w:before="0" w:after="283"/>
              <w:jc w:val="left"/>
              <w:rPr/>
            </w:pPr>
            <w:r>
              <w:rPr/>
            </w:r>
          </w:p>
        </w:tc>
        <w:tc>
          <w:tcPr>
            <w:tcW w:w="736"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408,165</w:t>
            </w:r>
          </w:p>
        </w:tc>
        <w:tc>
          <w:tcPr>
            <w:tcW w:w="60" w:type="dxa"/>
            <w:tcBorders/>
            <w:shd w:fill="CCEEFF" w:val="clear"/>
            <w:vAlign w:val="center"/>
          </w:tcPr>
          <w:p>
            <w:pPr>
              <w:pStyle w:val="TableContents"/>
              <w:bidi w:val="0"/>
              <w:spacing w:before="0" w:after="283"/>
              <w:jc w:val="left"/>
              <w:rPr/>
            </w:pPr>
            <w:r>
              <w:rPr/>
            </w:r>
          </w:p>
        </w:tc>
        <w:tc>
          <w:tcPr>
            <w:tcW w:w="781"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170,000</w:t>
            </w:r>
          </w:p>
        </w:tc>
        <w:tc>
          <w:tcPr>
            <w:tcW w:w="60" w:type="dxa"/>
            <w:tcBorders/>
            <w:shd w:fill="CCEEFF" w:val="clear"/>
            <w:vAlign w:val="center"/>
          </w:tcPr>
          <w:p>
            <w:pPr>
              <w:pStyle w:val="TableContents"/>
              <w:bidi w:val="0"/>
              <w:spacing w:before="0" w:after="283"/>
              <w:jc w:val="left"/>
              <w:rPr/>
            </w:pPr>
            <w:r>
              <w:rPr/>
            </w:r>
          </w:p>
        </w:tc>
        <w:tc>
          <w:tcPr>
            <w:tcW w:w="8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98,720</w:t>
            </w:r>
          </w:p>
        </w:tc>
        <w:tc>
          <w:tcPr>
            <w:tcW w:w="60" w:type="dxa"/>
            <w:tcBorders/>
            <w:shd w:fill="CCEEFF" w:val="clear"/>
            <w:vAlign w:val="center"/>
          </w:tcPr>
          <w:p>
            <w:pPr>
              <w:pStyle w:val="TableContents"/>
              <w:bidi w:val="0"/>
              <w:spacing w:before="0" w:after="283"/>
              <w:jc w:val="left"/>
              <w:rPr/>
            </w:pPr>
            <w:r>
              <w:rPr/>
            </w:r>
          </w:p>
        </w:tc>
        <w:tc>
          <w:tcPr>
            <w:tcW w:w="82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1743"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1445"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26,937</w:t>
            </w:r>
          </w:p>
        </w:tc>
        <w:tc>
          <w:tcPr>
            <w:tcW w:w="60" w:type="dxa"/>
            <w:tcBorders/>
            <w:shd w:fill="CCEEFF" w:val="clear"/>
            <w:vAlign w:val="center"/>
          </w:tcPr>
          <w:p>
            <w:pPr>
              <w:pStyle w:val="TableContents"/>
              <w:bidi w:val="0"/>
              <w:spacing w:before="0" w:after="283"/>
              <w:jc w:val="left"/>
              <w:rPr/>
            </w:pPr>
            <w:r>
              <w:rPr/>
            </w:r>
          </w:p>
        </w:tc>
        <w:tc>
          <w:tcPr>
            <w:tcW w:w="864"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703,822</w:t>
            </w:r>
          </w:p>
        </w:tc>
      </w:tr>
      <w:tr>
        <w:trPr/>
        <w:tc>
          <w:tcPr>
            <w:tcW w:w="2010" w:type="dxa"/>
            <w:tcBorders/>
            <w:vAlign w:val="center"/>
          </w:tcPr>
          <w:p>
            <w:pPr>
              <w:pStyle w:val="TableContents"/>
              <w:bidi w:val="0"/>
              <w:spacing w:before="0" w:after="283"/>
              <w:jc w:val="left"/>
              <w:rPr>
                <w:rFonts w:ascii="times new roman;times" w:hAnsi="times new roman;times"/>
                <w:i/>
                <w:sz w:val="20"/>
              </w:rPr>
            </w:pPr>
            <w:r>
              <w:rPr>
                <w:rFonts w:ascii="times new roman;times" w:hAnsi="times new roman;times"/>
                <w:i/>
                <w:sz w:val="20"/>
              </w:rPr>
              <w:t xml:space="preserve">Former Chief Strategy Officer Current Chief Financial Officer </w:t>
            </w:r>
          </w:p>
        </w:tc>
        <w:tc>
          <w:tcPr>
            <w:tcW w:w="60" w:type="dxa"/>
            <w:tcBorders/>
            <w:vAlign w:val="center"/>
          </w:tcPr>
          <w:p>
            <w:pPr>
              <w:pStyle w:val="TableContents"/>
              <w:bidi w:val="0"/>
              <w:spacing w:before="0" w:after="283"/>
              <w:jc w:val="left"/>
              <w:rPr/>
            </w:pPr>
            <w:r>
              <w:rPr/>
            </w:r>
          </w:p>
        </w:tc>
        <w:tc>
          <w:tcPr>
            <w:tcW w:w="440" w:type="dxa"/>
            <w:tcBorders/>
            <w:vAlign w:val="center"/>
          </w:tcPr>
          <w:p>
            <w:pPr>
              <w:pStyle w:val="TableContents"/>
              <w:widowControl/>
              <w:bidi w:val="0"/>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2023</w:t>
            </w:r>
          </w:p>
        </w:tc>
        <w:tc>
          <w:tcPr>
            <w:tcW w:w="60" w:type="dxa"/>
            <w:tcBorders/>
            <w:vAlign w:val="center"/>
          </w:tcPr>
          <w:p>
            <w:pPr>
              <w:pStyle w:val="TableContents"/>
              <w:bidi w:val="0"/>
              <w:spacing w:before="0" w:after="283"/>
              <w:jc w:val="left"/>
              <w:rPr/>
            </w:pPr>
            <w:r>
              <w:rPr/>
            </w:r>
          </w:p>
        </w:tc>
        <w:tc>
          <w:tcPr>
            <w:tcW w:w="736"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384,728</w:t>
            </w:r>
          </w:p>
        </w:tc>
        <w:tc>
          <w:tcPr>
            <w:tcW w:w="60" w:type="dxa"/>
            <w:tcBorders/>
            <w:vAlign w:val="center"/>
          </w:tcPr>
          <w:p>
            <w:pPr>
              <w:pStyle w:val="TableContents"/>
              <w:bidi w:val="0"/>
              <w:spacing w:before="0" w:after="283"/>
              <w:jc w:val="left"/>
              <w:rPr/>
            </w:pPr>
            <w:r>
              <w:rPr/>
            </w:r>
          </w:p>
        </w:tc>
        <w:tc>
          <w:tcPr>
            <w:tcW w:w="781"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130,000</w:t>
            </w:r>
          </w:p>
        </w:tc>
        <w:tc>
          <w:tcPr>
            <w:tcW w:w="60" w:type="dxa"/>
            <w:tcBorders/>
            <w:vAlign w:val="center"/>
          </w:tcPr>
          <w:p>
            <w:pPr>
              <w:pStyle w:val="TableContents"/>
              <w:bidi w:val="0"/>
              <w:spacing w:before="0" w:after="283"/>
              <w:jc w:val="left"/>
              <w:rPr/>
            </w:pPr>
            <w:r>
              <w:rPr/>
            </w:r>
          </w:p>
        </w:tc>
        <w:tc>
          <w:tcPr>
            <w:tcW w:w="8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283"/>
              <w:jc w:val="left"/>
              <w:rPr/>
            </w:pPr>
            <w:r>
              <w:rPr/>
            </w:r>
          </w:p>
        </w:tc>
        <w:tc>
          <w:tcPr>
            <w:tcW w:w="82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79,415</w:t>
            </w:r>
          </w:p>
        </w:tc>
        <w:tc>
          <w:tcPr>
            <w:tcW w:w="60" w:type="dxa"/>
            <w:tcBorders/>
            <w:vAlign w:val="center"/>
          </w:tcPr>
          <w:p>
            <w:pPr>
              <w:pStyle w:val="TableContents"/>
              <w:bidi w:val="0"/>
              <w:spacing w:before="0" w:after="283"/>
              <w:jc w:val="left"/>
              <w:rPr/>
            </w:pPr>
            <w:r>
              <w:rPr/>
            </w:r>
          </w:p>
        </w:tc>
        <w:tc>
          <w:tcPr>
            <w:tcW w:w="174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25,019</w:t>
            </w:r>
          </w:p>
        </w:tc>
        <w:tc>
          <w:tcPr>
            <w:tcW w:w="60" w:type="dxa"/>
            <w:tcBorders/>
            <w:vAlign w:val="center"/>
          </w:tcPr>
          <w:p>
            <w:pPr>
              <w:pStyle w:val="TableContents"/>
              <w:bidi w:val="0"/>
              <w:spacing w:before="0" w:after="283"/>
              <w:jc w:val="left"/>
              <w:rPr/>
            </w:pPr>
            <w:r>
              <w:rPr/>
            </w:r>
          </w:p>
        </w:tc>
        <w:tc>
          <w:tcPr>
            <w:tcW w:w="864"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619,162</w:t>
            </w:r>
          </w:p>
        </w:tc>
      </w:tr>
      <w:tr>
        <w:trPr/>
        <w:tc>
          <w:tcPr>
            <w:tcW w:w="201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Brian Posner</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2024</w:t>
            </w:r>
          </w:p>
        </w:tc>
        <w:tc>
          <w:tcPr>
            <w:tcW w:w="60" w:type="dxa"/>
            <w:tcBorders/>
            <w:shd w:fill="CCEEFF" w:val="clear"/>
            <w:vAlign w:val="center"/>
          </w:tcPr>
          <w:p>
            <w:pPr>
              <w:pStyle w:val="TableContents"/>
              <w:bidi w:val="0"/>
              <w:spacing w:before="0" w:after="0"/>
              <w:ind w:left="0" w:right="0" w:hanging="0"/>
              <w:jc w:val="center"/>
              <w:rPr/>
            </w:pPr>
            <w:r>
              <w:rPr/>
              <w:t> </w:t>
            </w:r>
          </w:p>
        </w:tc>
        <w:tc>
          <w:tcPr>
            <w:tcW w:w="736"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383,029</w:t>
            </w:r>
          </w:p>
        </w:tc>
        <w:tc>
          <w:tcPr>
            <w:tcW w:w="60" w:type="dxa"/>
            <w:tcBorders/>
            <w:shd w:fill="CCEEFF" w:val="clear"/>
            <w:vAlign w:val="center"/>
          </w:tcPr>
          <w:p>
            <w:pPr>
              <w:pStyle w:val="TableContents"/>
              <w:bidi w:val="0"/>
              <w:spacing w:before="0" w:after="283"/>
              <w:jc w:val="left"/>
              <w:rPr/>
            </w:pPr>
            <w:r>
              <w:rPr/>
            </w:r>
          </w:p>
        </w:tc>
        <w:tc>
          <w:tcPr>
            <w:tcW w:w="781"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883"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98,720</w:t>
            </w:r>
          </w:p>
        </w:tc>
        <w:tc>
          <w:tcPr>
            <w:tcW w:w="60" w:type="dxa"/>
            <w:tcBorders/>
            <w:shd w:fill="CCEEFF" w:val="clear"/>
            <w:vAlign w:val="center"/>
          </w:tcPr>
          <w:p>
            <w:pPr>
              <w:pStyle w:val="TableContents"/>
              <w:bidi w:val="0"/>
              <w:spacing w:before="0" w:after="283"/>
              <w:jc w:val="left"/>
              <w:rPr/>
            </w:pPr>
            <w:r>
              <w:rPr/>
            </w:r>
          </w:p>
        </w:tc>
        <w:tc>
          <w:tcPr>
            <w:tcW w:w="82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174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jc w:val="left"/>
              <w:rPr/>
            </w:pPr>
            <w:r>
              <w:rPr/>
            </w:r>
          </w:p>
        </w:tc>
        <w:tc>
          <w:tcPr>
            <w:tcW w:w="1445"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15,836</w:t>
            </w:r>
          </w:p>
        </w:tc>
        <w:tc>
          <w:tcPr>
            <w:tcW w:w="60" w:type="dxa"/>
            <w:tcBorders/>
            <w:shd w:fill="CCEEFF" w:val="clear"/>
            <w:vAlign w:val="center"/>
          </w:tcPr>
          <w:p>
            <w:pPr>
              <w:pStyle w:val="TableContents"/>
              <w:bidi w:val="0"/>
              <w:spacing w:before="0" w:after="283"/>
              <w:jc w:val="left"/>
              <w:rPr/>
            </w:pPr>
            <w:r>
              <w:rPr/>
            </w:r>
          </w:p>
        </w:tc>
        <w:tc>
          <w:tcPr>
            <w:tcW w:w="864"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497,585</w:t>
            </w:r>
          </w:p>
        </w:tc>
      </w:tr>
      <w:tr>
        <w:trPr/>
        <w:tc>
          <w:tcPr>
            <w:tcW w:w="2010"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Chief Financial Officer</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2023</w:t>
            </w:r>
          </w:p>
        </w:tc>
        <w:tc>
          <w:tcPr>
            <w:tcW w:w="60"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415,000</w:t>
            </w:r>
          </w:p>
        </w:tc>
        <w:tc>
          <w:tcPr>
            <w:tcW w:w="60" w:type="dxa"/>
            <w:tcBorders/>
            <w:vAlign w:val="center"/>
          </w:tcPr>
          <w:p>
            <w:pPr>
              <w:pStyle w:val="TableContents"/>
              <w:bidi w:val="0"/>
              <w:spacing w:before="0" w:after="283"/>
              <w:jc w:val="left"/>
              <w:rPr/>
            </w:pPr>
            <w:r>
              <w:rPr/>
            </w:r>
          </w:p>
        </w:tc>
        <w:tc>
          <w:tcPr>
            <w:tcW w:w="781"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166,000</w:t>
            </w:r>
          </w:p>
        </w:tc>
        <w:tc>
          <w:tcPr>
            <w:tcW w:w="60" w:type="dxa"/>
            <w:tcBorders/>
            <w:vAlign w:val="center"/>
          </w:tcPr>
          <w:p>
            <w:pPr>
              <w:pStyle w:val="TableContents"/>
              <w:bidi w:val="0"/>
              <w:spacing w:before="0" w:after="283"/>
              <w:jc w:val="left"/>
              <w:rPr/>
            </w:pPr>
            <w:r>
              <w:rPr/>
            </w:r>
          </w:p>
        </w:tc>
        <w:tc>
          <w:tcPr>
            <w:tcW w:w="8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283"/>
              <w:jc w:val="left"/>
              <w:rPr/>
            </w:pPr>
            <w:r>
              <w:rPr/>
            </w:r>
          </w:p>
        </w:tc>
        <w:tc>
          <w:tcPr>
            <w:tcW w:w="823"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79,415</w:t>
            </w:r>
          </w:p>
        </w:tc>
        <w:tc>
          <w:tcPr>
            <w:tcW w:w="60" w:type="dxa"/>
            <w:tcBorders/>
            <w:vAlign w:val="center"/>
          </w:tcPr>
          <w:p>
            <w:pPr>
              <w:pStyle w:val="TableContents"/>
              <w:bidi w:val="0"/>
              <w:spacing w:before="0" w:after="283"/>
              <w:jc w:val="left"/>
              <w:rPr/>
            </w:pPr>
            <w:r>
              <w:rPr/>
            </w:r>
          </w:p>
        </w:tc>
        <w:tc>
          <w:tcPr>
            <w:tcW w:w="174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18,876</w:t>
            </w:r>
          </w:p>
        </w:tc>
        <w:tc>
          <w:tcPr>
            <w:tcW w:w="60" w:type="dxa"/>
            <w:tcBorders/>
            <w:vAlign w:val="center"/>
          </w:tcPr>
          <w:p>
            <w:pPr>
              <w:pStyle w:val="TableContents"/>
              <w:bidi w:val="0"/>
              <w:spacing w:before="0" w:after="283"/>
              <w:jc w:val="left"/>
              <w:rPr/>
            </w:pPr>
            <w:r>
              <w:rPr/>
            </w:r>
          </w:p>
        </w:tc>
        <w:tc>
          <w:tcPr>
            <w:tcW w:w="864"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679,291</w:t>
            </w:r>
          </w:p>
        </w:tc>
      </w:tr>
    </w:tbl>
    <w:p>
      <w:pPr>
        <w:pStyle w:val="TextBody"/>
        <w:numPr>
          <w:ilvl w:val="0"/>
          <w:numId w:val="2"/>
        </w:numPr>
        <w:pBdr/>
        <w:tabs>
          <w:tab w:val="clear" w:pos="1134"/>
          <w:tab w:val="left" w:pos="200" w:leader="none"/>
        </w:tabs>
        <w:bidi w:val="0"/>
        <w:spacing w:lineRule="auto" w:line="288" w:before="240" w:after="0"/>
        <w:ind w:left="200" w:right="0" w:hanging="283"/>
        <w:jc w:val="left"/>
        <w:rPr>
          <w:rFonts w:ascii="times new roman;times" w:hAnsi="times new roman;times"/>
          <w:sz w:val="20"/>
        </w:rPr>
      </w:pPr>
      <w:r>
        <w:rPr>
          <w:rFonts w:ascii="times new roman;times" w:hAnsi="times new roman;times"/>
          <w:sz w:val="20"/>
        </w:rPr>
        <w:t xml:space="preserve">Bonuses in this column represent discretionary cash bonuses approved by the Board and/or compensation committee of the Board for 2024 or 2023, as applicable. </w:t>
      </w:r>
    </w:p>
    <w:p>
      <w:pPr>
        <w:pStyle w:val="TextBody"/>
        <w:numPr>
          <w:ilvl w:val="0"/>
          <w:numId w:val="2"/>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Includes the value of stock options determined using the grant date fair value computed in accordance with FASB ASC 718. See Note 11 to the consolidated financial statements of the Company for the fiscal year ended December 31, 2024 in this Form 10-K for additional description of the assumptions used in the valuation. Amounts in this column do not reflect the actual economic value that may be realized by the applicable NEO. </w:t>
      </w:r>
    </w:p>
    <w:p>
      <w:pPr>
        <w:pStyle w:val="TextBody"/>
        <w:numPr>
          <w:ilvl w:val="0"/>
          <w:numId w:val="2"/>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On April 17, 2023, Mr. Goldberger voluntarily relinquished the Option Awards granted to him on October 1, 2019, January 25, 2021, and January 17, 2022. On August 9, 2024, Mr. Lev voluntarily relinquished the Option Awards granted to him on February 3, 2020. On August 14, 2024, Mr. Posner voluntarily relinquished the Option Awards granted to him on March 11, 2019, June 12, 2020, and January 18, 2021. </w:t>
      </w:r>
    </w:p>
    <w:p>
      <w:pPr>
        <w:pStyle w:val="TextBody"/>
        <w:numPr>
          <w:ilvl w:val="0"/>
          <w:numId w:val="2"/>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These amounts consist of payments of health care premiums, contributions to health savings accounts, and employer 401(k) contributions.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Executive Compensation Philosophy</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We review compensation annually for all employees, including our NEOs. Our compensation philosophy is centered around two key tenets: (1) building long-term value for our stockholders, and (2) driving employee engagement. To that end, our executive compensation program is grounded in the following principles:</w:t>
      </w:r>
    </w:p>
    <w:tbl>
      <w:tblPr>
        <w:tblW w:w="10205" w:type="dxa"/>
        <w:jc w:val="left"/>
        <w:tblInd w:w="0" w:type="dxa"/>
        <w:tblLayout w:type="fixed"/>
        <w:tblCellMar>
          <w:top w:w="0" w:type="dxa"/>
          <w:left w:w="0" w:type="dxa"/>
          <w:bottom w:w="0" w:type="dxa"/>
          <w:right w:w="0" w:type="dxa"/>
        </w:tblCellMar>
      </w:tblPr>
      <w:tblGrid>
        <w:gridCol w:w="124"/>
        <w:gridCol w:w="196"/>
        <w:gridCol w:w="1715"/>
        <w:gridCol w:w="8170"/>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Attraction Engagement:</w:t>
            </w:r>
          </w:p>
        </w:tc>
        <w:tc>
          <w:tcPr>
            <w:tcW w:w="8170" w:type="dxa"/>
            <w:tcBorders/>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Enable us to attract highly-talented people with exceptional leadership capabilities and engage high-caliber talent.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Competitiveness:</w:t>
            </w:r>
          </w:p>
        </w:tc>
        <w:tc>
          <w:tcPr>
            <w:tcW w:w="8170" w:type="dxa"/>
            <w:tcBorders/>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Provide total compensation opportunity levels that are competitive with those being offered to individuals holding comparable positions at other companies with which we compete for business and leadership talent.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Stockholder Alignment</w:t>
            </w:r>
          </w:p>
        </w:tc>
        <w:tc>
          <w:tcPr>
            <w:tcW w:w="8170" w:type="dxa"/>
            <w:tcBorders/>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Deliver majority of compensation through pay elements that are designed to create long-term value for our stockholders, as well as foster a culture of ownership.</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0" w:right="0" w:hanging="0"/>
        <w:jc w:val="both"/>
        <w:rPr>
          <w:rFonts w:ascii="times new roman;times" w:hAnsi="times new roman;times"/>
          <w:b/>
          <w:i/>
          <w:sz w:val="20"/>
        </w:rPr>
      </w:pPr>
      <w:r>
        <w:rPr>
          <w:rFonts w:ascii="times new roman;times" w:hAnsi="times new roman;times"/>
          <w:b/>
          <w:i/>
          <w:sz w:val="20"/>
        </w:rPr>
        <w:t>The Decision-Making Process</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In establishing NEO compensation (base salaries, bonuses and annual equity incentive awards), we consider the following:</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the relative importance of each NEO’s role and responsibilities;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how the NEO has performed relative to these roles and responsibilities;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overall company performance; and</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compensation for comparable positions in the market (as defined by a combination of identified industry comparables and industry/size-specific survey data). The compensation committee oversees the executive compensation program for our NEOs. The committee may work closely with an independent consultant and management to examine the effectiveness of our executive compensation program throughout the year and seeks to ensure that the executive compensation program supports our business goals and aligns with stockholder interests.</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compensation committee is responsible for the review and approval of compensation for all executive officers other than the CEO. Our compensation committee typically reviews and discusses management’s proposed compensation with the CEO for all executives other than the CEO.</w:t>
      </w:r>
    </w:p>
    <w:p>
      <w:pPr>
        <w:pStyle w:val="TextBody"/>
        <w:bidi w:val="0"/>
        <w:spacing w:lineRule="auto" w:line="288" w:before="160" w:after="160"/>
        <w:ind w:left="0" w:right="0" w:hanging="0"/>
        <w:jc w:val="left"/>
        <w:rPr>
          <w:rFonts w:ascii="times new roman;times" w:hAnsi="times new roman;times"/>
          <w:sz w:val="20"/>
        </w:rPr>
      </w:pPr>
      <w:r>
        <w:rPr>
          <w:rFonts w:ascii="times new roman;times" w:hAnsi="times new roman;times"/>
          <w:sz w:val="20"/>
        </w:rPr>
        <w:t>For the CEO, the compensation committee reviews and recommends to the Board for approval annual compensation elements, including bonus targets and associated performance goals. Based on those discussions and after receiving recommendations from the compensation committee, the Board, in its discretion and without members of management participating, ultimately sets compensation for the CEO.</w:t>
      </w:r>
    </w:p>
    <w:p>
      <w:pPr>
        <w:pStyle w:val="TextBody"/>
        <w:bidi w:val="0"/>
        <w:spacing w:lineRule="auto" w:line="288" w:before="0" w:after="160"/>
        <w:ind w:left="0" w:right="0" w:hanging="0"/>
        <w:jc w:val="left"/>
        <w:rPr>
          <w:rFonts w:ascii="times new roman;times" w:hAnsi="times new roman;times"/>
          <w:b/>
          <w:i/>
          <w:sz w:val="20"/>
        </w:rPr>
      </w:pPr>
      <w:r>
        <w:rPr>
          <w:rFonts w:ascii="times new roman;times" w:hAnsi="times new roman;times"/>
          <w:b/>
          <w:i/>
          <w:sz w:val="20"/>
        </w:rPr>
        <w:t>Clawback Policy</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We recently adopted a written compensation recovery policy in accordance with applicable Nasdaq rules, a copy of which is filed as an exhibit to this Annual Report on Form 10-K. The policy generally provides that we will seek to recover any incentive-based compensation erroneously awarded to any current or former executive officer due to material noncompliance with any financial reporting requirement under the securities laws during the three completed fiscal years immediately preceding the date we determine that an accounting restatement is required.</w:t>
      </w:r>
    </w:p>
    <w:p>
      <w:pPr>
        <w:pStyle w:val="TextBody"/>
        <w:bidi w:val="0"/>
        <w:spacing w:lineRule="auto" w:line="288" w:before="0" w:after="160"/>
        <w:ind w:left="0" w:right="0" w:hanging="0"/>
        <w:jc w:val="left"/>
        <w:rPr>
          <w:rFonts w:ascii="times new roman;times" w:hAnsi="times new roman;times"/>
          <w:b/>
          <w:i/>
          <w:sz w:val="20"/>
        </w:rPr>
      </w:pPr>
      <w:r>
        <w:rPr>
          <w:rFonts w:ascii="times new roman;times" w:hAnsi="times new roman;times"/>
          <w:b/>
          <w:i/>
          <w:sz w:val="20"/>
        </w:rPr>
        <w:t>Annual Base Salary</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For 2023, Mr. Goldberger received a base salary of $601,018 per annum, which was increased to $631,071 for 2024 and $669,000 for 2025.</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For 2024, Mr. Lev received a base salary of $408,165. Effective as of October 4, 2024, Mr. Lev receives a base salary of $415,000 per annum.</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For 2023, Mr. Posner received a base salary of $415,000 per annum, which was increased to $435,750 for 2024.</w:t>
      </w:r>
    </w:p>
    <w:p>
      <w:pPr>
        <w:pStyle w:val="TextBody"/>
        <w:bidi w:val="0"/>
        <w:spacing w:lineRule="auto" w:line="288" w:before="0" w:after="160"/>
        <w:ind w:left="0" w:right="0" w:hanging="0"/>
        <w:jc w:val="left"/>
        <w:rPr>
          <w:rFonts w:ascii="times new roman;times" w:hAnsi="times new roman;times"/>
          <w:b/>
          <w:i/>
          <w:sz w:val="20"/>
        </w:rPr>
      </w:pPr>
      <w:r>
        <w:rPr>
          <w:rFonts w:ascii="times new roman;times" w:hAnsi="times new roman;times"/>
          <w:b/>
          <w:i/>
          <w:sz w:val="20"/>
        </w:rPr>
        <w:t>Annual Bonus</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We offer our NEOs the opportunity to earn annual discretionary cash bonuses, as determined by the Board or the compensation committee annually at their discretion. The CEO makes recommendations to the compensation committee regarding annual bonus payouts for the executive officers including our other NEOs and the CEO’s other direct reports. With respect to the CEO’s bonus, the compensation committee makes a recommendation to the Board, both of which act without the participation of management including the CEO as to his own salary, bonus, and equity incentive decisions.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For 2024, annual bonuses were based on such factors as the Board and the compensation committee deemed appropriate, including peer group data considered appropriate by the compensation committee and a variety of individual and company priorities, objectives and achievements relating to 2024, as well as the individual NEOs’ performance as it related to their areas of responsibility.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Long-Term Incentives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equity-based incentive awards are designed to align our interests with those of our employees and consultants, including our executive officers. Our compensation committee is responsible for approving equity grants for executive officers other than the CEO. As noted above, CEO equity awards are recommended by the compensation committee for approval by the Board. Our executives generally are awarded an initial new hire grant upon commencement of employment.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Following the IPO, all employee equity awards have been granted pursuant to the 2018 Omnibus Incentive Compensation Plan. All options are granted with a per share exercise price equal to no less than the closing price of the common stock on the Nasdaq Stock Market on or immediately prior to the date of grant. Our equity grants to employees generally vest over a three- or four-year period.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Equity Compensation</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We generally have granted equity awards to our employees, including our NEOs, as the long-term incentive component of our compensation program.</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October 1, 2019, Mr. Goldberger received an initial grant of 50,955 options to purchase shares of common stock, at an exercise price of $27.90 per share. One-fourth of the options vest on each of the first four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January 25, 2021, Mr. Goldberger received an incentive award of 18,000 options to purchase shares of common stock, at an exercise price of $39.90 per share. One-fourth of the options vest on each of the first four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January 17, 2022, Mr. Goldberger received an incentive award of 16,666 options to purchase shares of common stock, at an exercise price of $11.55 per share. One-third of the options vest on each of the first three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April 17, 2023, Mr. Goldberger voluntarily relinquished the foregoing incentive awards granted on October 1, 2019, January 25, 2021 and January 17, 2022.</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August 4, 2023, Mr. Goldberger received an incentive award of 50,000 restricted stock units. One-third of the underlying shares of common stock vest on each of the first, second, and third anniversaries of the date of grant, subject to Mr. Goldberger’s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January 16, 2024, Mr. Goldberger received an incentive award of 75,000 restricted stock units. One-third of the underlying shares of common stock vest on each of the first, second, and third anniversaries of the date of grant, subject to Mr. Goldberger’s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January 18, 2025, Mr. Goldberger received an incentive award of 40,000 restricted stock units. One-third of the underlying shares of common stock vest on each of the first, second, and third anniversaries of the date of grant, subject to Mr. Goldberger’s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January 18, 2021, Mr. Posner received an incentive award of 16,666 options to purchase shares of common stock, at an exercise price of $26.55 per share. One-fourth of the options vest on each of the first four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January 14, 2022, Mr. Posner received an incentive award of 6,666 options to purchase shares of common stock, at an exercise price of $11.55 per share. One-third of the option vests on each of the first three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July 31, 2023, Mr. Posner received an incentive award of 20,000 options to purchase shares of common stock, at an exercise price of $4.50 per share. One-third of the option vests on each of the first three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On August 14, 2024, Mr. Posner voluntarily</w:t>
      </w:r>
      <w:r>
        <w:rPr>
          <w:rFonts w:ascii="times new roman;times" w:hAnsi="times new roman;times"/>
          <w:color w:val="000000"/>
          <w:spacing w:val="0"/>
          <w:sz w:val="20"/>
        </w:rPr>
        <w:t> </w:t>
      </w:r>
      <w:r>
        <w:rPr>
          <w:rFonts w:ascii="times new roman;times" w:hAnsi="times new roman;times"/>
          <w:b w:val="false"/>
          <w:color w:val="000000"/>
          <w:spacing w:val="0"/>
          <w:sz w:val="20"/>
        </w:rPr>
        <w:t>relinquished the Option Awards granted to him on March 11, 2019, June 12, 2020, and January 18, 2021.</w:t>
      </w:r>
    </w:p>
    <w:p>
      <w:pPr>
        <w:pStyle w:val="TextBody"/>
        <w:widowControl/>
        <w:bidi w:val="0"/>
        <w:spacing w:lineRule="auto" w:line="288"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January 16, 2024, Mr. Posner received an incentive award of 16,000 restricted stock units. One-third of the underlying shares of common stock vest on each of the first, second, and third anniversaries of the date of grant, subject to Mr. Posner’s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January 12, 2024, Mr. Lev received an incentive award of 16,000 restricted stock units. One-third of the underlying shares of common stock vest on each of the first, second, and third anniversaries of the date of grant, subject to Mr. Lev’s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August 9, 2024, Mr. Lev voluntarily relinquished the Option Awards granted to him on February 3, 2020.</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January 15, 2025, Mr. Lev received an incentive award of 10,000 restricted stock units. One-third of the underlying shares of common stock vest on each of the first, second, and third anniversaries of the date of grant, subject to Mr. Lev’s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Other Compensation and Benefits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NEOs are eligible to participate in our employee benefit plans and programs, including medical and dental benefits and flexible spending accounts, to the same extent as our other full-time employees, subject to the terms and eligibility requirements of those plans. We also sponsor a 401(k) defined contribution plan in which NEOs may participate, subject to limits imposed by the Internal Revenue Code, to the same extent as its other full-time employees.</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 xml:space="preserve">Retirement Policy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voluntary retirement policy provides eligible employees a one-time lump cash payment equal to one week of pay for each year of service to us as well as other benefits including potential acceleration of stock-based compensation. To be eligible for our retirement policy, an employee must attain a minimum age of 60 years old and eight minimum years of continuous service to our company. </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Employment Agreements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current executive officers are not party to employment agreements with a fixed term. They are employed on an at-will basis, subject to the terms of (i) their respective employment offer letters, and (ii) the Executive Severance Policy described below.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Daniel S. Goldberger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his employment offer letter (the “Goldberger Agreement”), Mr. Goldberger was paid an annual base salary of $631,071 for 2024, which was increased to $669,000 for 2025. In addition, Mr. Goldberger is entitled to receive, subject to employment by us on the applicable date of bonus payout, an annual target discretionary bonus, payable at the discretion of the Board. In January 2025, on the recommendation of the compensation committee, Mr. Goldberger’s target discretionary bonus opportunity for 2024 was adjusted to be up to 70% target of his base salary with an additional 5% increase  to be based upon the corporation achieving cash flow breakeven in the second half of 2025. Pursuant to the Goldberger Agreement, Mr. Goldberger is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Brian M. Posner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his employment offer letter (the “Posner Agreement”), Mr. Posner was paid an annual base salary of $ $415,000 in 2023, which was increased to $435,750 in 2024. In addition, Mr. Posner is entitled to receive, subject to employment us on the applicable date of bonus payout, an annual target discretionary bonus of up to 40% of his annual base salary, payable at the discretion of the Board or the compensation committee. Pursuant to the Posner Agreement, Mr. Posner is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On October 4, 2024, Mr. Posner entered into an agreement with the Company pursuant to which Mr. Posner will provide financial and accounting consulting services to the Company on an hourly basis for 12 months after the effective date of his retirement, subject to potential extension upon mutual agreement.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 xml:space="preserve">Joshua S. Lev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his amended employment offer letter (the “Lev Agreement”), effective October 4, 2024, Mr. Lev will be paid an annual base salary of $ $415,000. In addition, Mr. Lev is entitled to receive, subject to employment on the applicable date of bonus payout, an annual target discretionary bonus of up to 40% of his annual base salary, payable at the discretion of the Board or the compensation committee. Pursuant to the Lev Agreement, Mr. Lev is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Outstanding Equity Awards at the End of 2024</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provides information about outstanding options, units and stock awards issued by us that were held by each of our NEOs as of December 31, 2024. None of our NEOs held any other equity awards from the Company as of December 31, 2024.</w:t>
      </w:r>
    </w:p>
    <w:tbl>
      <w:tblPr>
        <w:tblW w:w="5000" w:type="pct"/>
        <w:jc w:val="left"/>
        <w:tblInd w:w="0" w:type="dxa"/>
        <w:tblLayout w:type="fixed"/>
        <w:tblCellMar>
          <w:top w:w="0" w:type="dxa"/>
          <w:left w:w="0" w:type="dxa"/>
          <w:bottom w:w="0" w:type="dxa"/>
          <w:right w:w="0" w:type="dxa"/>
        </w:tblCellMar>
      </w:tblPr>
      <w:tblGrid>
        <w:gridCol w:w="1083"/>
        <w:gridCol w:w="60"/>
        <w:gridCol w:w="1416"/>
        <w:gridCol w:w="60"/>
        <w:gridCol w:w="1583"/>
        <w:gridCol w:w="60"/>
        <w:gridCol w:w="60"/>
        <w:gridCol w:w="842"/>
        <w:gridCol w:w="60"/>
        <w:gridCol w:w="724"/>
        <w:gridCol w:w="60"/>
        <w:gridCol w:w="1029"/>
        <w:gridCol w:w="60"/>
        <w:gridCol w:w="663"/>
        <w:gridCol w:w="60"/>
        <w:gridCol w:w="1019"/>
        <w:gridCol w:w="59"/>
        <w:gridCol w:w="125"/>
        <w:gridCol w:w="1182"/>
      </w:tblGrid>
      <w:tr>
        <w:trPr/>
        <w:tc>
          <w:tcPr>
            <w:tcW w:w="108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center"/>
              <w:rPr/>
            </w:pPr>
            <w:r>
              <w:rPr/>
              <w:t> </w:t>
            </w:r>
          </w:p>
        </w:tc>
        <w:tc>
          <w:tcPr>
            <w:tcW w:w="5954" w:type="dxa"/>
            <w:gridSpan w:val="11"/>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Awards</w:t>
            </w:r>
          </w:p>
        </w:tc>
        <w:tc>
          <w:tcPr>
            <w:tcW w:w="3108" w:type="dxa"/>
            <w:gridSpan w:val="6"/>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Stock Awards</w:t>
            </w:r>
          </w:p>
        </w:tc>
      </w:tr>
      <w:tr>
        <w:trPr/>
        <w:tc>
          <w:tcPr>
            <w:tcW w:w="108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w:t>
            </w:r>
          </w:p>
        </w:tc>
        <w:tc>
          <w:tcPr>
            <w:tcW w:w="60" w:type="dxa"/>
            <w:tcBorders/>
            <w:vAlign w:val="center"/>
          </w:tcPr>
          <w:p>
            <w:pPr>
              <w:pStyle w:val="TableContents"/>
              <w:bidi w:val="0"/>
              <w:spacing w:before="0" w:after="0"/>
              <w:ind w:left="0" w:right="0" w:hanging="0"/>
              <w:jc w:val="center"/>
              <w:rPr/>
            </w:pPr>
            <w:r>
              <w:rPr/>
              <w:t> </w:t>
            </w:r>
          </w:p>
        </w:tc>
        <w:tc>
          <w:tcPr>
            <w:tcW w:w="141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Securities Underlying Unexercised Options Exercisable (#)</w:t>
            </w:r>
          </w:p>
        </w:tc>
        <w:tc>
          <w:tcPr>
            <w:tcW w:w="60" w:type="dxa"/>
            <w:tcBorders/>
            <w:vAlign w:val="center"/>
          </w:tcPr>
          <w:p>
            <w:pPr>
              <w:pStyle w:val="TableContents"/>
              <w:bidi w:val="0"/>
              <w:spacing w:before="0" w:after="0"/>
              <w:ind w:left="0" w:right="0" w:hanging="0"/>
              <w:jc w:val="center"/>
              <w:rPr/>
            </w:pPr>
            <w:r>
              <w:rPr/>
              <w:t> </w:t>
            </w:r>
          </w:p>
        </w:tc>
        <w:tc>
          <w:tcPr>
            <w:tcW w:w="1583"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b/>
                <w:sz w:val="20"/>
              </w:rPr>
              <w:t>Number of Securities Underlying Unexercised Options Unexercisable</w:t>
            </w:r>
            <w:r>
              <w:rPr>
                <w:rFonts w:ascii="times new roman;times" w:hAnsi="times new roman;times"/>
                <w:sz w:val="20"/>
              </w:rPr>
              <w:t xml:space="preserve"> </w:t>
            </w: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842"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Exercise Price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72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 Grant Date</w:t>
            </w:r>
          </w:p>
        </w:tc>
        <w:tc>
          <w:tcPr>
            <w:tcW w:w="60" w:type="dxa"/>
            <w:tcBorders/>
            <w:vAlign w:val="center"/>
          </w:tcPr>
          <w:p>
            <w:pPr>
              <w:pStyle w:val="TableContents"/>
              <w:bidi w:val="0"/>
              <w:spacing w:before="0" w:after="0"/>
              <w:ind w:left="0" w:right="0" w:hanging="0"/>
              <w:jc w:val="center"/>
              <w:rPr/>
            </w:pPr>
            <w:r>
              <w:rPr/>
              <w:t> </w:t>
            </w:r>
          </w:p>
        </w:tc>
        <w:tc>
          <w:tcPr>
            <w:tcW w:w="1029"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Expiration Date</w:t>
            </w:r>
          </w:p>
        </w:tc>
        <w:tc>
          <w:tcPr>
            <w:tcW w:w="60" w:type="dxa"/>
            <w:tcBorders/>
            <w:vAlign w:val="center"/>
          </w:tcPr>
          <w:p>
            <w:pPr>
              <w:pStyle w:val="TableContents"/>
              <w:bidi w:val="0"/>
              <w:spacing w:before="0" w:after="0"/>
              <w:ind w:left="0" w:right="0" w:hanging="0"/>
              <w:jc w:val="center"/>
              <w:rPr/>
            </w:pPr>
            <w:r>
              <w:rPr/>
              <w:t> </w:t>
            </w:r>
          </w:p>
        </w:tc>
        <w:tc>
          <w:tcPr>
            <w:tcW w:w="66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Award Grant Date</w:t>
            </w:r>
          </w:p>
        </w:tc>
        <w:tc>
          <w:tcPr>
            <w:tcW w:w="60" w:type="dxa"/>
            <w:tcBorders/>
            <w:vAlign w:val="center"/>
          </w:tcPr>
          <w:p>
            <w:pPr>
              <w:pStyle w:val="TableContents"/>
              <w:bidi w:val="0"/>
              <w:spacing w:before="0" w:after="0"/>
              <w:ind w:left="0" w:right="0" w:hanging="0"/>
              <w:jc w:val="center"/>
              <w:rPr/>
            </w:pPr>
            <w:r>
              <w:rPr/>
              <w:t> </w:t>
            </w:r>
          </w:p>
        </w:tc>
        <w:tc>
          <w:tcPr>
            <w:tcW w:w="1019"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shares or units of stock that have not vested (#)</w:t>
            </w:r>
          </w:p>
        </w:tc>
        <w:tc>
          <w:tcPr>
            <w:tcW w:w="59"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182"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Market value of shares or units of stock that have not vested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w:t>
            </w:r>
            <w:r>
              <w:rPr>
                <w:rFonts w:ascii="times new roman;times" w:hAnsi="times new roman;times"/>
                <w:b/>
                <w:position w:val="7"/>
                <w:sz w:val="16"/>
                <w:sz w:val="20"/>
              </w:rPr>
              <w:t>(1)</w:t>
            </w:r>
          </w:p>
        </w:tc>
      </w:tr>
      <w:tr>
        <w:trPr/>
        <w:tc>
          <w:tcPr>
            <w:tcW w:w="1083"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Daniel S. Goldberger</w:t>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8/4/2023</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33,333</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540,328</w:t>
            </w:r>
          </w:p>
        </w:tc>
      </w:tr>
      <w:tr>
        <w:trPr/>
        <w:tc>
          <w:tcPr>
            <w:tcW w:w="1083"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283"/>
              <w:ind w:left="0" w:right="0" w:hanging="0"/>
              <w:jc w:val="left"/>
              <w:rPr/>
            </w:pPr>
            <w:r>
              <w:rPr/>
            </w:r>
          </w:p>
        </w:tc>
        <w:tc>
          <w:tcPr>
            <w:tcW w:w="1416"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ind w:left="0" w:right="0" w:hanging="0"/>
              <w:jc w:val="left"/>
              <w:rPr/>
            </w:pPr>
            <w:r>
              <w:rPr/>
            </w:r>
          </w:p>
        </w:tc>
        <w:tc>
          <w:tcPr>
            <w:tcW w:w="1583"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283"/>
              <w:ind w:left="0" w:right="0" w:hanging="0"/>
              <w:jc w:val="left"/>
              <w:rPr/>
            </w:pPr>
            <w:r>
              <w:rPr/>
            </w:r>
          </w:p>
        </w:tc>
        <w:tc>
          <w:tcPr>
            <w:tcW w:w="842"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ind w:left="0" w:right="0" w:hanging="0"/>
              <w:jc w:val="left"/>
              <w:rPr/>
            </w:pPr>
            <w:r>
              <w:rPr/>
            </w:r>
          </w:p>
        </w:tc>
        <w:tc>
          <w:tcPr>
            <w:tcW w:w="1029"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283"/>
              <w:ind w:left="0" w:right="0" w:hanging="0"/>
              <w:jc w:val="left"/>
              <w:rPr/>
            </w:pPr>
            <w:r>
              <w:rPr/>
            </w:r>
          </w:p>
        </w:tc>
        <w:tc>
          <w:tcPr>
            <w:tcW w:w="663"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1/16/2024</w:t>
            </w:r>
          </w:p>
        </w:tc>
        <w:tc>
          <w:tcPr>
            <w:tcW w:w="60" w:type="dxa"/>
            <w:tcBorders/>
            <w:shd w:fill="CCEEFF" w:val="clear"/>
            <w:vAlign w:val="center"/>
          </w:tcPr>
          <w:p>
            <w:pPr>
              <w:pStyle w:val="TableContents"/>
              <w:bidi w:val="0"/>
              <w:spacing w:before="0" w:after="283"/>
              <w:ind w:left="0" w:right="0" w:hanging="0"/>
              <w:jc w:val="left"/>
              <w:rPr/>
            </w:pPr>
            <w:r>
              <w:rPr/>
            </w:r>
          </w:p>
        </w:tc>
        <w:tc>
          <w:tcPr>
            <w:tcW w:w="1019"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75,000</w:t>
            </w:r>
          </w:p>
        </w:tc>
        <w:tc>
          <w:tcPr>
            <w:tcW w:w="59"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pPr>
            <w:r>
              <w:rPr/>
            </w:r>
          </w:p>
        </w:tc>
        <w:tc>
          <w:tcPr>
            <w:tcW w:w="1182"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1,215,750</w:t>
            </w:r>
          </w:p>
        </w:tc>
      </w:tr>
      <w:tr>
        <w:trPr/>
        <w:tc>
          <w:tcPr>
            <w:tcW w:w="1083" w:type="dxa"/>
            <w:tcBorders/>
            <w:shd w:fill="CCEEFF" w:val="clear"/>
            <w:vAlign w:val="center"/>
          </w:tcPr>
          <w:p>
            <w:pPr>
              <w:pStyle w:val="TableContents"/>
              <w:bidi w:val="0"/>
              <w:spacing w:before="0" w:after="0"/>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r>
          </w:p>
        </w:tc>
        <w:tc>
          <w:tcPr>
            <w:tcW w:w="8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083"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Brian M. Posner</w:t>
            </w:r>
            <w:r>
              <w:rPr>
                <w:rFonts w:ascii="times new roman;times" w:hAnsi="times new roman;times"/>
                <w:b/>
                <w:position w:val="5"/>
                <w:sz w:val="13"/>
                <w:sz w:val="16"/>
              </w:rPr>
              <w:t>(2)</w:t>
            </w:r>
          </w:p>
        </w:tc>
        <w:tc>
          <w:tcPr>
            <w:tcW w:w="60" w:type="dxa"/>
            <w:tcBorders/>
            <w:vAlign w:val="center"/>
          </w:tcPr>
          <w:p>
            <w:pPr>
              <w:pStyle w:val="TableContents"/>
              <w:bidi w:val="0"/>
              <w:spacing w:before="0" w:after="283"/>
              <w:jc w:val="left"/>
              <w:rPr/>
            </w:pPr>
            <w:r>
              <w:rPr/>
            </w:r>
          </w:p>
        </w:tc>
        <w:tc>
          <w:tcPr>
            <w:tcW w:w="1416"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4,444</w:t>
            </w:r>
          </w:p>
        </w:tc>
        <w:tc>
          <w:tcPr>
            <w:tcW w:w="60" w:type="dxa"/>
            <w:tcBorders/>
            <w:vAlign w:val="center"/>
          </w:tcPr>
          <w:p>
            <w:pPr>
              <w:pStyle w:val="TableContents"/>
              <w:bidi w:val="0"/>
              <w:spacing w:before="0" w:after="283"/>
              <w:jc w:val="left"/>
              <w:rPr/>
            </w:pPr>
            <w:r>
              <w:rPr/>
            </w:r>
          </w:p>
        </w:tc>
        <w:tc>
          <w:tcPr>
            <w:tcW w:w="15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2,222</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42"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11.55</w:t>
            </w:r>
          </w:p>
        </w:tc>
        <w:tc>
          <w:tcPr>
            <w:tcW w:w="60" w:type="dxa"/>
            <w:tcBorders/>
            <w:vAlign w:val="center"/>
          </w:tcPr>
          <w:p>
            <w:pPr>
              <w:pStyle w:val="TableContents"/>
              <w:bidi w:val="0"/>
              <w:spacing w:before="0" w:after="283"/>
              <w:jc w:val="left"/>
              <w:rPr/>
            </w:pPr>
            <w:r>
              <w:rPr/>
            </w:r>
          </w:p>
        </w:tc>
        <w:tc>
          <w:tcPr>
            <w:tcW w:w="724"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1/14/2022</w:t>
            </w:r>
          </w:p>
        </w:tc>
        <w:tc>
          <w:tcPr>
            <w:tcW w:w="60" w:type="dxa"/>
            <w:tcBorders/>
            <w:vAlign w:val="center"/>
          </w:tcPr>
          <w:p>
            <w:pPr>
              <w:pStyle w:val="TableContents"/>
              <w:bidi w:val="0"/>
              <w:spacing w:before="0" w:after="283"/>
              <w:jc w:val="left"/>
              <w:rPr/>
            </w:pPr>
            <w:r>
              <w:rPr/>
            </w:r>
          </w:p>
        </w:tc>
        <w:tc>
          <w:tcPr>
            <w:tcW w:w="102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1/14/2032</w:t>
            </w:r>
          </w:p>
        </w:tc>
        <w:tc>
          <w:tcPr>
            <w:tcW w:w="60"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019" w:type="dxa"/>
            <w:tcBorders/>
            <w:vAlign w:val="center"/>
          </w:tcPr>
          <w:p>
            <w:pPr>
              <w:pStyle w:val="TableContents"/>
              <w:bidi w:val="0"/>
              <w:spacing w:before="0" w:after="283"/>
              <w:jc w:val="left"/>
              <w:rPr/>
            </w:pPr>
            <w:r>
              <w:rPr/>
            </w:r>
          </w:p>
        </w:tc>
        <w:tc>
          <w:tcPr>
            <w:tcW w:w="5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2" w:type="dxa"/>
            <w:tcBorders/>
            <w:vAlign w:val="center"/>
          </w:tcPr>
          <w:p>
            <w:pPr>
              <w:pStyle w:val="TableContents"/>
              <w:bidi w:val="0"/>
              <w:spacing w:before="0" w:after="283"/>
              <w:jc w:val="left"/>
              <w:rPr/>
            </w:pPr>
            <w:r>
              <w:rPr/>
            </w:r>
          </w:p>
        </w:tc>
      </w:tr>
      <w:tr>
        <w:trPr/>
        <w:tc>
          <w:tcPr>
            <w:tcW w:w="108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416"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6,667</w:t>
            </w:r>
          </w:p>
        </w:tc>
        <w:tc>
          <w:tcPr>
            <w:tcW w:w="60" w:type="dxa"/>
            <w:tcBorders/>
            <w:vAlign w:val="center"/>
          </w:tcPr>
          <w:p>
            <w:pPr>
              <w:pStyle w:val="TableContents"/>
              <w:bidi w:val="0"/>
              <w:spacing w:before="0" w:after="283"/>
              <w:jc w:val="left"/>
              <w:rPr/>
            </w:pPr>
            <w:r>
              <w:rPr/>
            </w:r>
          </w:p>
        </w:tc>
        <w:tc>
          <w:tcPr>
            <w:tcW w:w="15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13,333</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42"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4.5</w:t>
            </w:r>
          </w:p>
        </w:tc>
        <w:tc>
          <w:tcPr>
            <w:tcW w:w="60" w:type="dxa"/>
            <w:tcBorders/>
            <w:vAlign w:val="center"/>
          </w:tcPr>
          <w:p>
            <w:pPr>
              <w:pStyle w:val="TableContents"/>
              <w:bidi w:val="0"/>
              <w:spacing w:before="0" w:after="283"/>
              <w:jc w:val="left"/>
              <w:rPr/>
            </w:pPr>
            <w:r>
              <w:rPr/>
            </w:r>
          </w:p>
        </w:tc>
        <w:tc>
          <w:tcPr>
            <w:tcW w:w="724"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7/31/2023</w:t>
            </w:r>
          </w:p>
        </w:tc>
        <w:tc>
          <w:tcPr>
            <w:tcW w:w="60" w:type="dxa"/>
            <w:tcBorders/>
            <w:vAlign w:val="center"/>
          </w:tcPr>
          <w:p>
            <w:pPr>
              <w:pStyle w:val="TableContents"/>
              <w:bidi w:val="0"/>
              <w:spacing w:before="0" w:after="283"/>
              <w:jc w:val="left"/>
              <w:rPr/>
            </w:pPr>
            <w:r>
              <w:rPr/>
            </w:r>
          </w:p>
        </w:tc>
        <w:tc>
          <w:tcPr>
            <w:tcW w:w="102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7/30/2023</w:t>
            </w:r>
          </w:p>
        </w:tc>
        <w:tc>
          <w:tcPr>
            <w:tcW w:w="60"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019" w:type="dxa"/>
            <w:tcBorders/>
            <w:vAlign w:val="center"/>
          </w:tcPr>
          <w:p>
            <w:pPr>
              <w:pStyle w:val="TableContents"/>
              <w:bidi w:val="0"/>
              <w:spacing w:before="0" w:after="283"/>
              <w:jc w:val="left"/>
              <w:rPr/>
            </w:pPr>
            <w:r>
              <w:rPr/>
            </w:r>
          </w:p>
        </w:tc>
        <w:tc>
          <w:tcPr>
            <w:tcW w:w="5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2" w:type="dxa"/>
            <w:tcBorders/>
            <w:vAlign w:val="center"/>
          </w:tcPr>
          <w:p>
            <w:pPr>
              <w:pStyle w:val="TableContents"/>
              <w:bidi w:val="0"/>
              <w:spacing w:before="0" w:after="283"/>
              <w:jc w:val="left"/>
              <w:rPr/>
            </w:pPr>
            <w:r>
              <w:rPr/>
            </w:r>
          </w:p>
        </w:tc>
      </w:tr>
      <w:tr>
        <w:trPr/>
        <w:tc>
          <w:tcPr>
            <w:tcW w:w="108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416"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8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4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2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029"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1/12/2024</w:t>
            </w:r>
          </w:p>
        </w:tc>
        <w:tc>
          <w:tcPr>
            <w:tcW w:w="60" w:type="dxa"/>
            <w:tcBorders/>
            <w:vAlign w:val="center"/>
          </w:tcPr>
          <w:p>
            <w:pPr>
              <w:pStyle w:val="TableContents"/>
              <w:bidi w:val="0"/>
              <w:spacing w:before="0" w:after="283"/>
              <w:jc w:val="left"/>
              <w:rPr/>
            </w:pPr>
            <w:r>
              <w:rPr/>
            </w:r>
          </w:p>
        </w:tc>
        <w:tc>
          <w:tcPr>
            <w:tcW w:w="101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16,000</w:t>
            </w:r>
          </w:p>
        </w:tc>
        <w:tc>
          <w:tcPr>
            <w:tcW w:w="5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2"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259,360</w:t>
            </w:r>
          </w:p>
        </w:tc>
      </w:tr>
      <w:tr>
        <w:trPr/>
        <w:tc>
          <w:tcPr>
            <w:tcW w:w="108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416"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8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4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2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029"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019" w:type="dxa"/>
            <w:tcBorders/>
            <w:vAlign w:val="center"/>
          </w:tcPr>
          <w:p>
            <w:pPr>
              <w:pStyle w:val="TableContents"/>
              <w:bidi w:val="0"/>
              <w:spacing w:before="0" w:after="283"/>
              <w:jc w:val="left"/>
              <w:rPr/>
            </w:pPr>
            <w:r>
              <w:rPr/>
            </w:r>
          </w:p>
        </w:tc>
        <w:tc>
          <w:tcPr>
            <w:tcW w:w="5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2" w:type="dxa"/>
            <w:tcBorders/>
            <w:vAlign w:val="center"/>
          </w:tcPr>
          <w:p>
            <w:pPr>
              <w:pStyle w:val="TableContents"/>
              <w:bidi w:val="0"/>
              <w:spacing w:before="0" w:after="283"/>
              <w:ind w:left="0" w:right="0" w:hanging="0"/>
              <w:jc w:val="left"/>
              <w:rPr/>
            </w:pPr>
            <w:r>
              <w:rPr/>
            </w:r>
          </w:p>
        </w:tc>
      </w:tr>
      <w:tr>
        <w:trPr/>
        <w:tc>
          <w:tcPr>
            <w:tcW w:w="1083" w:type="dxa"/>
            <w:tcBorders/>
            <w:shd w:fill="CCEEFF" w:val="clear"/>
            <w:vAlign w:val="center"/>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Joshua S. Lev</w:t>
            </w:r>
            <w:r>
              <w:rPr>
                <w:rFonts w:ascii="times new roman;times" w:hAnsi="times new roman;times"/>
                <w:b/>
                <w:strike w:val="false"/>
                <w:dstrike w:val="false"/>
                <w:color w:val="000000"/>
                <w:spacing w:val="0"/>
                <w:sz w:val="20"/>
                <w:u w:val="none"/>
                <w:effect w:val="none"/>
              </w:rPr>
              <w:t>(2)</w:t>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4,444</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2,222</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r>
          </w:p>
        </w:tc>
        <w:tc>
          <w:tcPr>
            <w:tcW w:w="8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11.55</w:t>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1/14/2022</w:t>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1/14/2032</w:t>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0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13,333</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r>
          </w:p>
        </w:tc>
        <w:tc>
          <w:tcPr>
            <w:tcW w:w="8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4.5</w:t>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7/31/2023</w:t>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7/30/2033</w:t>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0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r>
          </w:p>
        </w:tc>
        <w:tc>
          <w:tcPr>
            <w:tcW w:w="842"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2/29/2021</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333</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5,398</w:t>
            </w:r>
          </w:p>
        </w:tc>
      </w:tr>
      <w:tr>
        <w:trPr/>
        <w:tc>
          <w:tcPr>
            <w:tcW w:w="10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4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3" w:type="dxa"/>
            <w:tcBorders/>
            <w:shd w:fill="CCEEFF" w:val="clear"/>
            <w:vAlign w:val="center"/>
          </w:tcPr>
          <w:p>
            <w:pPr>
              <w:pStyle w:val="TableContents"/>
              <w:bidi w:val="0"/>
              <w:spacing w:before="0" w:after="283"/>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r>
          </w:p>
        </w:tc>
        <w:tc>
          <w:tcPr>
            <w:tcW w:w="842"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1029" w:type="dxa"/>
            <w:tcBorders/>
            <w:shd w:fill="CCEEFF" w:val="clear"/>
            <w:vAlign w:val="center"/>
          </w:tcPr>
          <w:p>
            <w:pPr>
              <w:pStyle w:val="TableContents"/>
              <w:bidi w:val="0"/>
              <w:spacing w:before="0" w:after="283"/>
              <w:ind w:left="0" w:right="0" w:hanging="0"/>
              <w:jc w:val="left"/>
              <w:rPr/>
            </w:pPr>
            <w:r>
              <w:rPr/>
            </w:r>
          </w:p>
        </w:tc>
        <w:tc>
          <w:tcPr>
            <w:tcW w:w="60" w:type="dxa"/>
            <w:tcBorders/>
            <w:shd w:fill="CCEEFF" w:val="clear"/>
            <w:vAlign w:val="center"/>
          </w:tcPr>
          <w:p>
            <w:pPr>
              <w:pStyle w:val="TableContents"/>
              <w:bidi w:val="0"/>
              <w:spacing w:before="0" w:after="0"/>
              <w:ind w:left="0" w:right="0" w:hanging="0"/>
              <w:jc w:val="righ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1/12/2024</w:t>
            </w:r>
          </w:p>
        </w:tc>
        <w:tc>
          <w:tcPr>
            <w:tcW w:w="60"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16,000</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259,360</w:t>
            </w:r>
          </w:p>
        </w:tc>
      </w:tr>
    </w:tbl>
    <w:p>
      <w:pPr>
        <w:pStyle w:val="TextBody"/>
        <w:bidi w:val="0"/>
        <w:spacing w:lineRule="auto" w:line="288" w:before="0" w:after="0"/>
        <w:ind w:left="0" w:right="0" w:hanging="0"/>
        <w:jc w:val="left"/>
        <w:rPr/>
      </w:pPr>
      <w:r>
        <w:rPr/>
      </w:r>
    </w:p>
    <w:p>
      <w:pPr>
        <w:pStyle w:val="TextBody"/>
        <w:bidi w:val="0"/>
        <w:spacing w:lineRule="auto" w:line="288" w:before="0" w:after="0"/>
        <w:jc w:val="left"/>
        <w:rPr>
          <w:rFonts w:ascii="times new roman;times" w:hAnsi="times new roman;times"/>
          <w:sz w:val="20"/>
        </w:rPr>
      </w:pPr>
      <w:r>
        <w:rPr>
          <w:rFonts w:ascii="times new roman;times" w:hAnsi="times new roman;times"/>
          <w:position w:val="7"/>
          <w:sz w:val="16"/>
          <w:sz w:val="20"/>
        </w:rPr>
        <w:t>(1)</w:t>
      </w:r>
      <w:r>
        <w:rPr>
          <w:rFonts w:ascii="times new roman;times" w:hAnsi="times new roman;times"/>
          <w:sz w:val="20"/>
        </w:rPr>
        <w:t xml:space="preserve"> Value in this column is based on the closing price of our common stock on Nasdaq on the last business day of fiscal 2024 ($16.21).</w:t>
      </w:r>
    </w:p>
    <w:p>
      <w:pPr>
        <w:pStyle w:val="TextBody"/>
        <w:bidi w:val="0"/>
        <w:spacing w:lineRule="auto" w:line="288" w:before="0" w:after="0"/>
        <w:jc w:val="left"/>
        <w:rPr>
          <w:rFonts w:ascii="times new roman;times" w:hAnsi="times new roman;times"/>
          <w:sz w:val="20"/>
        </w:rPr>
      </w:pPr>
      <w:r>
        <w:rPr>
          <w:rFonts w:ascii="times new roman;times" w:hAnsi="times new roman;times"/>
          <w:position w:val="7"/>
          <w:sz w:val="16"/>
          <w:sz w:val="20"/>
        </w:rPr>
        <w:t>(2)</w:t>
      </w:r>
      <w:r>
        <w:rPr>
          <w:rFonts w:ascii="times new roman;times" w:hAnsi="times new roman;times"/>
          <w:sz w:val="20"/>
        </w:rPr>
        <w:t xml:space="preserve"> Mr. Posner resigned as Chief Financial Officer of the Company, effective October 4, 2024. Effective October 4, 2024, Mr. Lev replaced Mr. Posner as the Company's Chief Financial Officer.</w:t>
      </w:r>
    </w:p>
    <w:p>
      <w:pPr>
        <w:pStyle w:val="TextBody"/>
        <w:bidi w:val="0"/>
        <w:spacing w:lineRule="atLeast" w:line="240" w:before="0" w:after="0"/>
        <w:ind w:left="0" w:right="0" w:hanging="0"/>
        <w:jc w:val="left"/>
        <w:rPr>
          <w:rFonts w:ascii="times new roman;times" w:hAnsi="times new roman;times"/>
          <w:b/>
          <w:sz w:val="20"/>
        </w:rPr>
      </w:pPr>
      <w:r>
        <w:rPr>
          <w:rFonts w:ascii="times new roman;times" w:hAnsi="times new roman;times"/>
          <w:b/>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tLeast" w:line="240"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tLeast" w:line="240" w:before="0" w:after="0"/>
        <w:ind w:left="0" w:right="0" w:hanging="0"/>
        <w:jc w:val="left"/>
        <w:rPr>
          <w:rFonts w:ascii="times new roman;times" w:hAnsi="times new roman;times"/>
          <w:b/>
          <w:sz w:val="20"/>
        </w:rPr>
      </w:pPr>
      <w:r>
        <w:rPr>
          <w:rFonts w:ascii="times new roman;times" w:hAnsi="times new roman;times"/>
          <w:b/>
          <w:sz w:val="20"/>
        </w:rPr>
        <w:t>Equity Compensation Policy</w:t>
      </w:r>
    </w:p>
    <w:p>
      <w:pPr>
        <w:pStyle w:val="TextBody"/>
        <w:bidi w:val="0"/>
        <w:spacing w:lineRule="atLeast" w:line="240" w:before="200" w:after="200"/>
        <w:ind w:left="0" w:right="0" w:hanging="0"/>
        <w:jc w:val="left"/>
        <w:rPr>
          <w:rFonts w:ascii="times new roman;times" w:hAnsi="times new roman;times"/>
          <w:sz w:val="20"/>
        </w:rPr>
      </w:pPr>
      <w:r>
        <w:rPr>
          <w:rFonts w:ascii="times new roman;times" w:hAnsi="times new roman;times"/>
          <w:sz w:val="20"/>
        </w:rPr>
        <w:t>While we do not have a formal written policy in place with regard to the timing of certain equity awards in relation to the disclosure of material nonpublic information, our Board and the Compensation Committee do not seek to time equity grants to take advantage of information, either positive or negative, about our company that has not been publicly disclosed. It has been our practice generally to grant initial equity awards to our officers and non-employee directors in connection with their hiring or appointment to the Board, as applicable. We generally intend to issue equity awards to our officers at approximately the same time each year, typically in close proximity to the first regularly scheduled meeting of our Compensation Committee each fiscal year. In addition, non-employee directors receive automatic grants of initial and annual equity awards, at the time of a director’s initial appointment or election to the Board and at the time of each annual meeting of our stockholders, respectively, pursuant to our Non-Employee Director Compensation Policy, as further described under “Item 11. Executive Compensation – Director Compensation.” Option grants generally are effective on the date the award determination is made by the Compensation Committee or the Board, as the case may be, and the exercise price of options is typically based upon the Fair Market Value of our common stock as defined in our 2018 Omnibus Equity Incentive Plan (the “2018 Plan”).</w:t>
      </w:r>
    </w:p>
    <w:p>
      <w:pPr>
        <w:pStyle w:val="TextBody"/>
        <w:bidi w:val="0"/>
        <w:spacing w:lineRule="atLeast" w:line="240" w:before="200" w:after="200"/>
        <w:ind w:left="0" w:right="0" w:hanging="0"/>
        <w:jc w:val="left"/>
        <w:rPr>
          <w:rFonts w:ascii="times new roman;times" w:hAnsi="times new roman;times"/>
          <w:sz w:val="20"/>
        </w:rPr>
      </w:pPr>
      <w:r>
        <w:rPr>
          <w:rFonts w:ascii="times new roman;times" w:hAnsi="times new roman;times"/>
          <w:sz w:val="20"/>
        </w:rPr>
        <w:t>For additional information, see our Non-Employee Director Compensation Policy, which is included as an exhibit to our Registration Statement on Form S-1, filed with the SEC on August 23, 2023. See also the 2018 Plan, which is included as an exhibit to our Quarterly Report on Form 10-Q for the period ended March 31, 2023, filed with the SEC on May 3, 2023.</w:t>
      </w:r>
    </w:p>
    <w:p>
      <w:pPr>
        <w:pStyle w:val="TextBody"/>
        <w:bidi w:val="0"/>
        <w:spacing w:lineRule="atLeast" w:line="240" w:before="200" w:after="200"/>
        <w:ind w:left="0" w:right="0" w:hanging="0"/>
        <w:jc w:val="left"/>
        <w:rPr>
          <w:rFonts w:ascii="times new roman;times" w:hAnsi="times new roman;times"/>
          <w:sz w:val="20"/>
        </w:rPr>
      </w:pPr>
      <w:r>
        <w:rPr>
          <w:rFonts w:ascii="times new roman;times" w:hAnsi="times new roman;times"/>
          <w:sz w:val="20"/>
        </w:rPr>
        <w:t>During the fiscal year ended December 31, 2024, we did not award any equity awards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Potential Payments upon Termination or Change in Control</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Under our Executive Severance Policy, if we terminate an eligible member of our senior management team without “cause” or if the executive resigns for “good reason” (as those terms are defined below), we will provide the following severance benefits: (i) severance payment in an amount equal to six months of base salary (or one year of base salary and target bonus in the case of our Chief Executive Officer)payable in equal installments over the six-month or one-year period, as applicable, (ii) the accrued but unpaid annual incentive bonus, if any, for the year ended prior to the executive’s termination of employment payable at the same time such annual bonuses for such year to other members of the senior management team, (iii) an annual incentive bonus, if any, for the year in which the executive’s termination of employment occurred based on actual performance and pro-rated for the period of employment during such year through the executive’s termination of employment; provided that no such pro-rated bonus shall be payable unless the period of employment during such year exceeds six months and which will be payable at the same time annual incentive bonuses for such year are paid to other members of the senior management team, and (iv) reimbursement of COBRA premiums for group health continuation coverage paid by the terminated executive for the duration of the “severance period” (as defined below). If the termination without cause or resignation for good reason occurs within two years after a “change in control” we will provide the following severance benefits in lieu of the benefits provided in the previous sentence: (i) a lump sum severance payment in an amount equal to one year of base salary (or one and one-half (1.5) years of the sum of base salary and target bonus in the case of our Chief Executive Officer), and (ii) reimbursement of COBRA premiums for group health continuation coverage paid by the terminated executive for the duration of the severance period, and (iii)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For purposes of the Executive Severance Policy, “cause” means any of the following: (a) the executive’s willful failure to fulfill, in any material respect, his or her duties and responsibilities to us (other than by reason of death, illness or disability); (b) the executive’s willful misconduct, gross negligence or willful acts of personal dishonesty in the performance of his or her duties to us that directly, materially and demonstrably impairs or damages our property, goodwill, reputation, business or finances; (c) the conviction of, or plea of nolo contendere by, the executive to, a felony or a crime involving moral turpitude that materially and demonstrably impairs or damages our property, goodwill, reputation, business or finances; (d) the executive’s commission of fraud or embezzlement against us; (e) the executive’s willful or intentional violation of any lawful policy that directly, materially and demonstrably impairs or damages our property, goodwill, reputation, business or finances; or (f) the executive’s breach of the terms of any confidentiality and assignment agreement, which contains restrictive covenants in favor of us.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we reduce the annual base compensation of all participants in the Executive Severance Policy on a substantially equivalent basis; (b) 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For purposes of the Executive Severance Policy, “severance period” means the number of months set forth in the table below based on the executive’s employment position at the time of his involuntary termination of employment that results in the executive’s termination for “good reason”: </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632"/>
        <w:gridCol w:w="60"/>
        <w:gridCol w:w="5608"/>
        <w:gridCol w:w="60"/>
        <w:gridCol w:w="2845"/>
      </w:tblGrid>
      <w:tr>
        <w:trPr/>
        <w:tc>
          <w:tcPr>
            <w:tcW w:w="163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13" w:type="dxa"/>
            <w:gridSpan w:val="3"/>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Severance Period</w:t>
            </w:r>
          </w:p>
        </w:tc>
      </w:tr>
      <w:tr>
        <w:trPr/>
        <w:tc>
          <w:tcPr>
            <w:tcW w:w="1632"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Employment Position</w:t>
            </w:r>
          </w:p>
        </w:tc>
        <w:tc>
          <w:tcPr>
            <w:tcW w:w="60" w:type="dxa"/>
            <w:tcBorders/>
            <w:shd w:fill="FFFFFF" w:val="clear"/>
            <w:vAlign w:val="center"/>
          </w:tcPr>
          <w:p>
            <w:pPr>
              <w:pStyle w:val="TableContents"/>
              <w:bidi w:val="0"/>
              <w:spacing w:before="0" w:after="0"/>
              <w:ind w:left="0" w:right="0" w:hanging="0"/>
              <w:jc w:val="left"/>
              <w:rPr/>
            </w:pPr>
            <w:r>
              <w:rPr/>
              <w:t> </w:t>
            </w:r>
          </w:p>
        </w:tc>
        <w:tc>
          <w:tcPr>
            <w:tcW w:w="5608" w:type="dxa"/>
            <w:tcBorders/>
            <w:shd w:fill="FFFFFF" w:val="clear"/>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Prior to a Change in Control or on or After the Second Anniversary of a Change in Control</w:t>
            </w:r>
          </w:p>
        </w:tc>
        <w:tc>
          <w:tcPr>
            <w:tcW w:w="60" w:type="dxa"/>
            <w:tcBorders/>
            <w:shd w:fill="FFFFFF" w:val="clear"/>
            <w:vAlign w:val="center"/>
          </w:tcPr>
          <w:p>
            <w:pPr>
              <w:pStyle w:val="TableContents"/>
              <w:bidi w:val="0"/>
              <w:spacing w:before="0" w:after="0"/>
              <w:ind w:left="0" w:right="0" w:hanging="0"/>
              <w:jc w:val="left"/>
              <w:rPr/>
            </w:pPr>
            <w:r>
              <w:rPr/>
              <w:t> </w:t>
            </w:r>
          </w:p>
        </w:tc>
        <w:tc>
          <w:tcPr>
            <w:tcW w:w="2845"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Two-Year Period After a Change in Control</w:t>
            </w:r>
          </w:p>
        </w:tc>
      </w:tr>
      <w:tr>
        <w:trPr/>
        <w:tc>
          <w:tcPr>
            <w:tcW w:w="163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CEO:</w:t>
            </w:r>
          </w:p>
        </w:tc>
        <w:tc>
          <w:tcPr>
            <w:tcW w:w="60" w:type="dxa"/>
            <w:tcBorders/>
            <w:shd w:fill="CCEEFF" w:val="clear"/>
            <w:vAlign w:val="center"/>
          </w:tcPr>
          <w:p>
            <w:pPr>
              <w:pStyle w:val="TableContents"/>
              <w:bidi w:val="0"/>
              <w:spacing w:before="0" w:after="0"/>
              <w:ind w:left="0" w:right="0" w:hanging="0"/>
              <w:jc w:val="left"/>
              <w:rPr/>
            </w:pPr>
            <w:r>
              <w:rPr/>
              <w:t> </w:t>
            </w:r>
          </w:p>
        </w:tc>
        <w:tc>
          <w:tcPr>
            <w:tcW w:w="5608"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12 months</w:t>
            </w:r>
          </w:p>
        </w:tc>
        <w:tc>
          <w:tcPr>
            <w:tcW w:w="60" w:type="dxa"/>
            <w:tcBorders/>
            <w:shd w:fill="CCEEFF" w:val="clear"/>
            <w:vAlign w:val="center"/>
          </w:tcPr>
          <w:p>
            <w:pPr>
              <w:pStyle w:val="TableContents"/>
              <w:bidi w:val="0"/>
              <w:spacing w:before="0" w:after="0"/>
              <w:ind w:left="0" w:right="0" w:hanging="0"/>
              <w:jc w:val="center"/>
              <w:rPr/>
            </w:pPr>
            <w:r>
              <w:rPr/>
              <w:t> </w:t>
            </w:r>
          </w:p>
        </w:tc>
        <w:tc>
          <w:tcPr>
            <w:tcW w:w="2845"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18 months</w:t>
            </w:r>
          </w:p>
        </w:tc>
      </w:tr>
      <w:tr>
        <w:trPr/>
        <w:tc>
          <w:tcPr>
            <w:tcW w:w="163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Other Participants:</w:t>
            </w:r>
          </w:p>
        </w:tc>
        <w:tc>
          <w:tcPr>
            <w:tcW w:w="60" w:type="dxa"/>
            <w:tcBorders/>
            <w:vAlign w:val="center"/>
          </w:tcPr>
          <w:p>
            <w:pPr>
              <w:pStyle w:val="TableContents"/>
              <w:bidi w:val="0"/>
              <w:spacing w:before="0" w:after="0"/>
              <w:ind w:left="0" w:right="0" w:hanging="0"/>
              <w:jc w:val="left"/>
              <w:rPr/>
            </w:pPr>
            <w:r>
              <w:rPr/>
              <w:t> </w:t>
            </w:r>
          </w:p>
        </w:tc>
        <w:tc>
          <w:tcPr>
            <w:tcW w:w="5608"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6 months</w:t>
            </w:r>
          </w:p>
        </w:tc>
        <w:tc>
          <w:tcPr>
            <w:tcW w:w="60" w:type="dxa"/>
            <w:tcBorders/>
            <w:vAlign w:val="center"/>
          </w:tcPr>
          <w:p>
            <w:pPr>
              <w:pStyle w:val="TableContents"/>
              <w:bidi w:val="0"/>
              <w:spacing w:before="0" w:after="0"/>
              <w:ind w:left="0" w:right="0" w:hanging="0"/>
              <w:jc w:val="center"/>
              <w:rPr/>
            </w:pPr>
            <w:r>
              <w:rPr/>
              <w:t> </w:t>
            </w:r>
          </w:p>
        </w:tc>
        <w:tc>
          <w:tcPr>
            <w:tcW w:w="2845"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12 months</w:t>
            </w:r>
          </w:p>
        </w:tc>
      </w:tr>
    </w:tbl>
    <w:p>
      <w:pPr>
        <w:pStyle w:val="TextBody"/>
        <w:bidi w:val="0"/>
        <w:spacing w:lineRule="auto" w:line="288" w:before="0" w:after="0"/>
        <w:ind w:left="0" w:right="0" w:hanging="0"/>
        <w:jc w:val="left"/>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In connection with the appointment of Mr. Posner as Chief Financial Officer effective April 2019, we agreed to increase (i) the severance period for Mr. Posner under the Executive Severance Policy from six months to 12 months, and (ii) the Severance Multiple (as defined in the Executive Severance Policy) payable to Mr. Posner from 0.5 to 1.0.</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In connection with the appointment of Mr. Lev as Chief Financial Officer effective October 2024, we agreed to increase (i) the severance period for Mr. Lev under the Executive Severance Policy from six months to 12 months, and (ii) the Severance Multiple (as defined in the Executive Severance Policy) payable to Mr. Lev from 0.5 to 1.0.</w:t>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Securities Authorized for Issuance Under Equity Compensation Plans</w:t>
      </w:r>
    </w:p>
    <w:p>
      <w:pPr>
        <w:pStyle w:val="TextBody"/>
        <w:bidi w:val="0"/>
        <w:spacing w:lineRule="atLeast" w:line="240" w:before="0" w:after="240"/>
        <w:ind w:left="0" w:right="0" w:hanging="0"/>
        <w:jc w:val="left"/>
        <w:rPr>
          <w:rFonts w:ascii="times new roman;times" w:hAnsi="times new roman;times"/>
          <w:sz w:val="20"/>
        </w:rPr>
      </w:pPr>
      <w:r>
        <w:rPr>
          <w:rFonts w:ascii="times new roman;times" w:hAnsi="times new roman;times"/>
          <w:sz w:val="20"/>
        </w:rPr>
        <w:t>The following table shows information regarding our equity compensation plans as of December 31, 2024.</w:t>
      </w:r>
    </w:p>
    <w:tbl>
      <w:tblPr>
        <w:tblW w:w="10205" w:type="dxa"/>
        <w:jc w:val="left"/>
        <w:tblInd w:w="0" w:type="dxa"/>
        <w:tblLayout w:type="fixed"/>
        <w:tblCellMar>
          <w:top w:w="0" w:type="dxa"/>
          <w:left w:w="0" w:type="dxa"/>
          <w:bottom w:w="0" w:type="dxa"/>
          <w:right w:w="0" w:type="dxa"/>
        </w:tblCellMar>
      </w:tblPr>
      <w:tblGrid>
        <w:gridCol w:w="1960"/>
        <w:gridCol w:w="109"/>
        <w:gridCol w:w="2303"/>
        <w:gridCol w:w="109"/>
        <w:gridCol w:w="211"/>
        <w:gridCol w:w="2085"/>
        <w:gridCol w:w="109"/>
        <w:gridCol w:w="109"/>
        <w:gridCol w:w="3210"/>
      </w:tblGrid>
      <w:tr>
        <w:trPr/>
        <w:tc>
          <w:tcPr>
            <w:tcW w:w="1960" w:type="dxa"/>
            <w:tcBorders/>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Plan Category</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2303" w:type="dxa"/>
            <w:tcBorders/>
            <w:vAlign w:val="bottom"/>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(a) Number of securities to be issued upon exercise of outstanding options, warrants and rights</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211" w:type="dxa"/>
            <w:tcBorders/>
            <w:vAlign w:val="bottom"/>
          </w:tcPr>
          <w:p>
            <w:pPr>
              <w:pStyle w:val="TableContents"/>
              <w:bidi w:val="0"/>
              <w:spacing w:before="0" w:after="283"/>
              <w:jc w:val="left"/>
              <w:rPr/>
            </w:pPr>
            <w:r>
              <w:rPr/>
            </w:r>
          </w:p>
        </w:tc>
        <w:tc>
          <w:tcPr>
            <w:tcW w:w="2085" w:type="dxa"/>
            <w:tcBorders/>
            <w:vAlign w:val="bottom"/>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(b) Weighted-average exercise price of outstanding options, warrants and rights</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sz w:val="4"/>
                <w:szCs w:val="4"/>
              </w:rPr>
            </w:pPr>
            <w:r>
              <w:rPr>
                <w:sz w:val="4"/>
                <w:szCs w:val="4"/>
              </w:rPr>
            </w:r>
          </w:p>
        </w:tc>
        <w:tc>
          <w:tcPr>
            <w:tcW w:w="3210" w:type="dxa"/>
            <w:tcBorders/>
            <w:vAlign w:val="bottom"/>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(c) Number of securities remaining available for future issuance under equity compensation plans (excluding securities reflected in column (a))</w:t>
            </w:r>
          </w:p>
        </w:tc>
      </w:tr>
      <w:tr>
        <w:trPr/>
        <w:tc>
          <w:tcPr>
            <w:tcW w:w="1960" w:type="dxa"/>
            <w:tcBorders/>
            <w:shd w:fill="CCEEFF" w:val="clear"/>
            <w:tcMar>
              <w:top w:w="28" w:type="dxa"/>
              <w:left w:w="28" w:type="dxa"/>
              <w:bottom w:w="28" w:type="dxa"/>
              <w:right w:w="28" w:type="dxa"/>
            </w:tcM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Equity compensation plans approved by security holders</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2303"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1,007,241</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211" w:type="dxa"/>
            <w:tcBorders/>
            <w:shd w:fill="CCEEFF" w:val="clear"/>
            <w:tcMar>
              <w:top w:w="28" w:type="dxa"/>
              <w:left w:w="28" w:type="dxa"/>
              <w:bottom w:w="28" w:type="dxa"/>
              <w:right w:w="28" w:type="dxa"/>
            </w:tcM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08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31.39</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3210"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44,976</w:t>
            </w:r>
          </w:p>
        </w:tc>
      </w:tr>
      <w:tr>
        <w:trPr/>
        <w:tc>
          <w:tcPr>
            <w:tcW w:w="1960" w:type="dxa"/>
            <w:tcBorders/>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Equity compensation plans not approved by security holders</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230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211" w:type="dxa"/>
            <w:tcBorders/>
            <w:tcMar>
              <w:top w:w="28" w:type="dxa"/>
              <w:left w:w="28" w:type="dxa"/>
              <w:bottom w:w="28" w:type="dxa"/>
              <w:right w:w="28" w:type="dxa"/>
            </w:tcMar>
            <w:vAlign w:val="center"/>
          </w:tcPr>
          <w:p>
            <w:pPr>
              <w:pStyle w:val="TableContents"/>
              <w:bidi w:val="0"/>
              <w:spacing w:before="0" w:after="283"/>
              <w:jc w:val="left"/>
              <w:rPr/>
            </w:pPr>
            <w:r>
              <w:rPr/>
            </w:r>
          </w:p>
        </w:tc>
        <w:tc>
          <w:tcPr>
            <w:tcW w:w="2085"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3210"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r>
      <w:tr>
        <w:trPr/>
        <w:tc>
          <w:tcPr>
            <w:tcW w:w="1960" w:type="dxa"/>
            <w:tcBorders/>
            <w:shd w:fill="CCEEFF" w:val="clear"/>
            <w:tcMar>
              <w:top w:w="28" w:type="dxa"/>
              <w:left w:w="28" w:type="dxa"/>
              <w:bottom w:w="28" w:type="dxa"/>
              <w:right w:w="28" w:type="dxa"/>
            </w:tcM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Total</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2303"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1,007,241</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211" w:type="dxa"/>
            <w:tcBorders/>
            <w:shd w:fill="CCEEFF" w:val="clear"/>
            <w:tcMar>
              <w:top w:w="28" w:type="dxa"/>
              <w:left w:w="28" w:type="dxa"/>
              <w:bottom w:w="28" w:type="dxa"/>
              <w:right w:w="28" w:type="dxa"/>
            </w:tcM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08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31.39</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3210"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44,976</w:t>
            </w:r>
          </w:p>
        </w:tc>
      </w:tr>
    </w:tbl>
    <w:p>
      <w:pPr>
        <w:pStyle w:val="TextBody"/>
        <w:bidi w:val="0"/>
        <w:spacing w:lineRule="atLeast" w:line="240" w:before="0" w:after="0"/>
        <w:ind w:left="0" w:right="0" w:hanging="0"/>
        <w:jc w:val="left"/>
        <w:rPr/>
      </w:pPr>
      <w:r>
        <w:rPr/>
      </w:r>
    </w:p>
    <w:p>
      <w:pPr>
        <w:pStyle w:val="TextBody"/>
        <w:bidi w:val="0"/>
        <w:spacing w:lineRule="atLeast" w:line="240" w:before="0" w:after="240"/>
        <w:ind w:left="0" w:right="0" w:hanging="0"/>
        <w:jc w:val="left"/>
        <w:rPr>
          <w:rFonts w:ascii="times new roman;times" w:hAnsi="times new roman;times"/>
          <w:sz w:val="20"/>
        </w:rPr>
      </w:pPr>
      <w:r>
        <w:rPr>
          <w:rFonts w:ascii="times new roman;times" w:hAnsi="times new roman;times"/>
          <w:sz w:val="20"/>
        </w:rPr>
        <w:t xml:space="preserve">In accordance with the terms of the 2018 Plan, effective January 1, 2025, the Board increased the number of shares available for issuance under the 2018 Plan by 430,523 shares of common stock, which was an amount equal to approximately 4% of the shares of common stock outstanding on a fully diluted basis as of December 31, 2024.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jc w:val="left"/>
        <w:rPr>
          <w:rFonts w:ascii="times new roman;times" w:hAnsi="times new roman;times"/>
          <w:b/>
          <w:i/>
          <w:sz w:val="20"/>
        </w:rPr>
      </w:pPr>
      <w:r>
        <w:rPr>
          <w:rFonts w:ascii="times new roman;times" w:hAnsi="times new roman;times"/>
          <w:b/>
          <w:i/>
          <w:sz w:val="20"/>
        </w:rPr>
        <w:t>Director Compensation</w:t>
      </w:r>
    </w:p>
    <w:p>
      <w:pPr>
        <w:pStyle w:val="TextBody"/>
        <w:bidi w:val="0"/>
        <w:spacing w:lineRule="auto" w:line="288" w:before="0" w:after="0"/>
        <w:ind w:left="0" w:right="0" w:hanging="0"/>
        <w:jc w:val="center"/>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Our Non-Employee Director Compensation Policy is intended to provide a total compensation package that enables us to attract and retain qualified and experienced individuals to serve as directors and to align our directors’ interests with those of our stockholders. </w:t>
      </w:r>
    </w:p>
    <w:p>
      <w:pPr>
        <w:pStyle w:val="TextBody"/>
        <w:bidi w:val="0"/>
        <w:spacing w:lineRule="auto" w:line="288" w:before="0" w:after="240"/>
        <w:ind w:left="0" w:right="0" w:hanging="0"/>
        <w:jc w:val="left"/>
        <w:rPr>
          <w:rFonts w:ascii="times new roman;times" w:hAnsi="times new roman;times"/>
          <w:i/>
          <w:sz w:val="20"/>
        </w:rPr>
      </w:pPr>
      <w:r>
        <w:rPr>
          <w:rFonts w:ascii="times new roman;times" w:hAnsi="times new roman;times"/>
          <w:i/>
          <w:sz w:val="20"/>
        </w:rPr>
        <w:t>Annual Director Cash Compensation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We pay each of our non-employee directors a cash retainer for service on the Board.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Effective October 1, 2023, the retainers payable to non-employee directors for service on the Board and for service on each standing committee of the Board on which the director is a member became as follows:</w:t>
      </w:r>
    </w:p>
    <w:tbl>
      <w:tblPr>
        <w:tblW w:w="5000" w:type="pct"/>
        <w:jc w:val="left"/>
        <w:tblInd w:w="0" w:type="dxa"/>
        <w:tblLayout w:type="fixed"/>
        <w:tblCellMar>
          <w:top w:w="0" w:type="dxa"/>
          <w:left w:w="0" w:type="dxa"/>
          <w:bottom w:w="0" w:type="dxa"/>
          <w:right w:w="0" w:type="dxa"/>
        </w:tblCellMar>
      </w:tblPr>
      <w:tblGrid>
        <w:gridCol w:w="8824"/>
        <w:gridCol w:w="98"/>
        <w:gridCol w:w="203"/>
        <w:gridCol w:w="958"/>
        <w:gridCol w:w="122"/>
      </w:tblGrid>
      <w:tr>
        <w:trPr/>
        <w:tc>
          <w:tcPr>
            <w:tcW w:w="8824"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Board Service Retainer</w:t>
            </w:r>
          </w:p>
        </w:tc>
        <w:tc>
          <w:tcPr>
            <w:tcW w:w="98" w:type="dxa"/>
            <w:tcBorders/>
            <w:vAlign w:val="center"/>
          </w:tcPr>
          <w:p>
            <w:pPr>
              <w:pStyle w:val="TableContents"/>
              <w:bidi w:val="0"/>
              <w:spacing w:before="0" w:after="0"/>
              <w:ind w:left="0" w:right="0" w:hanging="0"/>
              <w:jc w:val="left"/>
              <w:rPr/>
            </w:pPr>
            <w:r>
              <w:rPr/>
              <w:t> </w:t>
            </w:r>
          </w:p>
        </w:tc>
        <w:tc>
          <w:tcPr>
            <w:tcW w:w="1283" w:type="dxa"/>
            <w:gridSpan w:val="3"/>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non-employee directors (other than the Chairman of the Board)</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Non-executive Chairman of the Board</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80,000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Committee Chair Service Retainer</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righ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Audit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Compensation Committee</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Nominating &amp; Governance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10,000</w:t>
            </w:r>
          </w:p>
        </w:tc>
        <w:tc>
          <w:tcPr>
            <w:tcW w:w="122" w:type="dxa"/>
            <w:tcBorders/>
            <w:vAlign w:val="center"/>
          </w:tcPr>
          <w:p>
            <w:pPr>
              <w:pStyle w:val="TableContents"/>
              <w:bidi w:val="0"/>
              <w:spacing w:before="0" w:after="0"/>
              <w:ind w:left="0" w:right="0" w:hanging="0"/>
              <w:jc w:val="left"/>
              <w:rPr/>
            </w:pPr>
            <w:r>
              <w:rPr/>
              <w:t> </w:t>
            </w:r>
          </w:p>
        </w:tc>
      </w:tr>
    </w:tbl>
    <w:p>
      <w:pPr>
        <w:pStyle w:val="TextBody"/>
        <w:widowControl/>
        <w:bidi w:val="0"/>
        <w:spacing w:lineRule="auto" w:line="288"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t>Annual Committee Member Retainer (other than Committee Chair)</w:t>
      </w:r>
    </w:p>
    <w:tbl>
      <w:tblPr>
        <w:tblW w:w="4447" w:type="dxa"/>
        <w:jc w:val="left"/>
        <w:tblInd w:w="0" w:type="dxa"/>
        <w:tblLayout w:type="fixed"/>
        <w:tblCellMar>
          <w:top w:w="28" w:type="dxa"/>
          <w:left w:w="28" w:type="dxa"/>
          <w:bottom w:w="28" w:type="dxa"/>
          <w:right w:w="28" w:type="dxa"/>
        </w:tblCellMar>
      </w:tblPr>
      <w:tblGrid>
        <w:gridCol w:w="3406"/>
        <w:gridCol w:w="211"/>
        <w:gridCol w:w="676"/>
        <w:gridCol w:w="154"/>
      </w:tblGrid>
      <w:tr>
        <w:trPr/>
        <w:tc>
          <w:tcPr>
            <w:tcW w:w="3406"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Audit Committee</w:t>
            </w:r>
          </w:p>
        </w:tc>
        <w:tc>
          <w:tcPr>
            <w:tcW w:w="211"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w:t>
            </w:r>
          </w:p>
        </w:tc>
        <w:tc>
          <w:tcPr>
            <w:tcW w:w="154" w:type="dxa"/>
            <w:tcBorders/>
            <w:shd w:fill="CCEEFF" w:val="clear"/>
            <w:vAlign w:val="center"/>
          </w:tcPr>
          <w:p>
            <w:pPr>
              <w:pStyle w:val="TableContents"/>
              <w:bidi w:val="0"/>
              <w:spacing w:before="0" w:after="283"/>
              <w:jc w:val="left"/>
              <w:rPr/>
            </w:pPr>
            <w:r>
              <w:rPr/>
            </w:r>
          </w:p>
        </w:tc>
      </w:tr>
      <w:tr>
        <w:trPr/>
        <w:tc>
          <w:tcPr>
            <w:tcW w:w="3406"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Compensation Committee</w:t>
            </w:r>
          </w:p>
        </w:tc>
        <w:tc>
          <w:tcPr>
            <w:tcW w:w="21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7,500</w:t>
            </w:r>
          </w:p>
        </w:tc>
        <w:tc>
          <w:tcPr>
            <w:tcW w:w="154" w:type="dxa"/>
            <w:tcBorders/>
            <w:vAlign w:val="center"/>
          </w:tcPr>
          <w:p>
            <w:pPr>
              <w:pStyle w:val="TableContents"/>
              <w:bidi w:val="0"/>
              <w:spacing w:before="0" w:after="283"/>
              <w:jc w:val="left"/>
              <w:rPr/>
            </w:pPr>
            <w:r>
              <w:rPr/>
            </w:r>
          </w:p>
        </w:tc>
      </w:tr>
      <w:tr>
        <w:trPr/>
        <w:tc>
          <w:tcPr>
            <w:tcW w:w="3406"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Nominating and Governance Committee</w:t>
            </w:r>
          </w:p>
        </w:tc>
        <w:tc>
          <w:tcPr>
            <w:tcW w:w="211"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5,000</w:t>
            </w:r>
          </w:p>
        </w:tc>
        <w:tc>
          <w:tcPr>
            <w:tcW w:w="154"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These retainers are payable in quarterly installments on the 15</w:t>
      </w:r>
      <w:r>
        <w:rPr>
          <w:rFonts w:ascii="times new roman;times" w:hAnsi="times new roman;times"/>
          <w:position w:val="7"/>
          <w:sz w:val="16"/>
          <w:sz w:val="20"/>
        </w:rPr>
        <w:t>th</w:t>
      </w:r>
      <w:r>
        <w:rPr>
          <w:rFonts w:ascii="times new roman;times" w:hAnsi="times new roman;times"/>
          <w:sz w:val="20"/>
        </w:rPr>
        <w:t xml:space="preserve"> day of the second month of each calendar quarter, provided that no payment will be made to any director who is no longer serving as a non-employee member of the Board on the relevant payment date.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Each member of the Board is entitled to be reimbursed for reasonable travel and other expenses incurred in connection with attending meetings of the Board and any committee of the Board on which he or she serves.</w:t>
      </w:r>
    </w:p>
    <w:p>
      <w:pPr>
        <w:pStyle w:val="TextBody"/>
        <w:bidi w:val="0"/>
        <w:spacing w:lineRule="auto" w:line="288" w:before="0" w:after="240"/>
        <w:ind w:left="0" w:right="0" w:hanging="0"/>
        <w:jc w:val="left"/>
        <w:rPr>
          <w:rFonts w:ascii="times new roman;times" w:hAnsi="times new roman;times"/>
          <w:i/>
          <w:sz w:val="20"/>
        </w:rPr>
      </w:pPr>
      <w:r>
        <w:rPr>
          <w:rFonts w:ascii="times new roman;times" w:hAnsi="times new roman;times"/>
          <w:i/>
          <w:sz w:val="20"/>
        </w:rPr>
        <w:t>Annual Director Equity Compensation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All non-employee director equity compensation set forth below is granted under the 2018 Plan. All stock options granted under this plan and the Non-Employee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120" w:after="0"/>
        <w:ind w:left="0" w:right="0" w:hanging="0"/>
        <w:jc w:val="left"/>
        <w:rPr>
          <w:rFonts w:ascii="times new roman;times" w:hAnsi="times new roman;times"/>
          <w:i/>
          <w:sz w:val="20"/>
        </w:rPr>
      </w:pPr>
      <w:r>
        <w:rPr>
          <w:rFonts w:ascii="times new roman;times" w:hAnsi="times new roman;times"/>
          <w:i/>
          <w:sz w:val="20"/>
        </w:rPr>
        <w:t>Initial Equity Grant</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 xml:space="preserve">Under the Non-Employee Director Compensation Policy each new non-employee director receives an inaugural equity grant valued at $150,000. The inaugural grants vest in equal monthly increments over a three-year period from the grant date (subject to earlier vesting in the case of a change of control as defined in the 2018 Plan). Dr. Theofilos received an initial equity award under the Non-Employee Director Compensation Policy in January 2024. </w:t>
      </w:r>
    </w:p>
    <w:p>
      <w:pPr>
        <w:pStyle w:val="TextBody"/>
        <w:bidi w:val="0"/>
        <w:spacing w:lineRule="auto" w:line="288" w:before="120" w:after="0"/>
        <w:ind w:left="0" w:right="0" w:hanging="0"/>
        <w:jc w:val="left"/>
        <w:rPr>
          <w:rFonts w:ascii="times new roman;times" w:hAnsi="times new roman;times"/>
          <w:i/>
          <w:sz w:val="20"/>
        </w:rPr>
      </w:pPr>
      <w:r>
        <w:rPr>
          <w:rFonts w:ascii="times new roman;times" w:hAnsi="times new roman;times"/>
          <w:i/>
          <w:sz w:val="20"/>
        </w:rPr>
        <w:t>Annual Equity Grant</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 xml:space="preserve">On August 4, 2023, the date of our annual meeting of stockholders, the Board approved annual equity awards valued at $140,000 to the Chairman of the Board, and $100,000 to each of the other five continuing non-employee directors. All such annual awards vest in 12 equal monthly installments on the next annual meeting of stockholders, subject to earlier vesting in the case of a change of control (as defined in the 2018 Plan). </w:t>
      </w:r>
    </w:p>
    <w:p>
      <w:pPr>
        <w:pStyle w:val="TextBody"/>
        <w:bidi w:val="0"/>
        <w:spacing w:lineRule="auto" w:line="288" w:before="240" w:after="0"/>
        <w:ind w:left="0" w:right="0" w:hanging="0"/>
        <w:jc w:val="left"/>
        <w:rPr>
          <w:rFonts w:ascii="times new roman;times" w:hAnsi="times new roman;times"/>
          <w:i/>
          <w:sz w:val="20"/>
        </w:rPr>
      </w:pPr>
      <w:r>
        <w:rPr>
          <w:rFonts w:ascii="times new roman;times" w:hAnsi="times new roman;times"/>
          <w:i/>
          <w:sz w:val="20"/>
        </w:rPr>
        <w:t>Summary Compensation Table</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The following table shows certain information with respect to the compensation of all our non-employee directors for the fiscal year ended December 31, 2024.</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951"/>
        <w:gridCol w:w="109"/>
        <w:gridCol w:w="1861"/>
        <w:gridCol w:w="109"/>
        <w:gridCol w:w="1544"/>
        <w:gridCol w:w="109"/>
        <w:gridCol w:w="1620"/>
        <w:gridCol w:w="109"/>
        <w:gridCol w:w="1855"/>
        <w:gridCol w:w="109"/>
        <w:gridCol w:w="829"/>
      </w:tblGrid>
      <w:tr>
        <w:trPr/>
        <w:tc>
          <w:tcPr>
            <w:tcW w:w="1951" w:type="dxa"/>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Name</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1861" w:type="dxa"/>
            <w:tcBorders/>
            <w:vAlign w:val="bottom"/>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Fees Earned or Paid in Cash</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1544" w:type="dxa"/>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Stock Awards ($)(1)(3)</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1620" w:type="dxa"/>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Awards ($)(3)(4)</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1855" w:type="dxa"/>
            <w:tcBorders/>
            <w:vAlign w:val="bottom"/>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All Other Compensation</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w:t>
            </w:r>
          </w:p>
        </w:tc>
        <w:tc>
          <w:tcPr>
            <w:tcW w:w="109" w:type="dxa"/>
            <w:tcBorders/>
            <w:tcMar>
              <w:top w:w="28" w:type="dxa"/>
              <w:left w:w="28" w:type="dxa"/>
              <w:bottom w:w="28" w:type="dxa"/>
              <w:right w:w="28" w:type="dxa"/>
            </w:tcMar>
            <w:vAlign w:val="bottom"/>
          </w:tcPr>
          <w:p>
            <w:pPr>
              <w:pStyle w:val="TableContents"/>
              <w:bidi w:val="0"/>
              <w:spacing w:before="0" w:after="283"/>
              <w:jc w:val="left"/>
              <w:rPr/>
            </w:pPr>
            <w:r>
              <w:rPr/>
            </w:r>
          </w:p>
        </w:tc>
        <w:tc>
          <w:tcPr>
            <w:tcW w:w="829" w:type="dxa"/>
            <w:tcBorders/>
            <w:vAlign w:val="bottom"/>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Total</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w:t>
            </w:r>
          </w:p>
        </w:tc>
      </w:tr>
      <w:tr>
        <w:trPr/>
        <w:tc>
          <w:tcPr>
            <w:tcW w:w="195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 Peter Cuneo</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80,615</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320,826</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401,441</w:t>
            </w:r>
          </w:p>
        </w:tc>
      </w:tr>
      <w:tr>
        <w:trPr/>
        <w:tc>
          <w:tcPr>
            <w:tcW w:w="1951" w:type="dxa"/>
            <w:tcBorders/>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Thomas J. </w:t>
            </w:r>
            <w:r>
              <w:rPr>
                <w:rFonts w:ascii="times new roman;times" w:hAnsi="times new roman;times"/>
                <w:sz w:val="20"/>
              </w:rPr>
              <w:t>Errico</w:t>
            </w:r>
            <w:r>
              <w:rPr>
                <w:rFonts w:ascii="times new roman;times" w:hAnsi="times new roman;times"/>
                <w:b w:val="false"/>
                <w:color w:val="000000"/>
                <w:spacing w:val="0"/>
                <w:sz w:val="20"/>
              </w:rPr>
              <w:t>, M.D.</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67,500</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102,400</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829"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169,900</w:t>
            </w:r>
          </w:p>
        </w:tc>
      </w:tr>
      <w:tr>
        <w:trPr/>
        <w:tc>
          <w:tcPr>
            <w:tcW w:w="195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John P. </w:t>
            </w:r>
            <w:r>
              <w:rPr>
                <w:rFonts w:ascii="times new roman;times" w:hAnsi="times new roman;times"/>
                <w:sz w:val="20"/>
              </w:rPr>
              <w:t>Gandolfo</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75,000</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102,400</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177,400</w:t>
            </w:r>
          </w:p>
        </w:tc>
      </w:tr>
      <w:tr>
        <w:trPr/>
        <w:tc>
          <w:tcPr>
            <w:tcW w:w="1951" w:type="dxa"/>
            <w:tcBorders/>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Julie A. Goldstein</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62,500</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100,050</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829"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162,550</w:t>
            </w:r>
          </w:p>
        </w:tc>
      </w:tr>
      <w:tr>
        <w:trPr/>
        <w:tc>
          <w:tcPr>
            <w:tcW w:w="195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Thomas M. Patton</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70,326</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102,400</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172,726</w:t>
            </w:r>
          </w:p>
        </w:tc>
      </w:tr>
      <w:tr>
        <w:trPr/>
        <w:tc>
          <w:tcPr>
            <w:tcW w:w="1951" w:type="dxa"/>
            <w:tcBorders/>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Charles S. </w:t>
            </w:r>
            <w:r>
              <w:rPr>
                <w:rFonts w:ascii="times new roman;times" w:hAnsi="times new roman;times"/>
                <w:sz w:val="20"/>
              </w:rPr>
              <w:t>Theofilos</w:t>
            </w:r>
            <w:r>
              <w:rPr>
                <w:rFonts w:ascii="times new roman;times" w:hAnsi="times new roman;times"/>
                <w:b w:val="false"/>
                <w:color w:val="000000"/>
                <w:spacing w:val="0"/>
                <w:sz w:val="20"/>
              </w:rPr>
              <w:t>, M.D.</w:t>
            </w:r>
            <w:r>
              <w:rPr>
                <w:rFonts w:ascii="times new roman;times" w:hAnsi="times new roman;times"/>
                <w:b w:val="false"/>
                <w:color w:val="000000"/>
                <w:spacing w:val="0"/>
                <w:position w:val="5"/>
                <w:sz w:val="13"/>
                <w:sz w:val="16"/>
              </w:rPr>
              <w:t>(2)</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62,708</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252,904</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r>
          </w:p>
        </w:tc>
        <w:tc>
          <w:tcPr>
            <w:tcW w:w="829" w:type="dxa"/>
            <w:tcBorders/>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315,612</w:t>
            </w:r>
          </w:p>
        </w:tc>
      </w:tr>
      <w:tr>
        <w:trPr/>
        <w:tc>
          <w:tcPr>
            <w:tcW w:w="195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Patricia Wilber</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61" w:type="dxa"/>
            <w:tcBorders/>
            <w:shd w:fill="CCEEFF" w:val="clear"/>
            <w:tcMar>
              <w:top w:w="28" w:type="dxa"/>
              <w:left w:w="28" w:type="dxa"/>
              <w:bottom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65,095</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544"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102,400</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620"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1855"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9" w:type="dxa"/>
            <w:tcBorders/>
            <w:shd w:fill="CCEEFF" w:val="clear"/>
            <w:tcMar>
              <w:top w:w="28" w:type="dxa"/>
              <w:left w:w="28" w:type="dxa"/>
              <w:bottom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bottom w:w="28" w:type="dxa"/>
              <w:right w:w="28" w:type="dxa"/>
            </w:tcM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167,495</w:t>
            </w:r>
          </w:p>
        </w:tc>
      </w:tr>
    </w:tbl>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 </w:t>
            </w:r>
          </w:p>
        </w:tc>
        <w:tc>
          <w:tcPr>
            <w:tcW w:w="990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Represents the grant date fair value of annual equity awards, granted on September 3, 2024, of 16,583 shares to John P. Gandolfo, Thomas M. Patton, Charles S. Theofilos, M.D., and Patricia Wilber. The awards were granted as either restricted stock units (“RSUs”) or deferred stock units (“DSUs”). Amounts in this column do not reflect the actual economic value that may be realized by the applicable non-employee director.</w:t>
            </w:r>
          </w:p>
        </w:tc>
      </w:tr>
      <w:tr>
        <w:trPr/>
        <w:tc>
          <w:tcPr>
            <w:tcW w:w="30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(2)</w:t>
            </w:r>
          </w:p>
        </w:tc>
        <w:tc>
          <w:tcPr>
            <w:tcW w:w="9905" w:type="dxa"/>
            <w:tcBorders/>
            <w:vAlign w:val="center"/>
          </w:tcPr>
          <w:p>
            <w:pPr>
              <w:pStyle w:val="TableContents"/>
              <w:widowControl/>
              <w:bidi w:val="0"/>
              <w:spacing w:before="0" w:after="283"/>
              <w:ind w:left="0" w:right="0" w:hanging="720"/>
              <w:jc w:val="left"/>
              <w:rPr>
                <w:rFonts w:ascii="times new roman;times" w:hAnsi="times new roman;times"/>
                <w:sz w:val="20"/>
              </w:rPr>
            </w:pPr>
            <w:r>
              <w:rPr>
                <w:rFonts w:ascii="times new roman;times" w:hAnsi="times new roman;times"/>
                <w:b w:val="false"/>
                <w:color w:val="000000"/>
                <w:spacing w:val="0"/>
                <w:sz w:val="20"/>
              </w:rPr>
              <w:t>Dr. </w:t>
            </w:r>
            <w:r>
              <w:rPr>
                <w:rFonts w:ascii="times new roman;times" w:hAnsi="times new roman;times"/>
                <w:sz w:val="20"/>
              </w:rPr>
              <w:t>Theofilos</w:t>
            </w:r>
            <w:r>
              <w:rPr>
                <w:rFonts w:ascii="times new roman;times" w:hAnsi="times new roman;times"/>
                <w:color w:val="000000"/>
                <w:spacing w:val="0"/>
                <w:sz w:val="20"/>
              </w:rPr>
              <w:t> </w:t>
            </w:r>
            <w:r>
              <w:rPr>
                <w:rFonts w:ascii="times new roman;times" w:hAnsi="times new roman;times"/>
                <w:b w:val="false"/>
                <w:color w:val="000000"/>
                <w:spacing w:val="0"/>
                <w:sz w:val="20"/>
              </w:rPr>
              <w:t>joined the Board on December 8, 2023, and received an initial equity award of 25,210 shares under the Director Compensation Policy on January 1, 2024. The awards were granted as DSUs. Amounts in this column do not reflect the actual economic value that may be realized by the applicable non-employee director. Dr. Theofilos resigned from the Board on February 24, 2025.</w:t>
            </w:r>
          </w:p>
        </w:tc>
      </w:tr>
      <w:tr>
        <w:trPr/>
        <w:tc>
          <w:tcPr>
            <w:tcW w:w="300"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w:t>
            </w:r>
          </w:p>
        </w:tc>
        <w:tc>
          <w:tcPr>
            <w:tcW w:w="9905" w:type="dxa"/>
            <w:tcBorders/>
            <w:vAlign w:val="center"/>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Annual equity awards vest in 12 equal monthly installments from the grant date, provided that such grants shall become fully vested on (i) the one-year anniversary of the grant date and (ii) the close of business one business day prior to our next annual stockholder meeting following the grant date, whichever is earlier, subject to the grantee’s continued service to us on the applicable vesting date and earlier vesting upon a change of control of our Company.</w:t>
            </w:r>
          </w:p>
        </w:tc>
      </w:tr>
      <w:tr>
        <w:trPr/>
        <w:tc>
          <w:tcPr>
            <w:tcW w:w="300"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w:t>
            </w:r>
          </w:p>
        </w:tc>
        <w:tc>
          <w:tcPr>
            <w:tcW w:w="9905" w:type="dxa"/>
            <w:tcBorders/>
            <w:vAlign w:val="center"/>
          </w:tcPr>
          <w:p>
            <w:pPr>
              <w:pStyle w:val="TableContents"/>
              <w:widowControl/>
              <w:bidi w:val="0"/>
              <w:spacing w:before="0" w:after="283"/>
              <w:ind w:left="0" w:right="0" w:hanging="720"/>
              <w:jc w:val="left"/>
              <w:rPr>
                <w:rFonts w:ascii="times new roman;times" w:hAnsi="times new roman;times"/>
                <w:sz w:val="20"/>
              </w:rPr>
            </w:pPr>
            <w:r>
              <w:rPr>
                <w:rFonts w:ascii="times new roman;times" w:hAnsi="times new roman;times"/>
                <w:b w:val="false"/>
                <w:color w:val="000000"/>
                <w:spacing w:val="0"/>
                <w:sz w:val="20"/>
              </w:rPr>
              <w:t>Represents grant date fair value of annual equity awards granted on September 3, 2024 of 27,783 and 19,845 options with an exercise price of $6.03 per share to F. Peter Cuneo and Julie A. Goldstein, respectively. Mr. Cuneo signed a consulting agreement with the Company dated July 11, 2024, whereby he received 50,000 options with an exercise price of $6.43. The grant date fair value was computed in accordance with FASB ASC 718. See Note 11 to the consolidated financial statements in this Annual Report for a description of the assumptions used in valuing these options. Amounts in this column do not reflect the actual economic value that may be realized by the applicable </w:t>
            </w:r>
            <w:r>
              <w:rPr>
                <w:rFonts w:ascii="times new roman;times" w:hAnsi="times new roman;times"/>
                <w:sz w:val="20"/>
              </w:rPr>
              <w:t>nonemployee</w:t>
            </w:r>
            <w:r>
              <w:rPr>
                <w:rFonts w:ascii="times new roman;times" w:hAnsi="times new roman;times"/>
                <w:color w:val="000000"/>
                <w:spacing w:val="0"/>
                <w:sz w:val="20"/>
              </w:rPr>
              <w:t> </w:t>
            </w:r>
            <w:r>
              <w:rPr>
                <w:rFonts w:ascii="times new roman;times" w:hAnsi="times new roman;times"/>
                <w:b w:val="false"/>
                <w:color w:val="000000"/>
                <w:spacing w:val="0"/>
                <w:sz w:val="20"/>
              </w:rPr>
              <w:t>director.</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left"/>
        <w:rPr/>
      </w:pPr>
      <w:r>
        <w:rPr>
          <w:rFonts w:ascii="times new roman;times" w:hAnsi="times new roman;times"/>
          <w:b/>
          <w:sz w:val="20"/>
        </w:rPr>
        <w:t xml:space="preserve">Item 12. </w:t>
      </w:r>
      <w:hyperlink w:anchor="TOC">
        <w:bookmarkStart w:id="68" w:name="BR123_1712024714671"/>
        <w:bookmarkEnd w:id="68"/>
        <w:r>
          <w:rPr>
            <w:rStyle w:val="InternetLink"/>
            <w:rFonts w:ascii="times new roman;times" w:hAnsi="times new roman;times"/>
            <w:b/>
            <w:strike w:val="false"/>
            <w:dstrike w:val="false"/>
            <w:color w:val="000000"/>
            <w:sz w:val="20"/>
            <w:u w:val="none"/>
            <w:effect w:val="none"/>
          </w:rPr>
          <w:t>Security Ownership of Certain Beneficial Owners and Management and Related Stockholder Matters</w:t>
        </w:r>
      </w:hyperlink>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sets forth the beneficial ownership of our shares of common stock as of March 6, 2025 for:</w:t>
      </w:r>
    </w:p>
    <w:p>
      <w:pPr>
        <w:pStyle w:val="TextBody"/>
        <w:numPr>
          <w:ilvl w:val="0"/>
          <w:numId w:val="3"/>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person, or group of affiliated persons, who is known by us to beneficially own more than 5% of its shares of common stock; </w:t>
      </w:r>
    </w:p>
    <w:p>
      <w:pPr>
        <w:pStyle w:val="TextBody"/>
        <w:numPr>
          <w:ilvl w:val="0"/>
          <w:numId w:val="3"/>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3"/>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of our directors; and </w:t>
      </w:r>
    </w:p>
    <w:p>
      <w:pPr>
        <w:pStyle w:val="TextBody"/>
        <w:numPr>
          <w:ilvl w:val="0"/>
          <w:numId w:val="3"/>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all of our current executive officers and directors as a group.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percentage ownership information is based upon 7,193,092 of common stock outstanding as of March 6, 2025.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restricted and deferred stock units, restricted stock awards or warrants that were outstanding on March 6, 2025, and which are exercisable on or before May 5, 2025, which is 60 days after March 6, 2025. These shares are deemed to be outstanding and beneficially owned by the person holding those options, restricted and deferred stock units, restricted stock awards or warrants for the purpose of computing the percentage ownership of that person, but they are not treated as outstanding for the purpose of computing the percentage ownership of any other person.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200 Forge Way, Suite 205, Rockaway, NJ 07866.</w:t>
      </w:r>
    </w:p>
    <w:tbl>
      <w:tblPr>
        <w:tblW w:w="5000" w:type="pct"/>
        <w:jc w:val="left"/>
        <w:tblInd w:w="0" w:type="dxa"/>
        <w:tblLayout w:type="fixed"/>
        <w:tblCellMar>
          <w:top w:w="0" w:type="dxa"/>
          <w:left w:w="0" w:type="dxa"/>
          <w:bottom w:w="0" w:type="dxa"/>
          <w:right w:w="0" w:type="dxa"/>
        </w:tblCellMar>
      </w:tblPr>
      <w:tblGrid>
        <w:gridCol w:w="4339"/>
        <w:gridCol w:w="60"/>
        <w:gridCol w:w="2764"/>
        <w:gridCol w:w="60"/>
        <w:gridCol w:w="1911"/>
        <w:gridCol w:w="1071"/>
      </w:tblGrid>
      <w:tr>
        <w:trPr/>
        <w:tc>
          <w:tcPr>
            <w:tcW w:w="4339"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Beneficial Owner</w:t>
            </w:r>
          </w:p>
        </w:tc>
        <w:tc>
          <w:tcPr>
            <w:tcW w:w="60" w:type="dxa"/>
            <w:tcBorders/>
            <w:vAlign w:val="center"/>
          </w:tcPr>
          <w:p>
            <w:pPr>
              <w:pStyle w:val="TableContents"/>
              <w:bidi w:val="0"/>
              <w:spacing w:before="0" w:after="0"/>
              <w:ind w:left="0" w:right="0" w:hanging="0"/>
              <w:jc w:val="center"/>
              <w:rPr/>
            </w:pPr>
            <w:r>
              <w:rPr/>
              <w:t> </w:t>
            </w:r>
          </w:p>
        </w:tc>
        <w:tc>
          <w:tcPr>
            <w:tcW w:w="276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Shares Beneficially Owned</w:t>
            </w:r>
          </w:p>
        </w:tc>
        <w:tc>
          <w:tcPr>
            <w:tcW w:w="60" w:type="dxa"/>
            <w:tcBorders/>
            <w:vAlign w:val="center"/>
          </w:tcPr>
          <w:p>
            <w:pPr>
              <w:pStyle w:val="TableContents"/>
              <w:bidi w:val="0"/>
              <w:spacing w:before="0" w:after="0"/>
              <w:ind w:left="0" w:right="0" w:hanging="0"/>
              <w:jc w:val="center"/>
              <w:rPr/>
            </w:pPr>
            <w:r>
              <w:rPr/>
              <w:t> </w:t>
            </w:r>
          </w:p>
        </w:tc>
        <w:tc>
          <w:tcPr>
            <w:tcW w:w="2982"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Percentage of Shares Beneficially Owned</w:t>
            </w:r>
          </w:p>
        </w:tc>
      </w:tr>
      <w:tr>
        <w:trPr/>
        <w:tc>
          <w:tcPr>
            <w:tcW w:w="4339" w:type="dxa"/>
            <w:tcBorders/>
            <w:shd w:fill="CCEEFF" w:val="clear"/>
            <w:vAlign w:val="center"/>
          </w:tcPr>
          <w:p>
            <w:pPr>
              <w:pStyle w:val="TableContents"/>
              <w:bidi w:val="0"/>
              <w:spacing w:before="0" w:after="0"/>
              <w:ind w:left="0" w:right="0" w:hanging="0"/>
              <w:jc w:val="left"/>
              <w:rPr>
                <w:rFonts w:ascii="times new roman;times" w:hAnsi="times new roman;times"/>
                <w:b/>
                <w:i/>
                <w:sz w:val="20"/>
              </w:rPr>
            </w:pPr>
            <w:r>
              <w:rPr>
                <w:rFonts w:ascii="times new roman;times" w:hAnsi="times new roman;times"/>
                <w:b/>
                <w:i/>
                <w:sz w:val="20"/>
              </w:rPr>
              <w:t>Principal Stockholders:</w:t>
            </w:r>
          </w:p>
        </w:tc>
        <w:tc>
          <w:tcPr>
            <w:tcW w:w="60" w:type="dxa"/>
            <w:tcBorders/>
            <w:shd w:fill="CCEEFF" w:val="clear"/>
            <w:vAlign w:val="center"/>
          </w:tcPr>
          <w:p>
            <w:pPr>
              <w:pStyle w:val="TableContents"/>
              <w:bidi w:val="0"/>
              <w:spacing w:before="0" w:after="0"/>
              <w:ind w:left="0" w:right="0" w:hanging="0"/>
              <w:jc w:val="left"/>
              <w:rPr/>
            </w:pPr>
            <w:r>
              <w:rPr/>
              <w:t> </w:t>
            </w:r>
          </w:p>
        </w:tc>
        <w:tc>
          <w:tcPr>
            <w:tcW w:w="2764" w:type="dxa"/>
            <w:tcBorders/>
            <w:shd w:fill="CCEEFF" w:val="clear"/>
            <w:vAlign w:val="center"/>
          </w:tcPr>
          <w:p>
            <w:pPr>
              <w:pStyle w:val="TableContents"/>
              <w:bidi w:val="0"/>
              <w:spacing w:before="0" w:after="0"/>
              <w:ind w:left="0" w:right="538"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11"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left"/>
              <w:rPr/>
            </w:pPr>
            <w:r>
              <w:rPr/>
              <w:t> </w:t>
            </w:r>
          </w:p>
        </w:tc>
      </w:tr>
      <w:tr>
        <w:trPr/>
        <w:tc>
          <w:tcPr>
            <w:tcW w:w="4339" w:type="dxa"/>
            <w:tcBorders/>
            <w:vAlign w:val="center"/>
          </w:tcPr>
          <w:p>
            <w:pPr>
              <w:pStyle w:val="TableContents"/>
              <w:bidi w:val="0"/>
              <w:spacing w:before="0" w:after="0"/>
              <w:ind w:left="0" w:right="0" w:hanging="0"/>
              <w:jc w:val="left"/>
              <w:rPr>
                <w:rFonts w:ascii="times new roman;times" w:hAnsi="times new roman;times"/>
                <w:b/>
                <w:color w:val="000000"/>
                <w:sz w:val="20"/>
              </w:rPr>
            </w:pPr>
            <w:r>
              <w:rPr>
                <w:rFonts w:ascii="times new roman;times" w:hAnsi="times new roman;times"/>
                <w:b/>
                <w:color w:val="000000"/>
                <w:sz w:val="20"/>
              </w:rPr>
              <w:t>AMW Investment Company ,Inc.</w:t>
            </w:r>
            <w:r>
              <w:rPr>
                <w:rFonts w:ascii="times new roman;times" w:hAnsi="times new roman;times"/>
                <w:b/>
                <w:color w:val="000000"/>
                <w:position w:val="5"/>
                <w:sz w:val="13"/>
                <w:sz w:val="16"/>
              </w:rPr>
              <w:t>(1)</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1,785,207</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21.2</w:t>
            </w:r>
          </w:p>
        </w:tc>
        <w:tc>
          <w:tcPr>
            <w:tcW w:w="107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39" w:type="dxa"/>
            <w:tcBorders/>
            <w:shd w:fill="CCEEFF" w:val="clear"/>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Charles S. Theofilos, M.D.</w:t>
            </w:r>
            <w:r>
              <w:rPr>
                <w:rFonts w:ascii="times new roman;times" w:hAnsi="times new roman;times"/>
                <w:b/>
                <w:position w:val="5"/>
                <w:sz w:val="13"/>
                <w:sz w:val="16"/>
              </w:rPr>
              <w:t>(2)</w:t>
            </w:r>
          </w:p>
        </w:tc>
        <w:tc>
          <w:tcPr>
            <w:tcW w:w="60" w:type="dxa"/>
            <w:tcBorders/>
            <w:shd w:fill="CCEEFF" w:val="clear"/>
            <w:vAlign w:val="center"/>
          </w:tcPr>
          <w:p>
            <w:pPr>
              <w:pStyle w:val="TableContents"/>
              <w:bidi w:val="0"/>
              <w:spacing w:before="0" w:after="283"/>
              <w:ind w:left="0" w:right="0" w:hanging="0"/>
              <w:jc w:val="left"/>
              <w:rPr/>
            </w:pPr>
            <w:r>
              <w:rPr/>
            </w:r>
          </w:p>
        </w:tc>
        <w:tc>
          <w:tcPr>
            <w:tcW w:w="27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2,132,843</w:t>
            </w:r>
          </w:p>
        </w:tc>
        <w:tc>
          <w:tcPr>
            <w:tcW w:w="60" w:type="dxa"/>
            <w:tcBorders/>
            <w:shd w:fill="CCEEFF" w:val="clear"/>
            <w:vAlign w:val="center"/>
          </w:tcPr>
          <w:p>
            <w:pPr>
              <w:pStyle w:val="TableContents"/>
              <w:bidi w:val="0"/>
              <w:spacing w:before="0" w:after="283"/>
              <w:jc w:val="left"/>
              <w:rPr/>
            </w:pPr>
            <w:r>
              <w:rPr/>
            </w:r>
          </w:p>
        </w:tc>
        <w:tc>
          <w:tcPr>
            <w:tcW w:w="1911" w:type="dxa"/>
            <w:tcBorders/>
            <w:shd w:fill="CCEEFF" w:val="clear"/>
            <w:vAlign w:val="center"/>
          </w:tcPr>
          <w:p>
            <w:pPr>
              <w:pStyle w:val="TableContents"/>
              <w:bidi w:val="0"/>
              <w:spacing w:before="0" w:after="283"/>
              <w:jc w:val="right"/>
              <w:rPr/>
            </w:pPr>
            <w:r>
              <w:rPr/>
              <w:t>24.4</w:t>
            </w:r>
          </w:p>
        </w:tc>
        <w:tc>
          <w:tcPr>
            <w:tcW w:w="1071"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4339" w:type="dxa"/>
            <w:tcBorders/>
            <w:vAlign w:val="center"/>
          </w:tcPr>
          <w:p>
            <w:pPr>
              <w:pStyle w:val="TableContents"/>
              <w:bidi w:val="0"/>
              <w:spacing w:before="0" w:after="0"/>
              <w:ind w:left="0" w:right="0" w:hanging="0"/>
              <w:jc w:val="left"/>
              <w:rPr>
                <w:rFonts w:ascii="times new roman;times" w:hAnsi="times new roman;times"/>
                <w:b/>
                <w:i/>
                <w:sz w:val="20"/>
              </w:rPr>
            </w:pPr>
            <w:r>
              <w:rPr>
                <w:rFonts w:ascii="times new roman;times" w:hAnsi="times new roman;times"/>
                <w:b/>
                <w:i/>
                <w:sz w:val="20"/>
              </w:rPr>
              <w:t>Named Executive Officers and Directors:</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pPr>
            <w:r>
              <w:rPr/>
              <w:t> </w:t>
            </w:r>
          </w:p>
        </w:tc>
        <w:tc>
          <w:tcPr>
            <w:tcW w:w="1071" w:type="dxa"/>
            <w:tcBorders/>
            <w:vAlign w:val="bottom"/>
          </w:tcPr>
          <w:p>
            <w:pPr>
              <w:pStyle w:val="TableContents"/>
              <w:bidi w:val="0"/>
              <w:spacing w:before="0" w:after="0"/>
              <w:ind w:left="0" w:right="0" w:hanging="0"/>
              <w:jc w:val="left"/>
              <w:rPr/>
            </w:pPr>
            <w:r>
              <w:rPr/>
              <w:t> </w:t>
            </w:r>
          </w:p>
        </w:tc>
      </w:tr>
      <w:tr>
        <w:trPr/>
        <w:tc>
          <w:tcPr>
            <w:tcW w:w="433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F. Peter Cuneo</w:t>
            </w:r>
            <w:r>
              <w:rPr>
                <w:rFonts w:ascii="times new roman;times" w:hAnsi="times new roman;times"/>
                <w:b/>
                <w:position w:val="5"/>
                <w:sz w:val="13"/>
                <w:sz w:val="16"/>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276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124.461</w:t>
            </w:r>
          </w:p>
        </w:tc>
        <w:tc>
          <w:tcPr>
            <w:tcW w:w="60" w:type="dxa"/>
            <w:tcBorders/>
            <w:shd w:fill="CCEEFF" w:val="clear"/>
            <w:vAlign w:val="bottom"/>
          </w:tcPr>
          <w:p>
            <w:pPr>
              <w:pStyle w:val="TableContents"/>
              <w:bidi w:val="0"/>
              <w:spacing w:before="0" w:after="0"/>
              <w:ind w:left="0" w:right="0" w:hanging="0"/>
              <w:jc w:val="left"/>
              <w:rPr/>
            </w:pPr>
            <w:r>
              <w:rPr/>
              <w:t> </w:t>
            </w:r>
          </w:p>
        </w:tc>
        <w:tc>
          <w:tcPr>
            <w:tcW w:w="191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w:t>
            </w:r>
          </w:p>
        </w:tc>
        <w:tc>
          <w:tcPr>
            <w:tcW w:w="107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Thomas J. Errico, M.D.</w:t>
            </w:r>
            <w:r>
              <w:rPr>
                <w:rFonts w:ascii="times new roman;times" w:hAnsi="times new roman;times"/>
                <w:b/>
                <w:position w:val="5"/>
                <w:sz w:val="13"/>
                <w:sz w:val="16"/>
              </w:rPr>
              <w:t>(4)</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314,772</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4.3</w:t>
            </w:r>
          </w:p>
        </w:tc>
        <w:tc>
          <w:tcPr>
            <w:tcW w:w="107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3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John P. Gandolfo</w:t>
            </w:r>
            <w:r>
              <w:rPr>
                <w:rFonts w:ascii="times new roman;times" w:hAnsi="times new roman;times"/>
                <w:b/>
                <w:position w:val="5"/>
                <w:sz w:val="13"/>
                <w:sz w:val="16"/>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276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57,614</w:t>
            </w:r>
          </w:p>
        </w:tc>
        <w:tc>
          <w:tcPr>
            <w:tcW w:w="60" w:type="dxa"/>
            <w:tcBorders/>
            <w:shd w:fill="CCEEFF" w:val="clear"/>
            <w:vAlign w:val="bottom"/>
          </w:tcPr>
          <w:p>
            <w:pPr>
              <w:pStyle w:val="TableContents"/>
              <w:bidi w:val="0"/>
              <w:spacing w:before="0" w:after="0"/>
              <w:ind w:left="0" w:right="0" w:hanging="0"/>
              <w:jc w:val="left"/>
              <w:rPr/>
            </w:pPr>
            <w:r>
              <w:rPr/>
              <w:t> </w:t>
            </w:r>
          </w:p>
        </w:tc>
        <w:tc>
          <w:tcPr>
            <w:tcW w:w="191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71" w:type="dxa"/>
            <w:tcBorders/>
            <w:shd w:fill="CCEEFF" w:val="clear"/>
            <w:vAlign w:val="bottom"/>
          </w:tcPr>
          <w:p>
            <w:pPr>
              <w:pStyle w:val="TableContents"/>
              <w:bidi w:val="0"/>
              <w:spacing w:before="0" w:after="0"/>
              <w:ind w:left="0" w:right="0" w:hanging="0"/>
              <w:jc w:val="left"/>
              <w:rPr/>
            </w:pPr>
            <w:r>
              <w:rPr/>
              <w:t> </w:t>
            </w:r>
          </w:p>
        </w:tc>
      </w:tr>
      <w:tr>
        <w:trPr/>
        <w:tc>
          <w:tcPr>
            <w:tcW w:w="43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Daniel S. Goldberger</w:t>
            </w:r>
            <w:r>
              <w:rPr>
                <w:rFonts w:ascii="times new roman;times" w:hAnsi="times new roman;times"/>
                <w:b/>
                <w:position w:val="5"/>
                <w:sz w:val="13"/>
                <w:sz w:val="16"/>
              </w:rPr>
              <w:t>(6)</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185,979</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2.6</w:t>
            </w:r>
          </w:p>
        </w:tc>
        <w:tc>
          <w:tcPr>
            <w:tcW w:w="107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3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Julie A. Goldstein</w:t>
            </w:r>
            <w:r>
              <w:rPr>
                <w:rFonts w:ascii="times new roman;times" w:hAnsi="times new roman;times"/>
                <w:b/>
                <w:position w:val="5"/>
                <w:sz w:val="13"/>
                <w:sz w:val="16"/>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276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137,204</w:t>
            </w:r>
          </w:p>
        </w:tc>
        <w:tc>
          <w:tcPr>
            <w:tcW w:w="60" w:type="dxa"/>
            <w:tcBorders/>
            <w:shd w:fill="CCEEFF" w:val="clear"/>
            <w:vAlign w:val="bottom"/>
          </w:tcPr>
          <w:p>
            <w:pPr>
              <w:pStyle w:val="TableContents"/>
              <w:bidi w:val="0"/>
              <w:spacing w:before="0" w:after="0"/>
              <w:ind w:left="0" w:right="0" w:hanging="0"/>
              <w:jc w:val="left"/>
              <w:rPr/>
            </w:pPr>
            <w:r>
              <w:rPr/>
              <w:t> </w:t>
            </w:r>
          </w:p>
        </w:tc>
        <w:tc>
          <w:tcPr>
            <w:tcW w:w="191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w:t>
            </w:r>
          </w:p>
        </w:tc>
        <w:tc>
          <w:tcPr>
            <w:tcW w:w="107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w:t>
            </w:r>
          </w:p>
        </w:tc>
      </w:tr>
      <w:tr>
        <w:trPr/>
        <w:tc>
          <w:tcPr>
            <w:tcW w:w="43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Thomas M. Patton</w:t>
            </w:r>
            <w:r>
              <w:rPr>
                <w:rFonts w:ascii="times new roman;times" w:hAnsi="times new roman;times"/>
                <w:b/>
                <w:position w:val="5"/>
                <w:sz w:val="13"/>
                <w:sz w:val="16"/>
              </w:rPr>
              <w:t>(8)</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bidi w:val="0"/>
              <w:spacing w:before="0" w:after="0"/>
              <w:jc w:val="right"/>
              <w:rPr>
                <w:rFonts w:ascii="times new roman;times" w:hAnsi="times new roman;times"/>
                <w:sz w:val="20"/>
              </w:rPr>
            </w:pPr>
            <w:r>
              <w:rPr>
                <w:rFonts w:ascii="times new roman;times" w:hAnsi="times new roman;times"/>
                <w:sz w:val="20"/>
              </w:rPr>
              <w:t>83,472</w:t>
            </w:r>
          </w:p>
        </w:tc>
        <w:tc>
          <w:tcPr>
            <w:tcW w:w="60" w:type="dxa"/>
            <w:tcBorders/>
            <w:vAlign w:val="bottom"/>
          </w:tcPr>
          <w:p>
            <w:pPr>
              <w:pStyle w:val="TableContents"/>
              <w:bidi w:val="0"/>
              <w:spacing w:before="0" w:after="283"/>
              <w:jc w:val="left"/>
              <w:rPr/>
            </w:pPr>
            <w:r>
              <w:rPr/>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w:t>
            </w:r>
          </w:p>
        </w:tc>
        <w:tc>
          <w:tcPr>
            <w:tcW w:w="107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39" w:type="dxa"/>
            <w:tcBorders/>
            <w:shd w:fill="CCEEFF" w:val="clear"/>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Joshua S. Lev</w:t>
            </w:r>
            <w:r>
              <w:rPr>
                <w:rFonts w:ascii="times new roman;times" w:hAnsi="times new roman;times"/>
                <w:b/>
                <w:position w:val="5"/>
                <w:sz w:val="13"/>
                <w:sz w:val="16"/>
              </w:rPr>
              <w:t>(9)</w:t>
            </w:r>
          </w:p>
        </w:tc>
        <w:tc>
          <w:tcPr>
            <w:tcW w:w="60" w:type="dxa"/>
            <w:tcBorders/>
            <w:shd w:fill="CCEEFF" w:val="clear"/>
            <w:vAlign w:val="center"/>
          </w:tcPr>
          <w:p>
            <w:pPr>
              <w:pStyle w:val="TableContents"/>
              <w:bidi w:val="0"/>
              <w:spacing w:before="0" w:after="283"/>
              <w:ind w:left="0" w:right="0" w:hanging="0"/>
              <w:jc w:val="left"/>
              <w:rPr/>
            </w:pPr>
            <w:r>
              <w:rPr/>
            </w:r>
          </w:p>
        </w:tc>
        <w:tc>
          <w:tcPr>
            <w:tcW w:w="2764" w:type="dxa"/>
            <w:tcBorders/>
            <w:shd w:fill="CCEEFF" w:val="clear"/>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18,999</w:t>
            </w:r>
          </w:p>
        </w:tc>
        <w:tc>
          <w:tcPr>
            <w:tcW w:w="60" w:type="dxa"/>
            <w:tcBorders/>
            <w:shd w:fill="CCEEFF" w:val="clear"/>
            <w:vAlign w:val="center"/>
          </w:tcPr>
          <w:p>
            <w:pPr>
              <w:pStyle w:val="TableContents"/>
              <w:bidi w:val="0"/>
              <w:spacing w:before="0" w:after="283"/>
              <w:jc w:val="left"/>
              <w:rPr/>
            </w:pPr>
            <w:r>
              <w:rPr/>
            </w:r>
          </w:p>
        </w:tc>
        <w:tc>
          <w:tcPr>
            <w:tcW w:w="1911"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w:t>
            </w:r>
          </w:p>
        </w:tc>
        <w:tc>
          <w:tcPr>
            <w:tcW w:w="1071" w:type="dxa"/>
            <w:tcBorders/>
            <w:shd w:fill="CCEEFF" w:val="clear"/>
            <w:vAlign w:val="center"/>
          </w:tcPr>
          <w:p>
            <w:pPr>
              <w:pStyle w:val="TableContents"/>
              <w:bidi w:val="0"/>
              <w:spacing w:before="0" w:after="283"/>
              <w:jc w:val="left"/>
              <w:rPr/>
            </w:pPr>
            <w:r>
              <w:rPr/>
            </w:r>
          </w:p>
        </w:tc>
      </w:tr>
      <w:tr>
        <w:trPr/>
        <w:tc>
          <w:tcPr>
            <w:tcW w:w="43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Brian M. Posner</w:t>
            </w:r>
            <w:r>
              <w:rPr>
                <w:rFonts w:ascii="times new roman;times" w:hAnsi="times new roman;times"/>
                <w:b/>
                <w:position w:val="5"/>
                <w:sz w:val="13"/>
                <w:sz w:val="16"/>
              </w:rPr>
              <w:t>(10)</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13,333</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71" w:type="dxa"/>
            <w:tcBorders/>
            <w:vAlign w:val="bottom"/>
          </w:tcPr>
          <w:p>
            <w:pPr>
              <w:pStyle w:val="TableContents"/>
              <w:bidi w:val="0"/>
              <w:spacing w:before="0" w:after="0"/>
              <w:ind w:left="0" w:right="0" w:hanging="0"/>
              <w:jc w:val="left"/>
              <w:rPr/>
            </w:pPr>
            <w:r>
              <w:rPr/>
              <w:t> </w:t>
            </w:r>
          </w:p>
        </w:tc>
      </w:tr>
      <w:tr>
        <w:trPr/>
        <w:tc>
          <w:tcPr>
            <w:tcW w:w="433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Patricia Wilber</w:t>
            </w:r>
            <w:r>
              <w:rPr>
                <w:rFonts w:ascii="times new roman;times" w:hAnsi="times new roman;times"/>
                <w:b/>
                <w:position w:val="5"/>
                <w:sz w:val="13"/>
                <w:sz w:val="16"/>
              </w:rPr>
              <w:t>(11)</w:t>
            </w:r>
          </w:p>
        </w:tc>
        <w:tc>
          <w:tcPr>
            <w:tcW w:w="60" w:type="dxa"/>
            <w:tcBorders/>
            <w:shd w:fill="CCEEFF" w:val="clear"/>
            <w:vAlign w:val="center"/>
          </w:tcPr>
          <w:p>
            <w:pPr>
              <w:pStyle w:val="TableContents"/>
              <w:bidi w:val="0"/>
              <w:spacing w:before="0" w:after="0"/>
              <w:ind w:left="0" w:right="0" w:hanging="0"/>
              <w:jc w:val="left"/>
              <w:rPr/>
            </w:pPr>
            <w:r>
              <w:rPr/>
              <w:t> </w:t>
            </w:r>
          </w:p>
        </w:tc>
        <w:tc>
          <w:tcPr>
            <w:tcW w:w="276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48,768</w:t>
            </w:r>
          </w:p>
        </w:tc>
        <w:tc>
          <w:tcPr>
            <w:tcW w:w="60" w:type="dxa"/>
            <w:tcBorders/>
            <w:shd w:fill="CCEEFF" w:val="clear"/>
            <w:vAlign w:val="bottom"/>
          </w:tcPr>
          <w:p>
            <w:pPr>
              <w:pStyle w:val="TableContents"/>
              <w:bidi w:val="0"/>
              <w:spacing w:before="0" w:after="0"/>
              <w:ind w:left="0" w:right="0" w:hanging="0"/>
              <w:jc w:val="left"/>
              <w:rPr/>
            </w:pPr>
            <w:r>
              <w:rPr/>
              <w:t> </w:t>
            </w:r>
          </w:p>
        </w:tc>
        <w:tc>
          <w:tcPr>
            <w:tcW w:w="191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71" w:type="dxa"/>
            <w:tcBorders/>
            <w:shd w:fill="CCEEFF" w:val="clear"/>
            <w:vAlign w:val="bottom"/>
          </w:tcPr>
          <w:p>
            <w:pPr>
              <w:pStyle w:val="TableContents"/>
              <w:bidi w:val="0"/>
              <w:spacing w:before="0" w:after="0"/>
              <w:ind w:left="0" w:right="0" w:hanging="0"/>
              <w:jc w:val="left"/>
              <w:rPr/>
            </w:pPr>
            <w:r>
              <w:rPr/>
              <w:t> </w:t>
            </w:r>
          </w:p>
        </w:tc>
      </w:tr>
      <w:tr>
        <w:trPr/>
        <w:tc>
          <w:tcPr>
            <w:tcW w:w="43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Directors and named executive officers as a group (9</w:t>
            </w:r>
            <w:r>
              <w:rPr>
                <w:rFonts w:ascii="times new roman;times" w:hAnsi="times new roman;times"/>
                <w:sz w:val="20"/>
              </w:rPr>
              <w:t> </w:t>
            </w:r>
            <w:r>
              <w:rPr>
                <w:rFonts w:ascii="times new roman;times" w:hAnsi="times new roman;times"/>
                <w:b/>
                <w:sz w:val="20"/>
              </w:rPr>
              <w:t>persons)</w:t>
            </w:r>
          </w:p>
        </w:tc>
        <w:tc>
          <w:tcPr>
            <w:tcW w:w="60" w:type="dxa"/>
            <w:tcBorders/>
            <w:vAlign w:val="center"/>
          </w:tcPr>
          <w:p>
            <w:pPr>
              <w:pStyle w:val="TableContents"/>
              <w:bidi w:val="0"/>
              <w:spacing w:before="0" w:after="0"/>
              <w:ind w:left="0" w:right="0" w:hanging="0"/>
              <w:jc w:val="left"/>
              <w:rPr/>
            </w:pPr>
            <w:r>
              <w:rPr/>
              <w:t> </w:t>
            </w:r>
          </w:p>
        </w:tc>
        <w:tc>
          <w:tcPr>
            <w:tcW w:w="2764" w:type="dxa"/>
            <w:tcBorders/>
            <w:vAlign w:val="bottom"/>
          </w:tcPr>
          <w:p>
            <w:pPr>
              <w:pStyle w:val="TableContents"/>
              <w:pBdr/>
              <w:bidi w:val="0"/>
              <w:spacing w:before="0" w:after="0"/>
              <w:ind w:left="0" w:right="0" w:hanging="0"/>
              <w:jc w:val="right"/>
              <w:rPr/>
            </w:pPr>
            <w:r>
              <w:rPr/>
              <w:t>984,602</w:t>
            </w:r>
          </w:p>
        </w:tc>
        <w:tc>
          <w:tcPr>
            <w:tcW w:w="60" w:type="dxa"/>
            <w:tcBorders/>
            <w:vAlign w:val="bottom"/>
          </w:tcPr>
          <w:p>
            <w:pPr>
              <w:pStyle w:val="TableContents"/>
              <w:bidi w:val="0"/>
              <w:spacing w:before="0" w:after="0"/>
              <w:ind w:left="0" w:right="0" w:hanging="0"/>
              <w:jc w:val="left"/>
              <w:rPr/>
            </w:pPr>
            <w:r>
              <w:rPr/>
              <w:t> </w:t>
            </w:r>
          </w:p>
        </w:tc>
        <w:tc>
          <w:tcPr>
            <w:tcW w:w="191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12.8</w:t>
            </w:r>
          </w:p>
        </w:tc>
        <w:tc>
          <w:tcPr>
            <w:tcW w:w="107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100" w:after="240"/>
        <w:ind w:left="0" w:right="0" w:hanging="0"/>
        <w:jc w:val="left"/>
        <w:rPr>
          <w:rFonts w:ascii="times new roman;times" w:hAnsi="times new roman;times"/>
          <w:sz w:val="20"/>
        </w:rPr>
      </w:pPr>
      <w:r>
        <w:rPr>
          <w:rFonts w:ascii="times new roman;times" w:hAnsi="times new roman;times"/>
          <w:sz w:val="20"/>
        </w:rPr>
        <w:t>*Denotes less than one percent.</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333"/>
        <w:gridCol w:w="9872"/>
      </w:tblGrid>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w:t>
            </w:r>
          </w:p>
        </w:tc>
        <w:tc>
          <w:tcPr>
            <w:tcW w:w="9872" w:type="dxa"/>
            <w:tcBorders/>
          </w:tcPr>
          <w:p>
            <w:pPr>
              <w:pStyle w:val="TableContents"/>
              <w:widowControl/>
              <w:bidi w:val="0"/>
              <w:spacing w:before="0" w:after="0"/>
              <w:ind w:left="0" w:right="0" w:hanging="0"/>
              <w:jc w:val="left"/>
              <w:rPr>
                <w:rFonts w:ascii="times new roman;times" w:hAnsi="times new roman;times"/>
                <w:b w:val="false"/>
                <w:sz w:val="20"/>
              </w:rPr>
            </w:pPr>
            <w:r>
              <w:rPr>
                <w:rFonts w:ascii="times new roman;times" w:hAnsi="times new roman;times"/>
                <w:b w:val="false"/>
                <w:color w:val="000000"/>
                <w:sz w:val="20"/>
              </w:rPr>
              <w:t>Based on a Schedule 13G/A filed with the SEC on February 14, 2024. Represents 550,364 shares of common stock beneficially owned by AWM Investment Company, Inc., a Delaware corporation (“AWM”), as the investment adviser to Special Situations Cayman Fund, L.P., a Cayman Islands Limited Partnership (“Cayman”), and Special Situations Fund III QP, L.P., a Delaware limited partnership (“SSFQP” and, together with Cayman, SSFQP and the “AWM Funds”). David M. Greenhouse and Adam C. Stettner are the principal owners of AWM. Through their control of AWM, Messrs. Greenhouse and Stettner share voting and investment control over the portfolio securities of each of the AWM Funds. Includes 550,364 shares of common stock. The amounts exclude an additional 896,600 shares of common stock underlying warrants consisting of (i) 396,600 common stock warrants with a 9.99% beneficial ownership limitation and (ii) 500,000 prefunded warrants with a 9.99% beneficial ownership limitation. The amounts set forth in the table above give effect to such beneficial ownership limitations. The address for AWM is c/o Special Situations Funds, 527 Madison Avenue, Suite 2600, New York, New York, 10022.</w:t>
            </w:r>
            <w:r>
              <w:rPr>
                <w:rFonts w:ascii="times new roman;times" w:hAnsi="times new roman;times"/>
                <w:b w:val="false"/>
                <w:sz w:val="20"/>
              </w:rPr>
              <w:t xml:space="preserve"> </w:t>
            </w:r>
          </w:p>
        </w:tc>
      </w:tr>
      <w:tr>
        <w:trPr/>
        <w:tc>
          <w:tcPr>
            <w:tcW w:w="333"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2.</w:t>
            </w:r>
          </w:p>
        </w:tc>
        <w:tc>
          <w:tcPr>
            <w:tcW w:w="9872"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Based on a Schedule 13D/A filed with the SEC on June 7, 2024</w:t>
            </w:r>
            <w:r>
              <w:rPr>
                <w:rFonts w:ascii="times new roman;times" w:hAnsi="times new roman;times"/>
                <w:sz w:val="20"/>
              </w:rPr>
              <w:t>, as supplemented by the Company’s records</w:t>
            </w:r>
            <w:r>
              <w:rPr>
                <w:rFonts w:ascii="times new roman;times" w:hAnsi="times new roman;times"/>
                <w:sz w:val="20"/>
              </w:rPr>
              <w:t xml:space="preserve">. Represents </w:t>
            </w:r>
            <w:r>
              <w:rPr>
                <w:rFonts w:ascii="times new roman;times" w:hAnsi="times new roman;times"/>
                <w:color w:val="000000"/>
                <w:sz w:val="20"/>
              </w:rPr>
              <w:t>418,713</w:t>
            </w:r>
            <w:r>
              <w:rPr>
                <w:rFonts w:ascii="times new roman;times" w:hAnsi="times new roman;times"/>
                <w:sz w:val="20"/>
              </w:rPr>
              <w:t xml:space="preserve"> shares of common stock beneficially owned by Dr. Theofilos. Includes (i) 326,437 shares of common stock held by Dr. Theofilos directly pursuant to a self-directed IRA; (ii) 6,303 shares of common stock that have been issued to Dr. Theofilos upon the vesting of deferred stock units; and (iii) 85,973 shares of common stock held in a joint account by Dr. Theofilos and Kathryn Theofilos, his spouse. Based solely on a Schedule 13D/A filed with the SEC on June 7, 2024, 317,302 shares of common stock are beneficially owned by Kathryn Theofilos, Dr. Theofilos’ spouse.  Includes (i) 8,556 shares of common stock held by Mrs. Theofilos directly; (ii) 85,973 shares of common stock held in a joint account by Mrs. Theofilos and Dr. Theofilos; (iii) 153,168 shares of common stock held by Happy Holstein, LLLP, of which Happy Holstein Management, LLC is the general partner, of which Mrs. Theofilos is the manager; (iv) 790 shares of common stock held by MCKT, LLC, of which Mrs. Theofilos is the manager; (v) 6,142 shares of common stock held by Dr. and Mrs. Theofilos’s adult children, over which Mrs. Theofilos shares voting and dispositive power; and (vi) 62,673 shares of common stock for which warrants held by Happy Holstein Management, LLC are exercisable within the next 60 days. Based solely on a Schedule 13D/A filed with the SEC on June 7, 2024, 215,841 shares of common stock are beneficially owned by Happy Holstein Management, LLC. Includes (i) 153,168 shares of common stock held by Happy Holstein, LLLP, of which Happy Holstein Management, LLC is the general partner; and (ii) 62,673 shares of common stock for which warrants held by Happy Holstein Management, LLC are exercisable within the next 60 days. The address for Dr. Theofilos is 300 Village Square Crossing, Suite 102, Palm Beach Gardens, FL 33410. </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3.</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5,665 shares of common stock, 113,132 options, 2,832 warrants to purchase shares of common stock, 113,132 options to purchase common stock and 2,832 restricted stock units.</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4.</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 xml:space="preserve">Represents 215,267 shares of common stock held directly by Dr. Errico; 1,296 shares of common stock held directly by a trust for the benefit of Dr. Errico’s family members; and 42,463 options to purchase shares of common stock, 13,691 deferred stock units, and 42,055 warrants to purchase shares of common stock held directly by Dr. Errico. </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5.</w:t>
            </w:r>
          </w:p>
        </w:tc>
        <w:tc>
          <w:tcPr>
            <w:tcW w:w="9872" w:type="dxa"/>
            <w:tcBorders/>
          </w:tcPr>
          <w:p>
            <w:pPr>
              <w:pStyle w:val="TableContents"/>
              <w:bidi w:val="0"/>
              <w:spacing w:before="0" w:after="283"/>
              <w:jc w:val="left"/>
              <w:rPr>
                <w:color w:val="000000"/>
              </w:rPr>
            </w:pPr>
            <w:r>
              <w:rPr>
                <w:color w:val="000000"/>
              </w:rPr>
              <w:t> </w:t>
            </w:r>
            <w:r>
              <w:rPr>
                <w:rFonts w:ascii="times new roman;times" w:hAnsi="times new roman;times"/>
                <w:color w:val="000000"/>
                <w:sz w:val="20"/>
              </w:rPr>
              <w:t>Represents 2,266 shares of common stock and 55,348 deferred stock units.</w:t>
            </w:r>
          </w:p>
        </w:tc>
      </w:tr>
      <w:tr>
        <w:trPr/>
        <w:tc>
          <w:tcPr>
            <w:tcW w:w="333"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141,232 shares of common stock and 44,747 warrants to purchase shares of common stock.</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7.</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72,376 shares of common stock, 34,258 options to purchase common stock, 9,723 deferred stock units and 20,847 warrants to purchase shares of common stock.</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8.</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31,717 shares of common stock, 42,381 deferred stock units, and 9,374 warrants to purchase common stock.</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9.</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13,333 options to purchase shares of common stock, and 5,666 restricted stock units.</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10.</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13,333 options to purchase shares of common stock.</w:t>
            </w:r>
          </w:p>
        </w:tc>
      </w:tr>
      <w:tr>
        <w:trPr/>
        <w:tc>
          <w:tcPr>
            <w:tcW w:w="333"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11.</w:t>
            </w:r>
          </w:p>
        </w:tc>
        <w:tc>
          <w:tcPr>
            <w:tcW w:w="987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Represents 35,342 shares of common stock and 13,426 restricted stock units.</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pPr>
      <w:r>
        <w:rPr>
          <w:rFonts w:ascii="times new roman;times" w:hAnsi="times new roman;times"/>
          <w:b/>
          <w:sz w:val="20"/>
        </w:rPr>
        <w:t xml:space="preserve">Item 13. </w:t>
      </w:r>
      <w:hyperlink w:anchor="TOC">
        <w:bookmarkStart w:id="69" w:name="Bi13_231202414328481"/>
        <w:bookmarkEnd w:id="69"/>
        <w:r>
          <w:rPr>
            <w:rStyle w:val="InternetLink"/>
            <w:rFonts w:ascii="times new roman;times" w:hAnsi="times new roman;times"/>
            <w:b/>
            <w:strike w:val="false"/>
            <w:dstrike w:val="false"/>
            <w:color w:val="000000"/>
            <w:sz w:val="20"/>
            <w:u w:val="none"/>
            <w:effect w:val="none"/>
          </w:rPr>
          <w:t>Certain Relationships and Related Transactions, and Director Independence</w:t>
        </w:r>
      </w:hyperlink>
    </w:p>
    <w:p>
      <w:pPr>
        <w:pStyle w:val="TextBody"/>
        <w:bidi w:val="0"/>
        <w:spacing w:lineRule="auto" w:line="288" w:before="0" w:after="240"/>
        <w:ind w:left="0" w:right="0" w:hanging="0"/>
        <w:jc w:val="left"/>
        <w:rPr>
          <w:rFonts w:ascii="times new roman;times" w:hAnsi="times new roman;times"/>
          <w:b/>
          <w:sz w:val="20"/>
        </w:rPr>
      </w:pPr>
      <w:r>
        <w:rPr>
          <w:rFonts w:ascii="times new roman;times" w:hAnsi="times new roman;times"/>
          <w:b/>
          <w:sz w:val="20"/>
        </w:rPr>
        <w:t>Independence Of The Board Of Directors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common stock is listed on the Nasdaq Capital Market. Under Nasdaq rules, independent directors must comprise a majority of our board of directors.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The Board has undertaken a review of the independence of each director and considered whether each director has a material relationship with us that could compromise his or her ability to exercise independent judgment in carrying out his responsibilities. As a result of this review, the Board has determined that each of our directors other than Daniel S. Goldberger, our CEO, are “independent directors” as defined under the applicable rules and regulations of the SEC and the listing requirements and rules of Nasdaq. In making these determinations, the Board has reviewed and discussed information provided by the directors and us with regard to each director’s business and personal activities and relationships as they may relate to us and its management, including the beneficial ownership of Company capital stock by each non-employee director, any relevant family relationships, and transactions involving directors, including those described in the section entitled “Certain Related Party Transactions.” </w:t>
      </w:r>
    </w:p>
    <w:p>
      <w:pPr>
        <w:pStyle w:val="TextBody"/>
        <w:bidi w:val="0"/>
        <w:spacing w:lineRule="auto" w:line="288" w:before="0" w:after="240"/>
        <w:ind w:left="0" w:right="0" w:hanging="0"/>
        <w:jc w:val="left"/>
        <w:rPr>
          <w:rFonts w:ascii="times new roman;times" w:hAnsi="times new roman;times"/>
          <w:b/>
          <w:color w:val="000000"/>
          <w:sz w:val="20"/>
        </w:rPr>
      </w:pPr>
      <w:r>
        <w:rPr>
          <w:rFonts w:ascii="times new roman;times" w:hAnsi="times new roman;times"/>
          <w:b/>
          <w:color w:val="000000"/>
          <w:sz w:val="20"/>
        </w:rPr>
        <w:t>Related-Person Transactions Policy And Procedures</w:t>
      </w:r>
    </w:p>
    <w:p>
      <w:pPr>
        <w:pStyle w:val="TextBody"/>
        <w:bidi w:val="0"/>
        <w:spacing w:lineRule="auto" w:line="288" w:before="0" w:after="240"/>
        <w:ind w:left="0" w:right="0" w:hanging="0"/>
        <w:jc w:val="left"/>
        <w:rPr>
          <w:rFonts w:ascii="times new roman;times" w:hAnsi="times new roman;times"/>
          <w:color w:val="000000"/>
          <w:sz w:val="20"/>
        </w:rPr>
      </w:pPr>
      <w:r>
        <w:rPr>
          <w:rFonts w:ascii="times new roman;times" w:hAnsi="times new roman;times"/>
          <w:color w:val="000000"/>
          <w:sz w:val="20"/>
        </w:rPr>
        <w:t>We have adopted a written Related Party Transaction Policy that set forth its procedures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bidi w:val="0"/>
        <w:spacing w:lineRule="auto" w:line="288" w:before="0" w:after="240"/>
        <w:ind w:left="0" w:right="0" w:hanging="0"/>
        <w:jc w:val="left"/>
        <w:rPr>
          <w:rFonts w:ascii="times new roman;times" w:hAnsi="times new roman;times"/>
          <w:color w:val="000000"/>
          <w:sz w:val="20"/>
        </w:rPr>
      </w:pPr>
      <w:r>
        <w:rPr>
          <w:rFonts w:ascii="times new roman;times" w:hAnsi="times new roman;times"/>
          <w:color w:val="000000"/>
          <w:sz w:val="20"/>
        </w:rPr>
        <w:t>Under the policy, related person transactions with the scope of the policy must be reviewed and approved by our audit committee.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color w:val="000000"/>
          <w:sz w:val="20"/>
        </w:rPr>
        <w:t>In considering related person transactions, our audit committee will take into account the relevant available facts and circumstances including, but not limited to:</w:t>
      </w:r>
      <w:r>
        <w:rPr>
          <w:rFonts w:ascii="times new roman;times" w:hAnsi="times new roman;times"/>
          <w:sz w:val="20"/>
        </w:rPr>
        <w:t xml:space="preserve"> </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related person's interest in the related person transaction;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the approximate dollar value of the amount involved in the related person transaction;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the approximate dollar value of the amount of the related person's interest in the transaction without regard to the amount of any profit or loss;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whether the transaction was undertaken in the ordinary course of business;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whether the transaction with the related person is proposed to be, or was, entered into on terms no less favorable to us than terms that could have been reached with an unrelated third party;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the purpose of, and the potential benefits to us of, the transaction;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any other information regarding the related person transaction or the related person in the context of the proposed transaction that would be material to investors in light of the circumstances of the particular transaction. </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our best interests. The review, approval or ratification of a transaction, arrangement or relationship pursuant to the Related Party Transaction Policy does not necessarily imply that such transaction, arrangement or relationship is required to be disclosed under Item 404(a) of Regulation S-K promulgated by the SEC.</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119</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64" w:before="0" w:after="0"/>
        <w:ind w:left="0" w:right="0" w:hanging="0"/>
        <w:jc w:val="left"/>
        <w:rPr>
          <w:color w:val="000000"/>
        </w:rPr>
      </w:pPr>
      <w:r>
        <w:rPr>
          <w:color w:val="000000"/>
        </w:rPr>
        <w:t> </w:t>
      </w:r>
    </w:p>
    <w:p>
      <w:pPr>
        <w:pStyle w:val="TextBody"/>
        <w:bidi w:val="0"/>
        <w:spacing w:lineRule="auto" w:line="264" w:before="0" w:after="0"/>
        <w:ind w:left="0" w:right="0" w:hanging="0"/>
        <w:jc w:val="left"/>
        <w:rPr>
          <w:rFonts w:ascii="times new roman;times" w:hAnsi="times new roman;times"/>
          <w:b/>
          <w:color w:val="000000"/>
          <w:sz w:val="20"/>
        </w:rPr>
      </w:pPr>
      <w:r>
        <w:rPr>
          <w:rFonts w:ascii="times new roman;times" w:hAnsi="times new roman;times"/>
          <w:b/>
          <w:color w:val="000000"/>
          <w:sz w:val="20"/>
        </w:rPr>
        <w:t>Insider Trading Policy and Employee, Officer and Director Hedging</w:t>
      </w:r>
    </w:p>
    <w:p>
      <w:pPr>
        <w:pStyle w:val="TextBody"/>
        <w:bidi w:val="0"/>
        <w:spacing w:lineRule="auto" w:line="264" w:before="0" w:after="0"/>
        <w:ind w:left="0" w:right="0" w:hanging="0"/>
        <w:jc w:val="left"/>
        <w:rPr>
          <w:color w:val="000000"/>
        </w:rPr>
      </w:pPr>
      <w:r>
        <w:rPr>
          <w:color w:val="000000"/>
        </w:rPr>
        <w:t> </w:t>
      </w:r>
    </w:p>
    <w:p>
      <w:pPr>
        <w:pStyle w:val="TextBody"/>
        <w:bidi w:val="0"/>
        <w:spacing w:lineRule="atLeast" w:line="220"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adopted a written insider trading policy governing the purchase, sale, and/or other dispositions of our securities by directors, officers and employees, which the Company believes is reasonably designed to promote compliance with insider trading laws, rules and regulations, and applicable Nasdaq listing standards. The insider trading policy prohibits subject individuals from purchasing financial instruments (including prepaid variable forward contracts, equity swaps, collars and exchange funds) that are designed to hedge or offset any decrease in the market value of our securities.</w:t>
      </w:r>
    </w:p>
    <w:p>
      <w:pPr>
        <w:pStyle w:val="TextBody"/>
        <w:bidi w:val="0"/>
        <w:spacing w:lineRule="atLeast" w:line="220" w:before="0" w:after="0"/>
        <w:ind w:left="0" w:right="0" w:hanging="0"/>
        <w:jc w:val="both"/>
        <w:rPr/>
      </w:pPr>
      <w:r>
        <w:rPr/>
        <w:t> </w:t>
      </w:r>
    </w:p>
    <w:p>
      <w:pPr>
        <w:pStyle w:val="TextBody"/>
        <w:bidi w:val="0"/>
        <w:spacing w:lineRule="atLeast" w:line="220" w:before="0" w:after="0"/>
        <w:ind w:left="0" w:right="0" w:hanging="0"/>
        <w:jc w:val="both"/>
        <w:rPr>
          <w:rFonts w:ascii="times new roman;times" w:hAnsi="times new roman;times"/>
          <w:color w:val="000000"/>
          <w:sz w:val="20"/>
        </w:rPr>
      </w:pPr>
      <w:r>
        <w:rPr>
          <w:rFonts w:ascii="times new roman;times" w:hAnsi="times new roman;times"/>
          <w:color w:val="000000"/>
          <w:sz w:val="20"/>
        </w:rPr>
        <w:t>A copy of our insider trading policy (including our guidelines regarding 10b5-1 trading plans) is filed as Exhibit 19.1 to this Annual Report.</w:t>
      </w:r>
    </w:p>
    <w:p>
      <w:pPr>
        <w:pStyle w:val="TextBody"/>
        <w:bidi w:val="0"/>
        <w:spacing w:lineRule="auto" w:line="264"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64" w:before="0" w:after="0"/>
        <w:ind w:left="0" w:right="0" w:hanging="0"/>
        <w:jc w:val="both"/>
        <w:rPr>
          <w:rFonts w:ascii="times new roman;times" w:hAnsi="times new roman;times"/>
          <w:b/>
          <w:sz w:val="20"/>
        </w:rPr>
      </w:pPr>
      <w:r>
        <w:rPr>
          <w:rFonts w:ascii="times new roman;times" w:hAnsi="times new roman;times"/>
          <w:b/>
          <w:sz w:val="20"/>
        </w:rPr>
        <w:t>Certain Related Party Transactions</w:t>
      </w:r>
    </w:p>
    <w:p>
      <w:pPr>
        <w:pStyle w:val="TextBody"/>
        <w:bidi w:val="0"/>
        <w:spacing w:lineRule="auto" w:line="264" w:before="0" w:after="0"/>
        <w:ind w:left="0" w:right="0" w:hanging="0"/>
        <w:jc w:val="both"/>
        <w:rPr/>
      </w:pPr>
      <w:r>
        <w:rPr/>
      </w:r>
    </w:p>
    <w:p>
      <w:pPr>
        <w:pStyle w:val="TextBody"/>
        <w:bidi w:val="0"/>
        <w:spacing w:lineRule="auto" w:line="264" w:before="0" w:after="0"/>
        <w:ind w:left="0" w:right="0" w:hanging="0"/>
        <w:jc w:val="left"/>
        <w:rPr>
          <w:rFonts w:ascii="times new roman;times" w:hAnsi="times new roman;times"/>
          <w:sz w:val="20"/>
        </w:rPr>
      </w:pPr>
      <w:r>
        <w:rPr>
          <w:rFonts w:ascii="times new roman;times" w:hAnsi="times new roman;times"/>
          <w:sz w:val="20"/>
        </w:rPr>
        <w:t>Except for the transactions described in this section, there have been no transactions since January 1, 2024 involving an amount in excess of $120,000 to which we have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bidi w:val="0"/>
        <w:spacing w:lineRule="auto" w:line="264" w:before="0" w:after="0"/>
        <w:ind w:left="0" w:right="0" w:hanging="0"/>
        <w:jc w:val="both"/>
        <w:rPr/>
      </w:pPr>
      <w:r>
        <w:rPr/>
      </w:r>
    </w:p>
    <w:p>
      <w:pPr>
        <w:pStyle w:val="TextBody"/>
        <w:bidi w:val="0"/>
        <w:spacing w:lineRule="auto" w:line="264" w:before="0" w:after="0"/>
        <w:ind w:left="0" w:right="0" w:hanging="0"/>
        <w:jc w:val="left"/>
        <w:rPr>
          <w:rFonts w:ascii="times new roman;times" w:hAnsi="times new roman;times"/>
          <w:sz w:val="20"/>
        </w:rPr>
      </w:pPr>
      <w:r>
        <w:rPr>
          <w:rFonts w:ascii="times new roman;times" w:hAnsi="times new roman;times"/>
          <w:sz w:val="20"/>
        </w:rPr>
        <w:t>On May 22, 2023, Joseph P. Errico, a former director who resigned from the Board on such date, entered into an amendment to his Consulting Agreement with us (the “Consulting Agreement”), pursuant to which Mr. Errico will serve as Science and Strategic Advisor to us providing certain consulting and advisory services to our CEO for a three-year term. In consideration for such services, Mr. Errico receives $10,000 per calendar month for up to 20 hours per a month plus hourly or per diem fees for any additional services. The Consulting Agreement contains additional customary provisions, and sets forth a framework pursuant to which Mr. Errico may attend regularly scheduled meetings of the Board in a non-voting, observer capacity through May 22, 2024. In 2024 Mr. Errico received $97,315 under his consulting agreement.</w:t>
      </w:r>
    </w:p>
    <w:p>
      <w:pPr>
        <w:pStyle w:val="TextBody"/>
        <w:bidi w:val="0"/>
        <w:spacing w:lineRule="atLeast" w:line="220" w:before="0" w:after="0"/>
        <w:ind w:left="0" w:right="0" w:hanging="0"/>
        <w:jc w:val="both"/>
        <w:rPr/>
      </w:pPr>
      <w:r>
        <w:rPr/>
        <w:t> </w:t>
      </w:r>
    </w:p>
    <w:p>
      <w:pPr>
        <w:pStyle w:val="TextBody"/>
        <w:bidi w:val="0"/>
        <w:spacing w:lineRule="atLeast" w:line="220" w:before="0" w:after="0"/>
        <w:ind w:left="0" w:right="0" w:hanging="0"/>
        <w:jc w:val="left"/>
        <w:rPr>
          <w:rFonts w:ascii="times new roman;times" w:hAnsi="times new roman;times"/>
          <w:sz w:val="20"/>
        </w:rPr>
      </w:pPr>
      <w:r>
        <w:rPr>
          <w:rFonts w:ascii="times new roman;times" w:hAnsi="times new roman;times"/>
          <w:sz w:val="20"/>
        </w:rPr>
        <w:t>In 2023, an executive of the Company co-founded the Vagus Nerve Society, a society dedicated to the ongoing education and training of scientists and clinicians and the power of the vagus nerve and its application in a broad spectrum of health-related conditions. During 2024, the Company agreed to provide an unrestricted educational grant of $120,000 to the Vagus Nerve Society. We provided the Vagus Nerve Society $82,500 of educational and directed research grants during 2024.</w:t>
      </w:r>
    </w:p>
    <w:p>
      <w:pPr>
        <w:pStyle w:val="TextBody"/>
        <w:bidi w:val="0"/>
        <w:spacing w:lineRule="auto" w:line="264" w:before="0" w:after="0"/>
        <w:ind w:left="0" w:right="0" w:hanging="0"/>
        <w:jc w:val="both"/>
        <w:rPr/>
      </w:pPr>
      <w:r>
        <w:rPr/>
      </w:r>
    </w:p>
    <w:p>
      <w:pPr>
        <w:pStyle w:val="TextBody"/>
        <w:bidi w:val="0"/>
        <w:spacing w:lineRule="atLeast" w:line="220" w:before="0" w:after="0"/>
        <w:ind w:left="0" w:right="0" w:hanging="0"/>
        <w:jc w:val="left"/>
        <w:rPr>
          <w:rFonts w:ascii="times new roman;times" w:hAnsi="times new roman;times"/>
          <w:sz w:val="20"/>
        </w:rPr>
      </w:pPr>
      <w:r>
        <w:rPr>
          <w:rFonts w:ascii="times new roman;times" w:hAnsi="times new roman;times"/>
          <w:sz w:val="20"/>
        </w:rPr>
        <w:t>On June 5, 2024, in a private placement to several of our directors, we sold (i) 438,191 registered shares of common stock, (ii) pre-funded warrants to purchase up to 770,119 shares of common stock and (iii) warrants to purchase up to 604,150 shares of common stock. Each share of common stock (or pre-funded warrant) in the private placement was sold together with one-half of one warrant at a combined effective offering price of $6.4925 (minus $0.001 per pre-funded warrant). The warrants became immediately exercisable as of June 5, 2024 at a price of $6.43 per share and  expire five years from the date of issuance. The pre-funded warrants became immediately exercisable as of June 5, 2024 at a price of $0.001 per share.  We also agreed to indemnify the purchasers against certain liabilities, including liabilities under the Securities Act of 1933 and liabilities arising from breaches of representations and warranties contained in the purchase agreements.</w:t>
      </w:r>
    </w:p>
    <w:p>
      <w:pPr>
        <w:pStyle w:val="TextBody"/>
        <w:bidi w:val="0"/>
        <w:spacing w:lineRule="atLeast" w:line="220" w:before="0" w:after="0"/>
        <w:ind w:left="0" w:right="0" w:hanging="0"/>
        <w:jc w:val="both"/>
        <w:rPr/>
      </w:pPr>
      <w:r>
        <w:rPr/>
        <w:t> </w:t>
      </w:r>
    </w:p>
    <w:p>
      <w:pPr>
        <w:pStyle w:val="TextBody"/>
        <w:bidi w:val="0"/>
        <w:spacing w:lineRule="atLeast" w:line="220" w:before="0" w:after="0"/>
        <w:ind w:left="0" w:right="0" w:hanging="0"/>
        <w:jc w:val="left"/>
        <w:rPr>
          <w:rFonts w:ascii="times new roman;times" w:hAnsi="times new roman;times"/>
          <w:sz w:val="20"/>
        </w:rPr>
      </w:pPr>
      <w:r>
        <w:rPr>
          <w:rFonts w:ascii="times new roman;times" w:hAnsi="times new roman;times"/>
          <w:sz w:val="20"/>
        </w:rPr>
        <w:t xml:space="preserve">The purchasers listed below participated in the private placement, and may be considered related persons of our company. The purchase agreement contained customary representations, warranties and covenants including certain registration rights pursuant to which we filed a registration statement on Form S-1 (File No: 333-274199) with the SEC on July 10, 2024. The table below summarizes the issuances of common stock, pre-funded warrants and warrants to the related parties. </w:t>
      </w:r>
    </w:p>
    <w:p>
      <w:pPr>
        <w:pStyle w:val="TextBody"/>
        <w:bidi w:val="0"/>
        <w:spacing w:lineRule="auto" w:line="264"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2373"/>
        <w:gridCol w:w="109"/>
        <w:gridCol w:w="276"/>
        <w:gridCol w:w="1083"/>
        <w:gridCol w:w="142"/>
        <w:gridCol w:w="109"/>
        <w:gridCol w:w="214"/>
        <w:gridCol w:w="1339"/>
        <w:gridCol w:w="218"/>
        <w:gridCol w:w="109"/>
        <w:gridCol w:w="268"/>
        <w:gridCol w:w="1927"/>
        <w:gridCol w:w="270"/>
        <w:gridCol w:w="109"/>
        <w:gridCol w:w="183"/>
        <w:gridCol w:w="1317"/>
        <w:gridCol w:w="159"/>
      </w:tblGrid>
      <w:tr>
        <w:trPr/>
        <w:tc>
          <w:tcPr>
            <w:tcW w:w="2373" w:type="dxa"/>
            <w:tcBorders/>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Purchaser</w:t>
            </w:r>
          </w:p>
        </w:tc>
        <w:tc>
          <w:tcPr>
            <w:tcW w:w="109" w:type="dxa"/>
            <w:tcBorders/>
            <w:vAlign w:val="bottom"/>
          </w:tcPr>
          <w:p>
            <w:pPr>
              <w:pStyle w:val="TableContents"/>
              <w:bidi w:val="0"/>
              <w:spacing w:before="0" w:after="283"/>
              <w:jc w:val="left"/>
              <w:rPr/>
            </w:pPr>
            <w:r>
              <w:rPr/>
            </w:r>
          </w:p>
        </w:tc>
        <w:tc>
          <w:tcPr>
            <w:tcW w:w="1501" w:type="dxa"/>
            <w:gridSpan w:val="3"/>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Investment Amount</w:t>
            </w:r>
          </w:p>
        </w:tc>
        <w:tc>
          <w:tcPr>
            <w:tcW w:w="109" w:type="dxa"/>
            <w:tcBorders/>
            <w:vAlign w:val="bottom"/>
          </w:tcPr>
          <w:p>
            <w:pPr>
              <w:pStyle w:val="TableContents"/>
              <w:bidi w:val="0"/>
              <w:spacing w:before="0" w:after="283"/>
              <w:jc w:val="left"/>
              <w:rPr/>
            </w:pPr>
            <w:r>
              <w:rPr/>
            </w:r>
          </w:p>
        </w:tc>
        <w:tc>
          <w:tcPr>
            <w:tcW w:w="1771" w:type="dxa"/>
            <w:gridSpan w:val="3"/>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Common Stock Purchased</w:t>
            </w:r>
          </w:p>
        </w:tc>
        <w:tc>
          <w:tcPr>
            <w:tcW w:w="109" w:type="dxa"/>
            <w:tcBorders/>
            <w:vAlign w:val="bottom"/>
          </w:tcPr>
          <w:p>
            <w:pPr>
              <w:pStyle w:val="TableContents"/>
              <w:bidi w:val="0"/>
              <w:spacing w:before="0" w:after="283"/>
              <w:jc w:val="left"/>
              <w:rPr/>
            </w:pPr>
            <w:r>
              <w:rPr/>
            </w:r>
          </w:p>
        </w:tc>
        <w:tc>
          <w:tcPr>
            <w:tcW w:w="2465" w:type="dxa"/>
            <w:gridSpan w:val="3"/>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Pre-Funded Warrants Purchased</w:t>
            </w:r>
          </w:p>
        </w:tc>
        <w:tc>
          <w:tcPr>
            <w:tcW w:w="109" w:type="dxa"/>
            <w:tcBorders/>
            <w:vAlign w:val="bottom"/>
          </w:tcPr>
          <w:p>
            <w:pPr>
              <w:pStyle w:val="TableContents"/>
              <w:bidi w:val="0"/>
              <w:spacing w:before="0" w:after="283"/>
              <w:jc w:val="left"/>
              <w:rPr/>
            </w:pPr>
            <w:r>
              <w:rPr/>
            </w:r>
          </w:p>
        </w:tc>
        <w:tc>
          <w:tcPr>
            <w:tcW w:w="1500" w:type="dxa"/>
            <w:gridSpan w:val="2"/>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Warrants Purchased</w:t>
            </w:r>
          </w:p>
        </w:tc>
        <w:tc>
          <w:tcPr>
            <w:tcW w:w="159" w:type="dxa"/>
            <w:tcBorders/>
            <w:tcMar>
              <w:top w:w="0" w:type="dxa"/>
              <w:left w:w="0" w:type="dxa"/>
              <w:bottom w:w="0" w:type="dxa"/>
              <w:right w:w="0" w:type="dxa"/>
            </w:tcMar>
            <w:vAlign w:val="bottom"/>
          </w:tcPr>
          <w:p>
            <w:pPr>
              <w:pStyle w:val="TableContents"/>
              <w:bidi w:val="0"/>
              <w:spacing w:before="0" w:after="283"/>
              <w:jc w:val="left"/>
              <w:rPr/>
            </w:pPr>
            <w:r>
              <w:rPr/>
            </w:r>
          </w:p>
        </w:tc>
      </w:tr>
      <w:tr>
        <w:trPr/>
        <w:tc>
          <w:tcPr>
            <w:tcW w:w="2373"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 xml:space="preserve">Happy Holstein Management, LLC </w:t>
            </w:r>
            <w:r>
              <w:rPr>
                <w:rFonts w:ascii="times new roman;times" w:hAnsi="times new roman;times"/>
                <w:position w:val="5"/>
                <w:sz w:val="13"/>
                <w:sz w:val="16"/>
              </w:rPr>
              <w:t>(1)</w:t>
            </w:r>
          </w:p>
        </w:tc>
        <w:tc>
          <w:tcPr>
            <w:tcW w:w="109"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5,00,000</w:t>
            </w:r>
          </w:p>
        </w:tc>
        <w:tc>
          <w:tcPr>
            <w:tcW w:w="14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14" w:type="dxa"/>
            <w:tcBorders/>
            <w:shd w:fill="CCEEFF" w:val="clear"/>
            <w:vAlign w:val="center"/>
          </w:tcPr>
          <w:p>
            <w:pPr>
              <w:pStyle w:val="TableContents"/>
              <w:bidi w:val="0"/>
              <w:spacing w:before="0" w:after="283"/>
              <w:jc w:val="left"/>
              <w:rPr/>
            </w:pPr>
            <w:r>
              <w:rPr/>
            </w:r>
          </w:p>
        </w:tc>
        <w:tc>
          <w:tcPr>
            <w:tcW w:w="1339" w:type="dxa"/>
            <w:tcBorders/>
            <w:shd w:fill="CCEEFF" w:val="clear"/>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218"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68" w:type="dxa"/>
            <w:tcBorders/>
            <w:shd w:fill="CCEEFF" w:val="clear"/>
            <w:vAlign w:val="center"/>
          </w:tcPr>
          <w:p>
            <w:pPr>
              <w:pStyle w:val="TableContents"/>
              <w:bidi w:val="0"/>
              <w:spacing w:before="0" w:after="283"/>
              <w:jc w:val="left"/>
              <w:rPr/>
            </w:pPr>
            <w:r>
              <w:rPr/>
            </w:r>
          </w:p>
        </w:tc>
        <w:tc>
          <w:tcPr>
            <w:tcW w:w="1927"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770,119</w:t>
            </w:r>
          </w:p>
        </w:tc>
        <w:tc>
          <w:tcPr>
            <w:tcW w:w="270"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83" w:type="dxa"/>
            <w:tcBorders/>
            <w:shd w:fill="CCEEFF" w:val="clear"/>
            <w:vAlign w:val="center"/>
          </w:tcPr>
          <w:p>
            <w:pPr>
              <w:pStyle w:val="TableContents"/>
              <w:bidi w:val="0"/>
              <w:spacing w:before="0" w:after="283"/>
              <w:jc w:val="left"/>
              <w:rPr/>
            </w:pPr>
            <w:r>
              <w:rPr/>
            </w:r>
          </w:p>
        </w:tc>
        <w:tc>
          <w:tcPr>
            <w:tcW w:w="1317"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385,059</w:t>
            </w:r>
          </w:p>
        </w:tc>
        <w:tc>
          <w:tcPr>
            <w:tcW w:w="159"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Daniel S. Goldberger</w:t>
            </w:r>
          </w:p>
        </w:tc>
        <w:tc>
          <w:tcPr>
            <w:tcW w:w="109"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250,000</w:t>
            </w:r>
          </w:p>
        </w:tc>
        <w:tc>
          <w:tcPr>
            <w:tcW w:w="14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r>
          </w:p>
        </w:tc>
        <w:tc>
          <w:tcPr>
            <w:tcW w:w="133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38,505</w:t>
            </w:r>
          </w:p>
        </w:tc>
        <w:tc>
          <w:tcPr>
            <w:tcW w:w="218"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r>
          </w:p>
        </w:tc>
        <w:tc>
          <w:tcPr>
            <w:tcW w:w="1927" w:type="dxa"/>
            <w:tcBorders/>
            <w:vAlign w:val="center"/>
          </w:tcPr>
          <w:p>
            <w:pPr>
              <w:pStyle w:val="TableContents"/>
              <w:bidi w:val="0"/>
              <w:spacing w:before="0" w:after="283"/>
              <w:jc w:val="right"/>
              <w:rPr/>
            </w:pPr>
            <w:r>
              <w:rPr/>
              <w:t>—</w:t>
            </w:r>
          </w:p>
        </w:tc>
        <w:tc>
          <w:tcPr>
            <w:tcW w:w="270"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r>
          </w:p>
        </w:tc>
        <w:tc>
          <w:tcPr>
            <w:tcW w:w="1317"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19,252</w:t>
            </w:r>
          </w:p>
        </w:tc>
        <w:tc>
          <w:tcPr>
            <w:tcW w:w="159" w:type="dxa"/>
            <w:tcBorders/>
            <w:vAlign w:val="center"/>
          </w:tcPr>
          <w:p>
            <w:pPr>
              <w:pStyle w:val="TableContents"/>
              <w:bidi w:val="0"/>
              <w:spacing w:before="0" w:after="283"/>
              <w:jc w:val="left"/>
              <w:rPr/>
            </w:pPr>
            <w:r>
              <w:rPr/>
            </w:r>
          </w:p>
        </w:tc>
      </w:tr>
      <w:tr>
        <w:trPr/>
        <w:tc>
          <w:tcPr>
            <w:tcW w:w="2373"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Thomas J. Errico</w:t>
            </w:r>
          </w:p>
        </w:tc>
        <w:tc>
          <w:tcPr>
            <w:tcW w:w="109"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250,000</w:t>
            </w:r>
          </w:p>
        </w:tc>
        <w:tc>
          <w:tcPr>
            <w:tcW w:w="14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14" w:type="dxa"/>
            <w:tcBorders/>
            <w:shd w:fill="CCEEFF" w:val="clear"/>
            <w:vAlign w:val="center"/>
          </w:tcPr>
          <w:p>
            <w:pPr>
              <w:pStyle w:val="TableContents"/>
              <w:bidi w:val="0"/>
              <w:spacing w:before="0" w:after="283"/>
              <w:jc w:val="left"/>
              <w:rPr/>
            </w:pPr>
            <w:r>
              <w:rPr/>
            </w:r>
          </w:p>
        </w:tc>
        <w:tc>
          <w:tcPr>
            <w:tcW w:w="1339"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38,505</w:t>
            </w:r>
          </w:p>
        </w:tc>
        <w:tc>
          <w:tcPr>
            <w:tcW w:w="218"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68" w:type="dxa"/>
            <w:tcBorders/>
            <w:shd w:fill="CCEEFF" w:val="clear"/>
            <w:vAlign w:val="center"/>
          </w:tcPr>
          <w:p>
            <w:pPr>
              <w:pStyle w:val="TableContents"/>
              <w:bidi w:val="0"/>
              <w:spacing w:before="0" w:after="283"/>
              <w:jc w:val="left"/>
              <w:rPr/>
            </w:pPr>
            <w:r>
              <w:rPr/>
            </w:r>
          </w:p>
        </w:tc>
        <w:tc>
          <w:tcPr>
            <w:tcW w:w="1927"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83" w:type="dxa"/>
            <w:tcBorders/>
            <w:shd w:fill="CCEEFF" w:val="clear"/>
            <w:vAlign w:val="center"/>
          </w:tcPr>
          <w:p>
            <w:pPr>
              <w:pStyle w:val="TableContents"/>
              <w:bidi w:val="0"/>
              <w:spacing w:before="0" w:after="283"/>
              <w:jc w:val="left"/>
              <w:rPr/>
            </w:pPr>
            <w:r>
              <w:rPr/>
            </w:r>
          </w:p>
        </w:tc>
        <w:tc>
          <w:tcPr>
            <w:tcW w:w="1317"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19,252</w:t>
            </w:r>
          </w:p>
        </w:tc>
        <w:tc>
          <w:tcPr>
            <w:tcW w:w="159"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Joseph P. Errico</w:t>
            </w:r>
          </w:p>
        </w:tc>
        <w:tc>
          <w:tcPr>
            <w:tcW w:w="109"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250,000</w:t>
            </w:r>
          </w:p>
        </w:tc>
        <w:tc>
          <w:tcPr>
            <w:tcW w:w="14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r>
          </w:p>
        </w:tc>
        <w:tc>
          <w:tcPr>
            <w:tcW w:w="133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38,505</w:t>
            </w:r>
          </w:p>
        </w:tc>
        <w:tc>
          <w:tcPr>
            <w:tcW w:w="218"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r>
          </w:p>
        </w:tc>
        <w:tc>
          <w:tcPr>
            <w:tcW w:w="1927"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r>
          </w:p>
        </w:tc>
        <w:tc>
          <w:tcPr>
            <w:tcW w:w="1317"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19,252</w:t>
            </w:r>
          </w:p>
        </w:tc>
        <w:tc>
          <w:tcPr>
            <w:tcW w:w="159" w:type="dxa"/>
            <w:tcBorders/>
            <w:vAlign w:val="center"/>
          </w:tcPr>
          <w:p>
            <w:pPr>
              <w:pStyle w:val="TableContents"/>
              <w:bidi w:val="0"/>
              <w:spacing w:before="0" w:after="283"/>
              <w:jc w:val="left"/>
              <w:rPr/>
            </w:pPr>
            <w:r>
              <w:rPr/>
            </w:r>
          </w:p>
        </w:tc>
      </w:tr>
      <w:tr>
        <w:trPr/>
        <w:tc>
          <w:tcPr>
            <w:tcW w:w="2373"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Trevor Moody</w:t>
            </w:r>
          </w:p>
        </w:tc>
        <w:tc>
          <w:tcPr>
            <w:tcW w:w="109"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100,000</w:t>
            </w:r>
          </w:p>
        </w:tc>
        <w:tc>
          <w:tcPr>
            <w:tcW w:w="14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14" w:type="dxa"/>
            <w:tcBorders/>
            <w:shd w:fill="CCEEFF" w:val="clear"/>
            <w:vAlign w:val="center"/>
          </w:tcPr>
          <w:p>
            <w:pPr>
              <w:pStyle w:val="TableContents"/>
              <w:bidi w:val="0"/>
              <w:spacing w:before="0" w:after="283"/>
              <w:jc w:val="left"/>
              <w:rPr/>
            </w:pPr>
            <w:r>
              <w:rPr/>
            </w:r>
          </w:p>
        </w:tc>
        <w:tc>
          <w:tcPr>
            <w:tcW w:w="1339"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15,402</w:t>
            </w:r>
          </w:p>
        </w:tc>
        <w:tc>
          <w:tcPr>
            <w:tcW w:w="218"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68" w:type="dxa"/>
            <w:tcBorders/>
            <w:shd w:fill="CCEEFF" w:val="clear"/>
            <w:vAlign w:val="center"/>
          </w:tcPr>
          <w:p>
            <w:pPr>
              <w:pStyle w:val="TableContents"/>
              <w:bidi w:val="0"/>
              <w:spacing w:before="0" w:after="283"/>
              <w:jc w:val="left"/>
              <w:rPr/>
            </w:pPr>
            <w:r>
              <w:rPr/>
            </w:r>
          </w:p>
        </w:tc>
        <w:tc>
          <w:tcPr>
            <w:tcW w:w="1927"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83" w:type="dxa"/>
            <w:tcBorders/>
            <w:shd w:fill="CCEEFF" w:val="clear"/>
            <w:vAlign w:val="center"/>
          </w:tcPr>
          <w:p>
            <w:pPr>
              <w:pStyle w:val="TableContents"/>
              <w:bidi w:val="0"/>
              <w:spacing w:before="0" w:after="283"/>
              <w:jc w:val="left"/>
              <w:rPr/>
            </w:pPr>
            <w:r>
              <w:rPr/>
            </w:r>
          </w:p>
        </w:tc>
        <w:tc>
          <w:tcPr>
            <w:tcW w:w="1317"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7,701</w:t>
            </w:r>
          </w:p>
        </w:tc>
        <w:tc>
          <w:tcPr>
            <w:tcW w:w="159"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Julie A. Goldstein</w:t>
            </w:r>
          </w:p>
        </w:tc>
        <w:tc>
          <w:tcPr>
            <w:tcW w:w="109"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50,000</w:t>
            </w:r>
          </w:p>
        </w:tc>
        <w:tc>
          <w:tcPr>
            <w:tcW w:w="14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r>
          </w:p>
        </w:tc>
        <w:tc>
          <w:tcPr>
            <w:tcW w:w="133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7,701</w:t>
            </w:r>
          </w:p>
        </w:tc>
        <w:tc>
          <w:tcPr>
            <w:tcW w:w="218"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r>
          </w:p>
        </w:tc>
        <w:tc>
          <w:tcPr>
            <w:tcW w:w="1927"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r>
          </w:p>
        </w:tc>
        <w:tc>
          <w:tcPr>
            <w:tcW w:w="1317"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w:t>
            </w:r>
          </w:p>
        </w:tc>
        <w:tc>
          <w:tcPr>
            <w:tcW w:w="159" w:type="dxa"/>
            <w:tcBorders/>
            <w:vAlign w:val="center"/>
          </w:tcPr>
          <w:p>
            <w:pPr>
              <w:pStyle w:val="TableContents"/>
              <w:bidi w:val="0"/>
              <w:spacing w:before="0" w:after="283"/>
              <w:jc w:val="left"/>
              <w:rPr/>
            </w:pPr>
            <w:r>
              <w:rPr/>
            </w:r>
          </w:p>
        </w:tc>
      </w:tr>
      <w:tr>
        <w:trPr/>
        <w:tc>
          <w:tcPr>
            <w:tcW w:w="2373"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Thomas M. Patton</w:t>
            </w:r>
          </w:p>
        </w:tc>
        <w:tc>
          <w:tcPr>
            <w:tcW w:w="109"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50,000</w:t>
            </w:r>
          </w:p>
        </w:tc>
        <w:tc>
          <w:tcPr>
            <w:tcW w:w="14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14" w:type="dxa"/>
            <w:tcBorders/>
            <w:shd w:fill="CCEEFF" w:val="clear"/>
            <w:vAlign w:val="center"/>
          </w:tcPr>
          <w:p>
            <w:pPr>
              <w:pStyle w:val="TableContents"/>
              <w:bidi w:val="0"/>
              <w:spacing w:before="0" w:after="283"/>
              <w:jc w:val="left"/>
              <w:rPr/>
            </w:pPr>
            <w:r>
              <w:rPr/>
            </w:r>
          </w:p>
        </w:tc>
        <w:tc>
          <w:tcPr>
            <w:tcW w:w="1339"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7,701</w:t>
            </w:r>
          </w:p>
        </w:tc>
        <w:tc>
          <w:tcPr>
            <w:tcW w:w="218"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68" w:type="dxa"/>
            <w:tcBorders/>
            <w:shd w:fill="CCEEFF" w:val="clear"/>
            <w:vAlign w:val="center"/>
          </w:tcPr>
          <w:p>
            <w:pPr>
              <w:pStyle w:val="TableContents"/>
              <w:bidi w:val="0"/>
              <w:spacing w:before="0" w:after="283"/>
              <w:jc w:val="left"/>
              <w:rPr/>
            </w:pPr>
            <w:r>
              <w:rPr/>
            </w:r>
          </w:p>
        </w:tc>
        <w:tc>
          <w:tcPr>
            <w:tcW w:w="1927"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83" w:type="dxa"/>
            <w:tcBorders/>
            <w:shd w:fill="CCEEFF" w:val="clear"/>
            <w:vAlign w:val="center"/>
          </w:tcPr>
          <w:p>
            <w:pPr>
              <w:pStyle w:val="TableContents"/>
              <w:bidi w:val="0"/>
              <w:spacing w:before="0" w:after="283"/>
              <w:jc w:val="left"/>
              <w:rPr/>
            </w:pPr>
            <w:r>
              <w:rPr/>
            </w:r>
          </w:p>
        </w:tc>
        <w:tc>
          <w:tcPr>
            <w:tcW w:w="1317"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3,850</w:t>
            </w:r>
          </w:p>
        </w:tc>
        <w:tc>
          <w:tcPr>
            <w:tcW w:w="159"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Patricia Wilber</w:t>
            </w:r>
          </w:p>
        </w:tc>
        <w:tc>
          <w:tcPr>
            <w:tcW w:w="109"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083"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45,000</w:t>
            </w:r>
          </w:p>
        </w:tc>
        <w:tc>
          <w:tcPr>
            <w:tcW w:w="14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r>
          </w:p>
        </w:tc>
        <w:tc>
          <w:tcPr>
            <w:tcW w:w="1339"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6,931</w:t>
            </w:r>
          </w:p>
        </w:tc>
        <w:tc>
          <w:tcPr>
            <w:tcW w:w="218"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r>
          </w:p>
        </w:tc>
        <w:tc>
          <w:tcPr>
            <w:tcW w:w="1927"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70"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r>
          </w:p>
        </w:tc>
        <w:tc>
          <w:tcPr>
            <w:tcW w:w="1317" w:type="dxa"/>
            <w:tcBorders/>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3,465</w:t>
            </w:r>
          </w:p>
        </w:tc>
        <w:tc>
          <w:tcPr>
            <w:tcW w:w="159" w:type="dxa"/>
            <w:tcBorders/>
            <w:vAlign w:val="center"/>
          </w:tcPr>
          <w:p>
            <w:pPr>
              <w:pStyle w:val="TableContents"/>
              <w:bidi w:val="0"/>
              <w:spacing w:before="0" w:after="283"/>
              <w:jc w:val="left"/>
              <w:rPr/>
            </w:pPr>
            <w:r>
              <w:rPr/>
            </w:r>
          </w:p>
        </w:tc>
      </w:tr>
    </w:tbl>
    <w:p>
      <w:pPr>
        <w:pStyle w:val="TextBody"/>
        <w:bidi w:val="0"/>
        <w:spacing w:lineRule="auto" w:line="288" w:before="100" w:after="240"/>
        <w:ind w:left="0" w:right="0" w:hanging="0"/>
        <w:jc w:val="left"/>
        <w:rPr>
          <w:rFonts w:ascii="times new roman;times" w:hAnsi="times new roman;times"/>
          <w:sz w:val="20"/>
        </w:rPr>
      </w:pPr>
      <w:r>
        <w:rPr>
          <w:rFonts w:ascii="times new roman;times" w:hAnsi="times new roman;times"/>
          <w:position w:val="5"/>
          <w:sz w:val="13"/>
          <w:sz w:val="16"/>
        </w:rPr>
        <w:t>(1) </w:t>
      </w:r>
      <w:r>
        <w:rPr>
          <w:rFonts w:ascii="times new roman;times" w:hAnsi="times new roman;times"/>
          <w:sz w:val="20"/>
        </w:rPr>
        <w:t>Kathryn Theofilos, the spouse of Charles S. Theofilos, a member of our Board from December 8, 2023 to February 24, 2025, is the manager of Happy Holstein Management, LLC.</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120</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tLeast" w:line="240" w:before="100" w:after="240"/>
        <w:ind w:left="0" w:right="0" w:hanging="0"/>
        <w:jc w:val="left"/>
        <w:rPr>
          <w:rFonts w:ascii="times new roman;times" w:hAnsi="times new roman;times"/>
          <w:sz w:val="20"/>
        </w:rPr>
      </w:pPr>
      <w:r>
        <w:rPr>
          <w:rFonts w:ascii="times new roman;times" w:hAnsi="times new roman;times"/>
          <w:sz w:val="20"/>
        </w:rPr>
        <w:t>On July 11, 2024, the Company and a member of our Board entered into a consulting agreement pursuant to which the board member is expected to begin providing consulting and advisory services to the Company’s Chief Executive Officer for a one-year term as of the completion of his service on the Board, effective as of immediately prior to the Company’s 2025 annual meeting of stockholders. The director will be paid an hourly or per diem fee for such services rendered, if any, and was granted a stock option to purchase 50,000 shares of common stock of the Company at an exercise price of $6.43 per share, which shall vest and be exercisable in 12 equal monthly installments, subject to full vesting, if earlier, immediately prior to the Company’s 2025 annual meeting of stockholders or a change of control, in each case so long as the director remains in continuous service to the Company through such date. See also “Item 11. Executive Compensation - Director Compensation - Summary Compensation Table.”</w:t>
      </w:r>
    </w:p>
    <w:p>
      <w:pPr>
        <w:pStyle w:val="TextBody"/>
        <w:bidi w:val="0"/>
        <w:spacing w:lineRule="atLeast" w:line="240" w:before="100" w:after="240"/>
        <w:ind w:left="0" w:right="0" w:hanging="0"/>
        <w:jc w:val="left"/>
        <w:rPr>
          <w:rFonts w:ascii="times new roman;times" w:hAnsi="times new roman;times"/>
          <w:sz w:val="20"/>
        </w:rPr>
      </w:pPr>
      <w:r>
        <w:rPr>
          <w:rFonts w:ascii="times new roman;times" w:hAnsi="times new roman;times"/>
          <w:sz w:val="20"/>
        </w:rPr>
        <w:t>On October 4, 2024, the Company and a former executive entered into a consulting agreement pursuant to which the former executive will provide financial and accounting consulting services to the Company on an hourly basis for 12 months after the effective date of his retirement, subject to potential extension upon mutual agreement. See also “Item 11. Executive Compensation – Employment Agreements - Brian M. Posner.” </w:t>
      </w:r>
    </w:p>
    <w:p>
      <w:pPr>
        <w:pStyle w:val="TextBody"/>
        <w:bidi w:val="0"/>
        <w:spacing w:lineRule="atLeast" w:line="240" w:before="0" w:after="240"/>
        <w:ind w:left="0" w:right="0" w:hanging="0"/>
        <w:jc w:val="left"/>
        <w:rPr>
          <w:rFonts w:ascii="times new roman;times" w:hAnsi="times new roman;times"/>
          <w:b/>
          <w:sz w:val="20"/>
        </w:rPr>
      </w:pPr>
      <w:r>
        <w:rPr>
          <w:rFonts w:ascii="times new roman;times" w:hAnsi="times new roman;times"/>
          <w:b/>
          <w:sz w:val="20"/>
        </w:rPr>
        <w:t>Indemnification Agreements</w:t>
      </w:r>
    </w:p>
    <w:p>
      <w:pPr>
        <w:pStyle w:val="TextBody"/>
        <w:bidi w:val="0"/>
        <w:spacing w:lineRule="atLeast" w:line="240" w:before="0" w:after="240"/>
        <w:ind w:left="0" w:right="0" w:hanging="0"/>
        <w:jc w:val="left"/>
        <w:rPr>
          <w:rFonts w:ascii="times new roman;times" w:hAnsi="times new roman;times"/>
          <w:sz w:val="20"/>
        </w:rPr>
      </w:pPr>
      <w:r>
        <w:rPr>
          <w:rFonts w:ascii="times new roman;times" w:hAnsi="times new roman;times"/>
          <w:sz w:val="20"/>
        </w:rPr>
        <w:t>Our bylaws contain provisions limiting the liability of directors and providing that we will indemnify each of our directors to the fullest extent permitted under the General Corporation Law of the State of Delaware or any other applicable law. Our bylaws also provide the Board with discretion to indemnify our officers and employees when determined appropriate by the Board.</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In addition, we have entered and expect to continue to enter into agreements to indemnify our non-employee directors as determined by the Board. With specified exceptions, these agreements provide for indemnification for related expenses including, among other things, attorneys’ fees, judgments, fines and settlement amounts incurred by any of these individuals in any action or proceeding. we believe that these provisions in its governing documents and indemnification agreements are necessary to attract and retain qualified persons as directors. We also maintain customary directors’ and officers’ liability insurance. </w:t>
      </w:r>
    </w:p>
    <w:p>
      <w:pPr>
        <w:pStyle w:val="TextBody"/>
        <w:bidi w:val="0"/>
        <w:spacing w:lineRule="auto" w:line="288" w:before="0" w:after="240"/>
        <w:ind w:left="0" w:right="0" w:hanging="0"/>
        <w:jc w:val="left"/>
        <w:rPr/>
      </w:pPr>
      <w:r>
        <w:rPr>
          <w:rFonts w:ascii="times new roman;times" w:hAnsi="times new roman;times"/>
          <w:b/>
          <w:sz w:val="20"/>
        </w:rPr>
        <w:t xml:space="preserve">Item 14. </w:t>
      </w:r>
      <w:hyperlink w:anchor="TOC">
        <w:bookmarkStart w:id="70" w:name="BT123_17120247354636"/>
        <w:bookmarkEnd w:id="70"/>
        <w:r>
          <w:rPr>
            <w:rStyle w:val="InternetLink"/>
            <w:rFonts w:ascii="times new roman;times" w:hAnsi="times new roman;times"/>
            <w:b/>
            <w:strike w:val="false"/>
            <w:dstrike w:val="false"/>
            <w:color w:val="000000"/>
            <w:sz w:val="20"/>
            <w:u w:val="none"/>
            <w:effect w:val="none"/>
          </w:rPr>
          <w:t>Principal Accountant Fees and Services</w:t>
        </w:r>
      </w:hyperlink>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represents aggregate fees billed to us for the fiscal years ended December 31, 2024 and December 31, 2023 by Marcum LLP, our principal accountants for these each of these two fiscal years.</w:t>
      </w:r>
    </w:p>
    <w:tbl>
      <w:tblPr>
        <w:tblW w:w="5000" w:type="pct"/>
        <w:jc w:val="left"/>
        <w:tblInd w:w="0" w:type="dxa"/>
        <w:tblLayout w:type="fixed"/>
        <w:tblCellMar>
          <w:top w:w="0" w:type="dxa"/>
          <w:left w:w="0" w:type="dxa"/>
          <w:bottom w:w="0" w:type="dxa"/>
          <w:right w:w="0" w:type="dxa"/>
        </w:tblCellMar>
      </w:tblPr>
      <w:tblGrid>
        <w:gridCol w:w="4184"/>
        <w:gridCol w:w="157"/>
        <w:gridCol w:w="415"/>
        <w:gridCol w:w="2306"/>
        <w:gridCol w:w="197"/>
        <w:gridCol w:w="196"/>
        <w:gridCol w:w="197"/>
        <w:gridCol w:w="2306"/>
        <w:gridCol w:w="247"/>
      </w:tblGrid>
      <w:tr>
        <w:trPr/>
        <w:tc>
          <w:tcPr>
            <w:tcW w:w="4184"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864" w:type="dxa"/>
            <w:gridSpan w:val="7"/>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 Ended December 31,</w:t>
            </w:r>
          </w:p>
        </w:tc>
      </w:tr>
      <w:tr>
        <w:trPr/>
        <w:tc>
          <w:tcPr>
            <w:tcW w:w="4184"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918" w:type="dxa"/>
            <w:gridSpan w:val="3"/>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2024</w:t>
            </w:r>
          </w:p>
        </w:tc>
        <w:tc>
          <w:tcPr>
            <w:tcW w:w="196" w:type="dxa"/>
            <w:tcBorders/>
            <w:vAlign w:val="center"/>
          </w:tcPr>
          <w:p>
            <w:pPr>
              <w:pStyle w:val="TableContents"/>
              <w:bidi w:val="0"/>
              <w:spacing w:before="0" w:after="0"/>
              <w:ind w:left="0" w:right="0" w:hanging="0"/>
              <w:jc w:val="left"/>
              <w:rPr/>
            </w:pPr>
            <w:r>
              <w:rPr/>
              <w:t> </w:t>
            </w:r>
          </w:p>
        </w:tc>
        <w:tc>
          <w:tcPr>
            <w:tcW w:w="2750" w:type="dxa"/>
            <w:gridSpan w:val="3"/>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2023</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Audit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06"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346,858</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332,040</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Audit-Related Fees</w:t>
            </w:r>
          </w:p>
        </w:tc>
        <w:tc>
          <w:tcPr>
            <w:tcW w:w="157" w:type="dxa"/>
            <w:tcBorders/>
            <w:shd w:fill="FFFFFF" w:val="clear"/>
            <w:vAlign w:val="center"/>
          </w:tcPr>
          <w:p>
            <w:pPr>
              <w:pStyle w:val="TableContents"/>
              <w:bidi w:val="0"/>
              <w:spacing w:before="0" w:after="0"/>
              <w:ind w:left="0" w:right="0" w:hanging="0"/>
              <w:jc w:val="left"/>
              <w:rPr/>
            </w:pPr>
            <w:r>
              <w:rPr/>
              <w:t> </w:t>
            </w:r>
          </w:p>
        </w:tc>
        <w:tc>
          <w:tcPr>
            <w:tcW w:w="415"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197"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Tax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Other Fees</w:t>
            </w:r>
          </w:p>
        </w:tc>
        <w:tc>
          <w:tcPr>
            <w:tcW w:w="157" w:type="dxa"/>
            <w:tcBorders/>
            <w:shd w:fill="FFFFFF" w:val="clear"/>
            <w:vAlign w:val="center"/>
          </w:tcPr>
          <w:p>
            <w:pPr>
              <w:pStyle w:val="TableContents"/>
              <w:bidi w:val="0"/>
              <w:spacing w:before="0" w:after="0"/>
              <w:ind w:left="0" w:right="0" w:hanging="0"/>
              <w:jc w:val="left"/>
              <w:rPr/>
            </w:pPr>
            <w:r>
              <w:rPr/>
              <w:t> </w:t>
            </w:r>
          </w:p>
        </w:tc>
        <w:tc>
          <w:tcPr>
            <w:tcW w:w="415"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197"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06"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346,858</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332,040</w:t>
            </w:r>
          </w:p>
        </w:tc>
        <w:tc>
          <w:tcPr>
            <w:tcW w:w="247"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All fees described above were pre-approved by the audit committee.</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Audit Fees include fees billed for the fiscal year shown for professional services for the audit of our annual financial statements, quarterly reviews, and review of our registration statements and other SEC filings.</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121</w:t>
            </w:r>
          </w:p>
        </w:tc>
      </w:tr>
    </w:tbl>
    <w:p>
      <w:pPr>
        <w:pStyle w:val="HorizontalLine"/>
        <w:bidi w:val="0"/>
        <w:spacing w:lineRule="auto" w:line="264" w:before="0" w:after="0"/>
        <w:jc w:val="left"/>
        <w:rPr/>
      </w:pPr>
      <w:r>
        <w:rPr/>
      </w:r>
    </w:p>
    <w:p>
      <w:pPr>
        <w:pStyle w:val="TextBody"/>
        <w:bidi w:val="0"/>
        <w:spacing w:lineRule="auto" w:line="264"/>
        <w:jc w:val="left"/>
        <w:rPr/>
      </w:pPr>
      <w:r>
        <w:rPr/>
      </w:r>
    </w:p>
    <w:p>
      <w:pPr>
        <w:pStyle w:val="TextBody"/>
        <w:widowControl/>
        <w:bidi w:val="0"/>
        <w:spacing w:lineRule="auto" w:line="288" w:before="24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IV</w:t>
      </w:r>
    </w:p>
    <w:p>
      <w:pPr>
        <w:pStyle w:val="TextBody"/>
        <w:widowControl/>
        <w:bidi w:val="0"/>
        <w:spacing w:lineRule="auto" w:line="288" w:before="240" w:after="0"/>
        <w:jc w:val="left"/>
        <w:rPr>
          <w:rFonts w:ascii="times new roman;times" w:hAnsi="times new roman;times"/>
          <w:b/>
          <w:i w:val="false"/>
          <w:caps w:val="false"/>
          <w:smallCaps w:val="false"/>
          <w:sz w:val="20"/>
        </w:rPr>
      </w:pPr>
      <w:r>
        <w:rPr>
          <w:rFonts w:ascii="times new roman;times" w:hAnsi="times new roman;times"/>
          <w:b/>
          <w:i w:val="false"/>
          <w:caps w:val="false"/>
          <w:smallCaps w:val="false"/>
          <w:sz w:val="20"/>
        </w:rPr>
      </w:r>
    </w:p>
    <w:p>
      <w:pPr>
        <w:pStyle w:val="TextBody"/>
        <w:bidi w:val="0"/>
        <w:spacing w:lineRule="auto" w:line="288" w:before="240" w:after="0"/>
        <w:jc w:val="left"/>
        <w:rPr/>
      </w:pPr>
      <w:r>
        <w:rPr>
          <w:rFonts w:ascii="times new roman;times" w:hAnsi="times new roman;times"/>
          <w:b/>
          <w:sz w:val="20"/>
        </w:rPr>
        <w:t xml:space="preserve">Item 15. </w:t>
      </w:r>
      <w:hyperlink r:id="rId10">
        <w:bookmarkStart w:id="71" w:name="BItem_15_FCG9897JNK00000000000000000000"/>
        <w:bookmarkEnd w:id="71"/>
        <w:r>
          <w:rPr>
            <w:rStyle w:val="InternetLink"/>
            <w:rFonts w:ascii="times new roman;times" w:hAnsi="times new roman;times"/>
            <w:b/>
            <w:strike w:val="false"/>
            <w:dstrike w:val="false"/>
            <w:color w:val="000000"/>
            <w:sz w:val="20"/>
            <w:u w:val="none"/>
            <w:effect w:val="none"/>
          </w:rPr>
          <w:t>Exhibits and Financial Statement Schedules</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 The following documents are filed as part of this report: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(1) Financial Statements: </w:t>
      </w:r>
    </w:p>
    <w:p>
      <w:pPr>
        <w:pStyle w:val="TextBody"/>
        <w:bidi w:val="0"/>
        <w:spacing w:lineRule="auto" w:line="288" w:before="0" w:after="0"/>
        <w:jc w:val="left"/>
        <w:rPr/>
      </w:pPr>
      <w:r>
        <w:rPr/>
        <w:t xml:space="preserve">​ </w:t>
      </w:r>
      <w:bookmarkStart w:id="72" w:name="TOC2"/>
      <w:bookmarkEnd w:id="72"/>
    </w:p>
    <w:tbl>
      <w:tblPr>
        <w:tblW w:w="6655" w:type="dxa"/>
        <w:jc w:val="left"/>
        <w:tblInd w:w="0" w:type="dxa"/>
        <w:tblLayout w:type="fixed"/>
        <w:tblCellMar>
          <w:top w:w="0" w:type="dxa"/>
          <w:left w:w="0" w:type="dxa"/>
          <w:bottom w:w="0" w:type="dxa"/>
          <w:right w:w="0" w:type="dxa"/>
        </w:tblCellMar>
      </w:tblPr>
      <w:tblGrid>
        <w:gridCol w:w="6365"/>
        <w:gridCol w:w="290"/>
      </w:tblGrid>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Report of Independent Registered Public Accounting Firm (PCAOB ID # 688)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F-2</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Consolidated Balance Sheets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F-3</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Operations</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F-4</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Comprehensive Loss</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F-5</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Equity</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F-6</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Cash Flows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F-7</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Notes to Consolidated Financial Statements</w:t>
            </w:r>
          </w:p>
        </w:tc>
        <w:tc>
          <w:tcPr>
            <w:tcW w:w="29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F-8</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(2) Financial Statement Schedules: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All financial statement schedules have been omitted because they are not applicable, not required or the information required is shown in the financial statements or the notes thereto.</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(3) Exhibits. The exhibits filed as part of this Annual Report on Form 10-K are set forth on the Exhibit Index immediately following Item 16. The Exhibit Index is incorporated herein by reference.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pPr>
      <w:r>
        <w:rPr>
          <w:rFonts w:ascii="times new roman;times" w:hAnsi="times new roman;times"/>
          <w:b/>
          <w:sz w:val="20"/>
        </w:rPr>
        <w:t xml:space="preserve">Item 16. </w:t>
      </w:r>
      <w:hyperlink r:id="rId11">
        <w:bookmarkStart w:id="73" w:name="BForm_10-K_Summary_SX9MRBQM4W00000000000"/>
        <w:bookmarkEnd w:id="73"/>
        <w:r>
          <w:rPr>
            <w:rStyle w:val="InternetLink"/>
            <w:rFonts w:ascii="times new roman;times" w:hAnsi="times new roman;times"/>
            <w:b/>
            <w:strike w:val="false"/>
            <w:dstrike w:val="false"/>
            <w:color w:val="000000"/>
            <w:sz w:val="20"/>
            <w:u w:val="none"/>
            <w:effect w:val="none"/>
          </w:rPr>
          <w:t>Form 10-K Summary</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24"/>
        <w:gridCol w:w="60"/>
        <w:gridCol w:w="9421"/>
      </w:tblGrid>
      <w:tr>
        <w:trPr/>
        <w:tc>
          <w:tcPr>
            <w:tcW w:w="724"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Exhibit</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w:t>
            </w:r>
          </w:p>
        </w:tc>
        <w:tc>
          <w:tcPr>
            <w:tcW w:w="60" w:type="dxa"/>
            <w:tcBorders/>
            <w:shd w:fill="FFFFFF" w:val="clear"/>
            <w:vAlign w:val="center"/>
          </w:tcPr>
          <w:p>
            <w:pPr>
              <w:pStyle w:val="TableContents"/>
              <w:bidi w:val="0"/>
              <w:spacing w:before="0" w:after="0"/>
              <w:ind w:left="0" w:right="0" w:hanging="0"/>
              <w:jc w:val="center"/>
              <w:rPr/>
            </w:pPr>
            <w:r>
              <w:rPr/>
            </w:r>
          </w:p>
        </w:tc>
        <w:tc>
          <w:tcPr>
            <w:tcW w:w="9421" w:type="dxa"/>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Description</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lineRule="auto" w:line="288" w:before="0" w:after="0"/>
              <w:ind w:left="0" w:right="0" w:hanging="0"/>
              <w:jc w:val="left"/>
              <w:rPr/>
            </w:pPr>
            <w:hyperlink r:id="rId12">
              <w:r>
                <w:rPr>
                  <w:rStyle w:val="InternetLink"/>
                  <w:rFonts w:ascii="times new roman;times" w:hAnsi="times new roman;times"/>
                  <w:color w:val="0000FF"/>
                  <w:sz w:val="20"/>
                  <w:u w:val="single"/>
                </w:rPr>
                <w:t>Certificate of Incorporation of electroCore, Inc</w:t>
              </w:r>
            </w:hyperlink>
            <w:hyperlink r:id="rId13">
              <w:r>
                <w:rPr>
                  <w:rStyle w:val="InternetLink"/>
                  <w:rFonts w:ascii="times new roman;times" w:hAnsi="times new roman;times"/>
                  <w:sz w:val="20"/>
                </w:rPr>
                <w:t>, incorporated by reference to the Company’s Quarterly Report on Form 10-Q for the period ended June 30, 2018, as filed with the Commission on August 14, 2018.</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3.2</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times" w:hAnsi="times new roman;times"/>
                  <w:sz w:val="20"/>
                </w:rPr>
                <w:t>Second Amended and Restated Bylaws of electroCore, Inc. incorporated by reference to the Company’s Quarterly Report on Form 10-Q, as filed with Commission on November 13, 2024.</w:t>
              </w:r>
            </w:hyperlink>
            <w:hyperlink r:id="rId15">
              <w:r>
                <w:rPr>
                  <w:rStyle w:val="InternetLink"/>
                  <w:rFonts w:ascii="times new roman;times" w:hAnsi="times new roman;times"/>
                  <w:sz w:val="24"/>
                </w:rPr>
                <w:t xml:space="preserve"> </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widowControl/>
              <w:bidi w:val="0"/>
              <w:spacing w:before="0" w:after="0"/>
              <w:ind w:left="0" w:right="0" w:hanging="0"/>
              <w:jc w:val="center"/>
              <w:rPr/>
            </w:pPr>
            <w:hyperlink r:id="rId16">
              <w:r>
                <w:rPr>
                  <w:rStyle w:val="InternetLink"/>
                  <w:rFonts w:ascii="times new roman;times" w:hAnsi="times new roman;times"/>
                  <w:b w:val="false"/>
                  <w:spacing w:val="0"/>
                  <w:sz w:val="20"/>
                </w:rPr>
                <w:t>Certificate of Designation of the Series A Preferred Stock of the Company,</w:t>
              </w:r>
            </w:hyperlink>
            <w:hyperlink r:id="rId17">
              <w:r>
                <w:rPr>
                  <w:rStyle w:val="InternetLink"/>
                </w:rPr>
                <w:t> incorporated by reference to the Company’s Current Report on Form 8-K, as filed with the Commission on December 27, 2022.</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18">
              <w:r>
                <w:rPr>
                  <w:rStyle w:val="InternetLink"/>
                </w:rPr>
                <w:t>Certificate of Elimination of the Series A Preferred Stock of the Company, dated March 3, 2023, 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3.5</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19">
              <w:r>
                <w:rPr>
                  <w:rStyle w:val="InternetLink"/>
                </w:rPr>
                <w:t>Certificate of Amendment to the Certificate of Incorporation, filed February 13, 2023, incorporated by reference to the Company’s Current Report on Form 8-K, as filed with the Commission on February 14,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shd w:fill="FFFFFF" w:val="clear"/>
              </w:rPr>
            </w:pPr>
            <w:r>
              <w:rPr>
                <w:rFonts w:ascii="times new roman;times" w:hAnsi="times new roman;times"/>
                <w:b w:val="false"/>
                <w:i w:val="false"/>
                <w:caps w:val="false"/>
                <w:smallCaps w:val="false"/>
                <w:color w:val="000000"/>
                <w:spacing w:val="0"/>
                <w:sz w:val="20"/>
                <w:shd w:fill="FFFFFF" w:val="clear"/>
              </w:rPr>
              <w:t>4.1*</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w:anchor="ex41_1.htm">
              <w:r>
                <w:rPr>
                  <w:rStyle w:val="InternetLink"/>
                </w:rPr>
                <w:t>Description of Securities</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4.2</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0">
              <w:r>
                <w:rPr>
                  <w:rStyle w:val="InternetLink"/>
                </w:rPr>
                <w:t>Form of Pre-Funded Warrant, incorporated by reference to the Company’s Current Report on Form 8-K, as filed with the Commission on July 31,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4.3</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widowControl/>
              <w:bidi w:val="0"/>
              <w:spacing w:before="0" w:after="0"/>
              <w:ind w:left="0" w:right="0" w:hanging="0"/>
              <w:jc w:val="left"/>
              <w:rPr/>
            </w:pPr>
            <w:hyperlink r:id="rId21">
              <w:r>
                <w:rPr>
                  <w:rStyle w:val="InternetLink"/>
                  <w:rFonts w:ascii="times new roman" w:hAnsi="times new roman"/>
                  <w:b w:val="false"/>
                  <w:spacing w:val="0"/>
                  <w:sz w:val="20"/>
                </w:rPr>
                <w:t>Form of Common Warrant, incorporated by reference to the Company’s Current Report on Form 8-K, as filed with the Commission on July 31,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pPr>
            <w:r>
              <w:rPr/>
              <w:t>4.4</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2">
              <w:r>
                <w:rPr>
                  <w:rStyle w:val="InternetLink"/>
                  <w:rFonts w:ascii="times new roman;times" w:hAnsi="times new roman;times"/>
                  <w:sz w:val="20"/>
                </w:rPr>
                <w:t>Form of Pre-Funded Warrant (Private), incorporated by reference to the Company’s Current Report on Form 8-K, as filed with the Commission on June 3, 2024.</w:t>
              </w:r>
            </w:hyperlink>
            <w:hyperlink r:id="rId23">
              <w:r>
                <w:rPr>
                  <w:rStyle w:val="InternetLink"/>
                  <w:rFonts w:ascii="times new roman;times" w:hAnsi="times new roman;times"/>
                </w:rPr>
                <w:t xml:space="preserve"> </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4.5</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4">
              <w:r>
                <w:rPr>
                  <w:rStyle w:val="InternetLink"/>
                  <w:rFonts w:ascii="times new roman;times" w:hAnsi="times new roman;times"/>
                  <w:sz w:val="20"/>
                </w:rPr>
                <w:t>Form of Pre-Funded Warrant (Registered Direct), incorporated by reference to the Company’s Current Report on Form 8-K, as filed with the Commission on June 3, 2024.</w:t>
              </w:r>
            </w:hyperlink>
            <w:hyperlink r:id="rId25">
              <w:r>
                <w:rPr>
                  <w:rStyle w:val="InternetLink"/>
                  <w:rFonts w:ascii="times new roman;times" w:hAnsi="times new roman;times"/>
                  <w:sz w:val="24"/>
                </w:rPr>
                <w:t xml:space="preserve"> </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4.6</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6">
              <w:r>
                <w:rPr>
                  <w:rStyle w:val="InternetLink"/>
                  <w:rFonts w:ascii="times new roman;times" w:hAnsi="times new roman;times"/>
                  <w:sz w:val="20"/>
                </w:rPr>
                <w:t>Form of Common Warrant, incorporated by reference to the Company’s Current Report on Form 8-K, as filed with the Commission on June 3, 2024.</w:t>
              </w:r>
            </w:hyperlink>
            <w:hyperlink r:id="rId27">
              <w:r>
                <w:rPr>
                  <w:rStyle w:val="InternetLink"/>
                  <w:rFonts w:ascii="times new roman;times" w:hAnsi="times new roman;times"/>
                  <w:sz w:val="24"/>
                </w:rPr>
                <w:t xml:space="preserve"> </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lineRule="auto" w:line="288" w:before="0" w:after="0"/>
              <w:ind w:left="0" w:right="0" w:hanging="0"/>
              <w:jc w:val="left"/>
              <w:rPr/>
            </w:pPr>
            <w:hyperlink r:id="rId28">
              <w:r>
                <w:rPr>
                  <w:rStyle w:val="InternetLink"/>
                  <w:rFonts w:ascii="times new roman;times" w:hAnsi="times new roman;times"/>
                  <w:sz w:val="20"/>
                </w:rPr>
                <w:t>electroCore, Inc. 2018 Omnibus Equity Incentive Plan, incorporated by reference to the Company’s Quarterly Report on Form 10-Q for the period ended March 31, 2023 as filed with the Commission on May 3,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rPr>
            </w:pPr>
            <w:r>
              <w:rPr>
                <w:rFonts w:ascii="times new roman;times" w:hAnsi="times new roman;times"/>
              </w:rPr>
              <w:t>10.2</w:t>
            </w:r>
            <w:r>
              <w:rPr>
                <w:rFonts w:ascii="times new roman;times" w:hAnsi="times new roman;times"/>
                <w:caps w:val="false"/>
                <w:smallCaps w:val="false"/>
                <w:color w:val="000000"/>
                <w:spacing w:val="0"/>
              </w:rPr>
              <w:t>†</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9">
              <w:r>
                <w:rPr>
                  <w:rStyle w:val="InternetLink"/>
                </w:rPr>
                <w:t>Form of Employee Restricted Stock Unit Agreement for electroCore, Inc. 2018 Omnibus Equity Incentive Plan, 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10.3†</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widowControl/>
              <w:bidi w:val="0"/>
              <w:spacing w:before="0" w:after="0"/>
              <w:ind w:left="0" w:right="0" w:hanging="0"/>
              <w:jc w:val="left"/>
              <w:rPr/>
            </w:pPr>
            <w:hyperlink r:id="rId30">
              <w:r>
                <w:rPr>
                  <w:rStyle w:val="InternetLink"/>
                </w:rPr>
                <w:t>Form of Non-qualified Stock Option Agreement for electroCore, Inc. 2018 Omnibus Equity Incentive Plan, </w:t>
              </w:r>
            </w:hyperlink>
            <w:hyperlink r:id="rId31">
              <w:r>
                <w:rPr>
                  <w:rStyle w:val="InternetLink"/>
                  <w:rFonts w:ascii="times new roman" w:hAnsi="times new roman"/>
                  <w:b w:val="false"/>
                  <w:spacing w:val="0"/>
                  <w:sz w:val="20"/>
                </w:rPr>
                <w:t>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10.4†</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hyperlink r:id="rId32">
              <w:r>
                <w:rPr>
                  <w:rStyle w:val="InternetLink"/>
                  <w:rFonts w:ascii="times new roman;times" w:hAnsi="times new roman;times"/>
                  <w:color w:val="0000FF"/>
                  <w:sz w:val="20"/>
                  <w:u w:val="single"/>
                </w:rPr>
                <w:t>Form of Employee Restricted Stock Award Agreement for electroCore, Inc. 2018 Omnibus Equity Incentive Plan,</w:t>
              </w:r>
            </w:hyperlink>
            <w:hyperlink r:id="rId33">
              <w:r>
                <w:rPr>
                  <w:rStyle w:val="InternetLink"/>
                  <w:rFonts w:ascii="times new roman;times" w:hAnsi="times new roman;times"/>
                  <w:sz w:val="20"/>
                </w:rPr>
                <w:t> incorporated by reference to the Company’s Registration Statement on Form S-1, Registration No. 333-225084, as filed with the Commission on May 21, 2018.</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533"/>
        <w:gridCol w:w="60"/>
        <w:gridCol w:w="9612"/>
      </w:tblGrid>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10.5†</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lineRule="auto" w:line="288" w:before="0" w:after="0"/>
              <w:ind w:left="0" w:right="0" w:hanging="0"/>
              <w:jc w:val="left"/>
              <w:rPr/>
            </w:pPr>
            <w:hyperlink r:id="rId34">
              <w:r>
                <w:rPr>
                  <w:rStyle w:val="InternetLink"/>
                  <w:rFonts w:ascii="times new roman;times" w:hAnsi="times new roman;times"/>
                  <w:color w:val="0000FF"/>
                  <w:sz w:val="20"/>
                  <w:u w:val="single"/>
                </w:rPr>
                <w:t>Form of Non-Employee Director Inaugural Deferred Stock Unit Award Agreement for electroCore, Inc. 2018 Omnibus Equity Incentive Plan, </w:t>
              </w:r>
            </w:hyperlink>
            <w:hyperlink r:id="rId35">
              <w:r>
                <w:rPr>
                  <w:rStyle w:val="InternetLink"/>
                  <w:rFonts w:ascii="times new roman;times" w:hAnsi="times new roman;times"/>
                  <w:b w:val="false"/>
                  <w:color w:val="0000FF"/>
                  <w:spacing w:val="0"/>
                  <w:sz w:val="20"/>
                  <w:u w:val="single"/>
                </w:rPr>
                <w:t>incorporated by reference to the </w:t>
              </w:r>
            </w:hyperlink>
            <w:hyperlink r:id="rId36">
              <w:r>
                <w:rPr>
                  <w:rStyle w:val="InternetLink"/>
                  <w:rFonts w:ascii="times new roman;times" w:hAnsi="times new roman;times"/>
                  <w:color w:val="0000FF"/>
                  <w:sz w:val="20"/>
                  <w:u w:val="single"/>
                </w:rPr>
                <w:t>Company’s</w:t>
              </w:r>
            </w:hyperlink>
            <w:hyperlink r:id="rId37">
              <w:r>
                <w:rPr>
                  <w:rStyle w:val="InternetLink"/>
                  <w:rFonts w:ascii="times new roman;times" w:hAnsi="times new roman;times"/>
                  <w:color w:val="0000FF"/>
                  <w:spacing w:val="0"/>
                  <w:sz w:val="20"/>
                  <w:u w:val="single"/>
                </w:rPr>
                <w:t> </w:t>
              </w:r>
            </w:hyperlink>
            <w:hyperlink r:id="rId38">
              <w:r>
                <w:rPr>
                  <w:rStyle w:val="InternetLink"/>
                  <w:rFonts w:ascii="times new roman;times" w:hAnsi="times new roman;times"/>
                  <w:b w:val="false"/>
                  <w:color w:val="0000FF"/>
                  <w:spacing w:val="0"/>
                  <w:sz w:val="20"/>
                  <w:u w:val="single"/>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612" w:type="dxa"/>
            <w:tcBorders/>
            <w:shd w:fill="FFFFFF" w:val="clear"/>
            <w:vAlign w:val="center"/>
          </w:tcPr>
          <w:p>
            <w:pPr>
              <w:pStyle w:val="TableContents"/>
              <w:bidi w:val="0"/>
              <w:spacing w:before="0" w:after="283"/>
              <w:ind w:left="0" w:right="0" w:hanging="0"/>
              <w:jc w:val="left"/>
              <w:rPr/>
            </w:pPr>
            <w:r>
              <w:rPr/>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10.6†</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39">
              <w:r>
                <w:rPr>
                  <w:rStyle w:val="InternetLink"/>
                  <w:rFonts w:ascii="times new roman;times" w:hAnsi="times new roman;times"/>
                  <w:color w:val="0000EE"/>
                  <w:sz w:val="20"/>
                  <w:u w:val="single"/>
                </w:rPr>
                <w:t>Form of Non-Employee Director Inaugural Non-qualified Stock Option Agreement for electroCore, Inc. 2018 Omnibus Equity Incentive Plan,</w:t>
              </w:r>
            </w:hyperlink>
            <w:hyperlink r:id="rId40">
              <w:r>
                <w:rPr>
                  <w:rStyle w:val="InternetLink"/>
                  <w:rFonts w:ascii="times new roman;times" w:hAnsi="times new roman;times"/>
                  <w:color w:val="0000EE"/>
                  <w:sz w:val="20"/>
                </w:rPr>
                <w:t> </w:t>
              </w:r>
            </w:hyperlink>
            <w:hyperlink r:id="rId41">
              <w:r>
                <w:rPr>
                  <w:rStyle w:val="InternetLink"/>
                  <w:rFonts w:ascii="times new roman;times" w:hAnsi="times new roman;times"/>
                  <w:b w:val="false"/>
                  <w:color w:val="0000EE"/>
                  <w:spacing w:val="0"/>
                  <w:sz w:val="20"/>
                </w:rPr>
                <w:t>incorporated by reference to the </w:t>
              </w:r>
            </w:hyperlink>
            <w:hyperlink r:id="rId42">
              <w:r>
                <w:rPr>
                  <w:rStyle w:val="InternetLink"/>
                  <w:rFonts w:ascii="times new roman;times" w:hAnsi="times new roman;times"/>
                  <w:color w:val="0000EE"/>
                  <w:sz w:val="20"/>
                </w:rPr>
                <w:t>Company’s</w:t>
              </w:r>
            </w:hyperlink>
            <w:hyperlink r:id="rId43">
              <w:r>
                <w:rPr>
                  <w:rStyle w:val="InternetLink"/>
                  <w:rFonts w:ascii="times new roman;times" w:hAnsi="times new roman;times"/>
                  <w:color w:val="0000EE"/>
                  <w:spacing w:val="0"/>
                  <w:sz w:val="20"/>
                </w:rPr>
                <w:t> </w:t>
              </w:r>
            </w:hyperlink>
            <w:hyperlink r:id="rId44">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612" w:type="dxa"/>
            <w:tcBorders/>
            <w:shd w:fill="FFFFFF" w:val="clear"/>
            <w:vAlign w:val="center"/>
          </w:tcPr>
          <w:p>
            <w:pPr>
              <w:pStyle w:val="TableContents"/>
              <w:bidi w:val="0"/>
              <w:spacing w:before="0" w:after="283"/>
              <w:ind w:left="0" w:right="0" w:hanging="0"/>
              <w:jc w:val="left"/>
              <w:rPr/>
            </w:pPr>
            <w:r>
              <w:rPr/>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10.7†</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45">
              <w:r>
                <w:rPr>
                  <w:rStyle w:val="InternetLink"/>
                  <w:rFonts w:ascii="times new roman;times" w:hAnsi="times new roman;times"/>
                  <w:color w:val="0000EE"/>
                  <w:sz w:val="20"/>
                  <w:u w:val="single"/>
                </w:rPr>
                <w:t>Form of Non-Employee Director Inaugural Restricted Stock Unit Agreement for electroCore, Inc. 2018 Omnibus Equity Incentive Plan,</w:t>
              </w:r>
            </w:hyperlink>
            <w:hyperlink r:id="rId46">
              <w:r>
                <w:rPr>
                  <w:rStyle w:val="InternetLink"/>
                  <w:rFonts w:ascii="times new roman;times" w:hAnsi="times new roman;times"/>
                  <w:color w:val="0000EE"/>
                  <w:sz w:val="20"/>
                </w:rPr>
                <w:t> </w:t>
              </w:r>
            </w:hyperlink>
            <w:hyperlink r:id="rId47">
              <w:r>
                <w:rPr>
                  <w:rStyle w:val="InternetLink"/>
                  <w:rFonts w:ascii="times new roman;times" w:hAnsi="times new roman;times"/>
                  <w:b w:val="false"/>
                  <w:color w:val="0000EE"/>
                  <w:spacing w:val="0"/>
                  <w:sz w:val="20"/>
                </w:rPr>
                <w:t>incorporated by reference to the </w:t>
              </w:r>
            </w:hyperlink>
            <w:hyperlink r:id="rId48">
              <w:r>
                <w:rPr>
                  <w:rStyle w:val="InternetLink"/>
                  <w:rFonts w:ascii="times new roman;times" w:hAnsi="times new roman;times"/>
                  <w:color w:val="0000EE"/>
                  <w:sz w:val="20"/>
                </w:rPr>
                <w:t>Company’s</w:t>
              </w:r>
            </w:hyperlink>
            <w:hyperlink r:id="rId49">
              <w:r>
                <w:rPr>
                  <w:rStyle w:val="InternetLink"/>
                  <w:rFonts w:ascii="times new roman;times" w:hAnsi="times new roman;times"/>
                  <w:color w:val="0000EE"/>
                  <w:spacing w:val="0"/>
                  <w:sz w:val="20"/>
                </w:rPr>
                <w:t> </w:t>
              </w:r>
            </w:hyperlink>
            <w:hyperlink r:id="rId50">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10.8†</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51">
              <w:r>
                <w:rPr>
                  <w:rStyle w:val="InternetLink"/>
                  <w:rFonts w:ascii="times new roman;times" w:hAnsi="times new roman;times"/>
                  <w:color w:val="0000EE"/>
                  <w:sz w:val="20"/>
                  <w:u w:val="single"/>
                </w:rPr>
                <w:t>Form of Non-Employee Director Annual Deferred Stock Unit Award Agreement for electroCore, Inc. 2018 Omnibus Equity Incentive Plan,</w:t>
              </w:r>
            </w:hyperlink>
            <w:hyperlink r:id="rId52">
              <w:r>
                <w:rPr>
                  <w:rStyle w:val="InternetLink"/>
                  <w:rFonts w:ascii="times new roman;times" w:hAnsi="times new roman;times"/>
                  <w:color w:val="0000EE"/>
                  <w:sz w:val="20"/>
                </w:rPr>
                <w:t> </w:t>
              </w:r>
            </w:hyperlink>
            <w:hyperlink r:id="rId53">
              <w:r>
                <w:rPr>
                  <w:rStyle w:val="InternetLink"/>
                  <w:rFonts w:ascii="times new roman;times" w:hAnsi="times new roman;times"/>
                  <w:b w:val="false"/>
                  <w:color w:val="0000EE"/>
                  <w:spacing w:val="0"/>
                  <w:sz w:val="20"/>
                </w:rPr>
                <w:t>incorporated by reference to the </w:t>
              </w:r>
            </w:hyperlink>
            <w:hyperlink r:id="rId54">
              <w:r>
                <w:rPr>
                  <w:rStyle w:val="InternetLink"/>
                  <w:rFonts w:ascii="times new roman;times" w:hAnsi="times new roman;times"/>
                  <w:color w:val="0000EE"/>
                  <w:sz w:val="20"/>
                </w:rPr>
                <w:t>Company’s</w:t>
              </w:r>
            </w:hyperlink>
            <w:hyperlink r:id="rId55">
              <w:r>
                <w:rPr>
                  <w:rStyle w:val="InternetLink"/>
                  <w:rFonts w:ascii="times new roman;times" w:hAnsi="times new roman;times"/>
                  <w:color w:val="0000EE"/>
                  <w:spacing w:val="0"/>
                  <w:sz w:val="20"/>
                </w:rPr>
                <w:t> </w:t>
              </w:r>
            </w:hyperlink>
            <w:hyperlink r:id="rId56">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10.9†</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lineRule="auto" w:line="288" w:before="0" w:after="0"/>
              <w:ind w:left="0" w:right="0" w:hanging="0"/>
              <w:jc w:val="left"/>
              <w:rPr/>
            </w:pPr>
            <w:hyperlink r:id="rId57">
              <w:r>
                <w:rPr>
                  <w:rStyle w:val="InternetLink"/>
                  <w:rFonts w:ascii="times new roman;times" w:hAnsi="times new roman;times"/>
                  <w:color w:val="0000EE"/>
                  <w:sz w:val="20"/>
                  <w:u w:val="single"/>
                </w:rPr>
                <w:t>Form of Non-Employee Director Annual Non-qualified Stock Option Agreement for electroCore, Inc. 2018 Omnibus Equity Incentive Plan,</w:t>
              </w:r>
            </w:hyperlink>
            <w:hyperlink r:id="rId58">
              <w:r>
                <w:rPr>
                  <w:rStyle w:val="InternetLink"/>
                  <w:rFonts w:ascii="times new roman;times" w:hAnsi="times new roman;times"/>
                  <w:color w:val="0000EE"/>
                  <w:sz w:val="20"/>
                </w:rPr>
                <w:t> </w:t>
              </w:r>
            </w:hyperlink>
            <w:hyperlink r:id="rId59">
              <w:r>
                <w:rPr>
                  <w:rStyle w:val="InternetLink"/>
                  <w:rFonts w:ascii="times new roman;times" w:hAnsi="times new roman;times"/>
                  <w:b w:val="false"/>
                  <w:color w:val="0000EE"/>
                  <w:spacing w:val="0"/>
                  <w:sz w:val="20"/>
                </w:rPr>
                <w:t>incorporated by reference to the </w:t>
              </w:r>
            </w:hyperlink>
            <w:hyperlink r:id="rId60">
              <w:r>
                <w:rPr>
                  <w:rStyle w:val="InternetLink"/>
                  <w:rFonts w:ascii="times new roman;times" w:hAnsi="times new roman;times"/>
                  <w:color w:val="0000EE"/>
                  <w:sz w:val="20"/>
                </w:rPr>
                <w:t>Company’s</w:t>
              </w:r>
            </w:hyperlink>
            <w:hyperlink r:id="rId61">
              <w:r>
                <w:rPr>
                  <w:rStyle w:val="InternetLink"/>
                  <w:rFonts w:ascii="times new roman;times" w:hAnsi="times new roman;times"/>
                  <w:color w:val="0000EE"/>
                  <w:spacing w:val="0"/>
                  <w:sz w:val="20"/>
                </w:rPr>
                <w:t> </w:t>
              </w:r>
            </w:hyperlink>
            <w:hyperlink r:id="rId62">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10.10†</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63">
              <w:r>
                <w:rPr>
                  <w:rStyle w:val="InternetLink"/>
                  <w:rFonts w:ascii="times new roman;times" w:hAnsi="times new roman;times"/>
                  <w:color w:val="0000EE"/>
                  <w:sz w:val="20"/>
                  <w:u w:val="single"/>
                </w:rPr>
                <w:t>Form of Non-Employee Director Annual Restricted Stock Unit Agreement for electroCore, Inc. 2018 Omnibus Equity Incentive Plan,</w:t>
              </w:r>
            </w:hyperlink>
            <w:hyperlink r:id="rId64">
              <w:r>
                <w:rPr>
                  <w:rStyle w:val="InternetLink"/>
                  <w:rFonts w:ascii="times new roman;times" w:hAnsi="times new roman;times"/>
                  <w:color w:val="0000EE"/>
                  <w:sz w:val="20"/>
                </w:rPr>
                <w:t> </w:t>
              </w:r>
            </w:hyperlink>
            <w:hyperlink r:id="rId65">
              <w:r>
                <w:rPr>
                  <w:rStyle w:val="InternetLink"/>
                  <w:rFonts w:ascii="times new roman;times" w:hAnsi="times new roman;times"/>
                  <w:b w:val="false"/>
                  <w:color w:val="0000EE"/>
                  <w:spacing w:val="0"/>
                  <w:sz w:val="20"/>
                </w:rPr>
                <w:t>incorporated by reference to the </w:t>
              </w:r>
            </w:hyperlink>
            <w:hyperlink r:id="rId66">
              <w:r>
                <w:rPr>
                  <w:rStyle w:val="InternetLink"/>
                  <w:rFonts w:ascii="times new roman;times" w:hAnsi="times new roman;times"/>
                  <w:color w:val="0000EE"/>
                  <w:sz w:val="20"/>
                </w:rPr>
                <w:t>Company’s</w:t>
              </w:r>
            </w:hyperlink>
            <w:hyperlink r:id="rId67">
              <w:r>
                <w:rPr>
                  <w:rStyle w:val="InternetLink"/>
                  <w:rFonts w:ascii="times new roman;times" w:hAnsi="times new roman;times"/>
                  <w:color w:val="0000EE"/>
                  <w:spacing w:val="0"/>
                  <w:sz w:val="20"/>
                </w:rPr>
                <w:t> </w:t>
              </w:r>
            </w:hyperlink>
            <w:hyperlink r:id="rId68">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10.11†</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69">
              <w:r>
                <w:rPr>
                  <w:rStyle w:val="InternetLink"/>
                  <w:rFonts w:ascii="Times New Roman;serif" w:hAnsi="Times New Roman;serif"/>
                  <w:color w:val="0000EE"/>
                  <w:sz w:val="20"/>
                </w:rPr>
                <w:t>Form of Indemnification Agreement between the Registrant and each of its executive officers and directors, incorporated by reference to the Company’s Registration Statement on Form S-1, Registration No. 333-225084, as filed with the Commission on May 21, 2018.</w:t>
              </w:r>
            </w:hyperlink>
            <w:r>
              <w:rPr/>
              <w:t xml:space="preserve"> </w:t>
            </w:r>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283"/>
              <w:ind w:left="0" w:right="0" w:hanging="0"/>
              <w:jc w:val="left"/>
              <w:rPr/>
            </w:pPr>
            <w:r>
              <w:rPr/>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10.12†</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70">
              <w:r>
                <w:rPr>
                  <w:rStyle w:val="InternetLink"/>
                  <w:rFonts w:ascii="times new roman;times" w:hAnsi="times new roman;times"/>
                  <w:color w:val="0000EE"/>
                  <w:sz w:val="20"/>
                </w:rPr>
                <w:t>electroCore, Inc. Executive Severance Policy, incorporated by reference to the Company’s Quarterly Report on Form 10-Q for the period ended March 31, 2024, as filed with the Commission on May 8, 2024.</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10.13†</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71">
              <w:r>
                <w:rPr>
                  <w:rStyle w:val="InternetLink"/>
                </w:rPr>
                <w:t>electroCore, Inc. Non-Employee Director Compensation Policy, incorporated by reference to the Company’s Registration Statement on Form S-1, Registration No. 333-274199, as filed with the Commission on August 24, 2023</w:t>
              </w:r>
            </w:hyperlink>
            <w:r>
              <w:rPr/>
              <w:t>.</w:t>
            </w:r>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10.14</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72">
              <w:r>
                <w:rPr>
                  <w:rStyle w:val="InternetLink"/>
                  <w:rFonts w:ascii="Times New Roman;serif" w:hAnsi="Times New Roman;serif"/>
                  <w:color w:val="0000FF"/>
                  <w:sz w:val="20"/>
                </w:rPr>
                <w:t>Form of Series A Warrant,</w:t>
              </w:r>
            </w:hyperlink>
            <w:hyperlink r:id="rId73">
              <w:r>
                <w:rPr>
                  <w:rStyle w:val="InternetLink"/>
                  <w:rFonts w:ascii="Times New Roman;serif" w:hAnsi="Times New Roman;serif"/>
                  <w:color w:val="0000EE"/>
                  <w:sz w:val="24"/>
                </w:rPr>
                <w:t> </w:t>
              </w:r>
            </w:hyperlink>
            <w:hyperlink r:id="rId74">
              <w:r>
                <w:rPr>
                  <w:rStyle w:val="InternetLink"/>
                  <w:rFonts w:ascii="Times New Roman;serif" w:hAnsi="Times New Roman;serif"/>
                  <w:color w:val="0000EE"/>
                  <w:sz w:val="20"/>
                </w:rPr>
                <w:t>incorporated by reference to the Company's Registration Statement on Form S-1, Registration No. 333-225084, as filed with the Commission on May 21, 2018.</w:t>
              </w:r>
            </w:hyperlink>
            <w:r>
              <w:rPr>
                <w:rFonts w:ascii="Times New Roman;serif" w:hAnsi="Times New Roman;serif"/>
                <w:sz w:val="24"/>
              </w:rPr>
              <w:t xml:space="preserve"> .</w:t>
            </w:r>
            <w:r>
              <w:rPr/>
              <w:t xml:space="preserve"> </w:t>
            </w:r>
          </w:p>
        </w:tc>
      </w:tr>
      <w:tr>
        <w:trPr/>
        <w:tc>
          <w:tcPr>
            <w:tcW w:w="533"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612" w:type="dxa"/>
            <w:tcBorders/>
            <w:shd w:fill="FFFFFF" w:val="clear"/>
            <w:vAlign w:val="center"/>
          </w:tcPr>
          <w:p>
            <w:pPr>
              <w:pStyle w:val="TableContents"/>
              <w:bidi w:val="0"/>
              <w:spacing w:before="0" w:after="283"/>
              <w:jc w:val="left"/>
              <w:rPr/>
            </w:pPr>
            <w:r>
              <w:rPr/>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tbl>
      <w:tblPr>
        <w:tblW w:w="5000" w:type="pct"/>
        <w:jc w:val="left"/>
        <w:tblInd w:w="0" w:type="dxa"/>
        <w:tblLayout w:type="fixed"/>
        <w:tblCellMar>
          <w:top w:w="0" w:type="dxa"/>
          <w:left w:w="0" w:type="dxa"/>
          <w:bottom w:w="0" w:type="dxa"/>
          <w:right w:w="0" w:type="dxa"/>
        </w:tblCellMar>
      </w:tblPr>
      <w:tblGrid>
        <w:gridCol w:w="619"/>
        <w:gridCol w:w="60"/>
        <w:gridCol w:w="9526"/>
      </w:tblGrid>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10.15†</w:t>
            </w:r>
          </w:p>
        </w:tc>
        <w:tc>
          <w:tcPr>
            <w:tcW w:w="60" w:type="dxa"/>
            <w:tcBorders/>
            <w:shd w:fill="FFFFFF" w:val="clear"/>
            <w:vAlign w:val="center"/>
          </w:tcPr>
          <w:p>
            <w:pPr>
              <w:pStyle w:val="TableContents"/>
              <w:bidi w:val="0"/>
              <w:spacing w:before="0" w:after="0"/>
              <w:ind w:left="0" w:right="0" w:hanging="0"/>
              <w:jc w:val="left"/>
              <w:rPr/>
            </w:pPr>
            <w:r>
              <w:rPr/>
              <w:t> </w:t>
            </w:r>
          </w:p>
        </w:tc>
        <w:tc>
          <w:tcPr>
            <w:tcW w:w="9526" w:type="dxa"/>
            <w:tcBorders/>
            <w:shd w:fill="FFFFFF" w:val="clear"/>
            <w:vAlign w:val="center"/>
          </w:tcPr>
          <w:p>
            <w:pPr>
              <w:pStyle w:val="TableContents"/>
              <w:bidi w:val="0"/>
              <w:spacing w:before="0" w:after="0"/>
              <w:ind w:left="0" w:right="0" w:hanging="0"/>
              <w:jc w:val="left"/>
              <w:rPr/>
            </w:pPr>
            <w:hyperlink r:id="rId75">
              <w:r>
                <w:rPr>
                  <w:rStyle w:val="InternetLink"/>
                  <w:rFonts w:ascii="times new roman;times" w:hAnsi="times new roman;times"/>
                  <w:color w:val="0000EE"/>
                  <w:sz w:val="20"/>
                </w:rPr>
                <w:t>Employment Offer Letter, dated as of September 26, 2019, between electroCore, Inc. and Daniel Goldberger, incorporated by reference to the Company's Current Report on Form 8-K, as filed with the Commission on October 2, 2019</w:t>
              </w:r>
            </w:hyperlink>
            <w:hyperlink r:id="rId76">
              <w:r>
                <w:rPr>
                  <w:rStyle w:val="InternetLink"/>
                  <w:rFonts w:ascii="times new roman;times" w:hAnsi="times new roman;times"/>
                  <w:color w:val="000000"/>
                  <w:sz w:val="20"/>
                </w:rPr>
                <w:t>.</w:t>
              </w:r>
            </w:hyperlink>
            <w:hyperlink r:id="rId77">
              <w:r>
                <w:rPr>
                  <w:rStyle w:val="InternetLink"/>
                  <w:rFonts w:ascii="times new roman;times" w:hAnsi="times new roman;times"/>
                  <w:sz w:val="24"/>
                </w:rPr>
                <w:t xml:space="preserve">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10.16†</w:t>
            </w:r>
          </w:p>
        </w:tc>
        <w:tc>
          <w:tcPr>
            <w:tcW w:w="60" w:type="dxa"/>
            <w:tcBorders/>
            <w:shd w:fill="FFFFFF" w:val="clear"/>
            <w:vAlign w:val="center"/>
          </w:tcPr>
          <w:p>
            <w:pPr>
              <w:pStyle w:val="TableContents"/>
              <w:bidi w:val="0"/>
              <w:spacing w:before="0" w:after="0"/>
              <w:ind w:left="0" w:right="0" w:hanging="0"/>
              <w:jc w:val="left"/>
              <w:rPr/>
            </w:pPr>
            <w:r>
              <w:rPr/>
              <w:t> </w:t>
            </w:r>
          </w:p>
        </w:tc>
        <w:tc>
          <w:tcPr>
            <w:tcW w:w="9526" w:type="dxa"/>
            <w:tcBorders/>
            <w:shd w:fill="FFFFFF" w:val="clear"/>
            <w:vAlign w:val="center"/>
          </w:tcPr>
          <w:p>
            <w:pPr>
              <w:pStyle w:val="TableContents"/>
              <w:bidi w:val="0"/>
              <w:spacing w:before="0" w:after="0"/>
              <w:ind w:left="0" w:right="0" w:hanging="0"/>
              <w:jc w:val="left"/>
              <w:rPr/>
            </w:pPr>
            <w:hyperlink r:id="rId78">
              <w:r>
                <w:rPr>
                  <w:rStyle w:val="InternetLink"/>
                  <w:rFonts w:ascii="Times New Roman;serif" w:hAnsi="Times New Roman;serif"/>
                  <w:color w:val="0000FF"/>
                  <w:sz w:val="20"/>
                </w:rPr>
                <w:t>Brian Posner Employment Agreement, dated as of January 30, 2019, incorporated by reference to the Company's Current Report on Form 8-K, as filed with the Commission on March 12, 2019</w:t>
              </w:r>
            </w:hyperlink>
            <w:r>
              <w:rPr>
                <w:rFonts w:ascii="Times New Roman;serif" w:hAnsi="Times New Roman;serif"/>
                <w:color w:val="000000"/>
                <w:sz w:val="20"/>
              </w:rPr>
              <w:t>.</w:t>
            </w:r>
            <w:r>
              <w:rPr/>
              <w:t xml:space="preserve"> </w:t>
            </w:r>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widowControl/>
              <w:bidi w:val="0"/>
              <w:spacing w:before="0" w:after="0"/>
              <w:ind w:left="0" w:right="0" w:hanging="0"/>
              <w:jc w:val="left"/>
              <w:rPr/>
            </w:pPr>
            <w:r>
              <w:rPr/>
              <w:t>10.17</w:t>
            </w:r>
            <w:r>
              <w:rPr>
                <w:caps w:val="false"/>
                <w:smallCaps w:val="false"/>
                <w:color w:val="000000"/>
                <w:spacing w:val="0"/>
              </w:rPr>
              <w:t>†</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79">
              <w:r>
                <w:rPr>
                  <w:rStyle w:val="InternetLink"/>
                  <w:rFonts w:ascii="Times New Roman;serif" w:hAnsi="Times New Roman;serif"/>
                  <w:color w:val="0000FF"/>
                  <w:sz w:val="20"/>
                </w:rPr>
                <w:t>Amendment to Brian Posner Employment Agreement, dated as of August 8, 2019, incorporated by reference to the Company's Quarterly Report on Form 10-Q, as filed with the Commission on August 14, 2019</w:t>
              </w:r>
            </w:hyperlink>
            <w:r>
              <w:rPr>
                <w:rFonts w:ascii="Times New Roman;serif" w:hAnsi="Times New Roman;serif"/>
                <w:color w:val="000000"/>
                <w:sz w:val="20"/>
              </w:rPr>
              <w:t>.</w:t>
            </w:r>
            <w:r>
              <w:rPr/>
              <w:t xml:space="preserve"> </w:t>
            </w:r>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10.18</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0">
              <w:r>
                <w:rPr>
                  <w:rStyle w:val="InternetLink"/>
                  <w:rFonts w:ascii="Times New Roman;serif" w:hAnsi="Times New Roman;serif"/>
                  <w:color w:val="0000EE"/>
                  <w:sz w:val="20"/>
                </w:rPr>
                <w:t>Securities Purchase Agreement, dated as of July 31, 2023 (Registered Direct), incorporated by reference to the Company's Current Report on Form 8-K, as filed with the Commission on July 31, 2023.</w:t>
              </w:r>
            </w:hyperlink>
            <w:r>
              <w:rPr/>
              <w:t xml:space="preserve"> </w:t>
            </w:r>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10.19</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1">
              <w:r>
                <w:rPr>
                  <w:rStyle w:val="InternetLink"/>
                  <w:rFonts w:ascii="Times New Roman;serif" w:hAnsi="Times New Roman;serif"/>
                  <w:color w:val="0000EE"/>
                  <w:sz w:val="20"/>
                </w:rPr>
                <w:t>Securities Purchase Agreement, dated as of July 31, 2023 (Private), incorporated by reference to the Company's Current Report on Form 8-K, as filed with the Commission on July 31, 2023.</w:t>
              </w:r>
            </w:hyperlink>
            <w:r>
              <w:rPr/>
              <w:t xml:space="preserve"> </w:t>
            </w:r>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widowControl/>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10.20</w:t>
            </w:r>
            <w:r>
              <w:rPr>
                <w:rFonts w:ascii="Times New Roman;serif" w:hAnsi="Times New Roman;serif"/>
                <w:caps w:val="false"/>
                <w:smallCaps w:val="false"/>
                <w:color w:val="000000"/>
                <w:spacing w:val="0"/>
                <w:sz w:val="20"/>
              </w:rPr>
              <w:t>†</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2">
              <w:r>
                <w:rPr>
                  <w:rStyle w:val="InternetLink"/>
                  <w:rFonts w:ascii="times new roman;times" w:hAnsi="times new roman;times"/>
                  <w:sz w:val="20"/>
                </w:rPr>
                <w:t>Consulting Agreement by and between electroCore, Inc and Brian M. Posner, dated October 4, 2024, incorporated by reference to the Company's Quarterly Report on Form 10-Q, as filed with the Commission on November 13, 2024.</w:t>
              </w:r>
            </w:hyperlink>
            <w:hyperlink r:id="rId83">
              <w:r>
                <w:rPr>
                  <w:rStyle w:val="InternetLink"/>
                  <w:rFonts w:ascii="times new roman;times" w:hAnsi="times new roman;times"/>
                  <w:sz w:val="24"/>
                </w:rPr>
                <w:t xml:space="preserve">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widowControl/>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10.21</w:t>
            </w:r>
            <w:r>
              <w:rPr>
                <w:rFonts w:ascii="Times New Roman;serif" w:hAnsi="Times New Roman;serif"/>
                <w:caps w:val="false"/>
                <w:smallCaps w:val="false"/>
                <w:color w:val="000000"/>
                <w:spacing w:val="0"/>
                <w:sz w:val="20"/>
              </w:rPr>
              <w:t>†</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4">
              <w:r>
                <w:rPr>
                  <w:rStyle w:val="InternetLink"/>
                  <w:rFonts w:ascii="times new roman;times" w:hAnsi="times new roman;times"/>
                  <w:sz w:val="20"/>
                </w:rPr>
                <w:t>Offer Letter by and between the Company and Joshua Lev, dated as of January 29, 2020, incorporated by reference to the Company's Current Report on Form 8-K, as filed with the Commission on September 6, 2024.</w:t>
              </w:r>
            </w:hyperlink>
            <w:hyperlink r:id="rId85">
              <w:r>
                <w:rPr>
                  <w:rStyle w:val="InternetLink"/>
                  <w:rFonts w:ascii="times new roman;times" w:hAnsi="times new roman;times"/>
                  <w:sz w:val="24"/>
                </w:rPr>
                <w:t xml:space="preserve">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widowControl/>
              <w:bidi w:val="0"/>
              <w:spacing w:before="0" w:after="0"/>
              <w:ind w:left="0" w:right="0" w:hanging="0"/>
              <w:jc w:val="left"/>
              <w:rPr/>
            </w:pPr>
            <w:r>
              <w:rPr/>
              <w:t>10.22</w:t>
            </w:r>
            <w:r>
              <w:rPr>
                <w:caps w:val="false"/>
                <w:smallCaps w:val="false"/>
                <w:color w:val="000000"/>
                <w:spacing w:val="0"/>
              </w:rPr>
              <w:t>†</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6">
              <w:r>
                <w:rPr>
                  <w:rStyle w:val="InternetLink"/>
                  <w:rFonts w:ascii="times new roman;times" w:hAnsi="times new roman;times"/>
                  <w:sz w:val="20"/>
                </w:rPr>
                <w:t>Amendment to the Offer Letter by and between the Company and Joshua Lev, dated as of September 3, 2024, incorporated by reference to the Company's Current Report on Form 8-K, as filed with the Commission on September 6, 2024.</w:t>
              </w:r>
            </w:hyperlink>
            <w:hyperlink r:id="rId87">
              <w:r>
                <w:rPr>
                  <w:rStyle w:val="InternetLink"/>
                  <w:rFonts w:ascii="times new roman;times" w:hAnsi="times new roman;times"/>
                </w:rPr>
                <w:t xml:space="preserve">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10.23</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88">
              <w:r>
                <w:rPr>
                  <w:rStyle w:val="InternetLink"/>
                  <w:rFonts w:ascii="times new roman;times" w:hAnsi="times new roman;times"/>
                  <w:sz w:val="20"/>
                </w:rPr>
                <w:t>Form of Securities Purchase Agreement, dated as of June 3, 2024 (Registered Direct), incorporated by reference to the Company's Current Report on Form 8-K, as filed with the Commission on June 3, 2024.</w:t>
              </w:r>
            </w:hyperlink>
            <w:hyperlink r:id="rId89">
              <w:r>
                <w:rPr>
                  <w:rStyle w:val="InternetLink"/>
                  <w:rFonts w:ascii="times new roman;times" w:hAnsi="times new roman;times"/>
                </w:rPr>
                <w:t xml:space="preserve">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10.24</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90">
              <w:r>
                <w:rPr>
                  <w:rStyle w:val="InternetLink"/>
                  <w:rFonts w:ascii="times new roman;times" w:hAnsi="times new roman;times"/>
                  <w:sz w:val="20"/>
                </w:rPr>
                <w:t>Form of Securities Purchase Agreement, dated as of May 31, 2024 (Private), incorporated by reference to the Company's Current Report on Form 8-K, as filed with the Commission on June 3, 2024.</w:t>
              </w:r>
            </w:hyperlink>
            <w:r>
              <w:rPr/>
              <w:t xml:space="preserve"> </w:t>
            </w:r>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10.25</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91">
              <w:r>
                <w:rPr>
                  <w:rStyle w:val="InternetLink"/>
                  <w:rFonts w:ascii="times new roman;times" w:hAnsi="times new roman;times"/>
                  <w:color w:val="000000"/>
                  <w:sz w:val="20"/>
                </w:rPr>
                <w:t xml:space="preserve">At The Market Offering Agreement, dated as of November 29, 2024, between H.C. Wainwright &amp; Co., LLC and electroCore, Inc., incorporated by reference to the Company's Current Report on Form 8-K, as filed with the Commission on November 29, 2024. </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10.26</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tcPr>
          <w:p>
            <w:pPr>
              <w:pStyle w:val="TableContents"/>
              <w:bidi w:val="0"/>
              <w:spacing w:before="0" w:after="0"/>
              <w:ind w:left="0" w:right="0" w:hanging="0"/>
              <w:jc w:val="left"/>
              <w:rPr/>
            </w:pPr>
            <w:hyperlink r:id="rId92">
              <w:r>
                <w:rPr>
                  <w:rStyle w:val="InternetLink"/>
                  <w:rFonts w:ascii="times new roman;times" w:hAnsi="times new roman;times"/>
                  <w:sz w:val="20"/>
                </w:rPr>
                <w:t>Agreement and Plan of Merger dated December 17, 2024, by and among electroCore, Inc., Nexus Merger Sub Inc. and NeuroMetrix, Inc., incorporated by reference to the Company's Current Report on Form 8-K, as filed with the Commission on December 17, 2024.</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10.27</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93">
              <w:r>
                <w:rPr>
                  <w:rStyle w:val="InternetLink"/>
                  <w:rFonts w:ascii="times new roman;times" w:hAnsi="times new roman;times"/>
                  <w:sz w:val="20"/>
                </w:rPr>
                <w:t>Voting and Support Agreement, dated December 17, 2024, by and among electroCore, Inc., and the stockholders of NeuroMetrix, Inc. named therein, incorporated by reference to the Company's Current Report on Form 8-K, as filed with the Commission on December 17, 2024.</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10.28</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r:id="rId94">
              <w:r>
                <w:rPr>
                  <w:rStyle w:val="InternetLink"/>
                  <w:rFonts w:ascii="times new roman;times" w:hAnsi="times new roman;times"/>
                  <w:sz w:val="20"/>
                </w:rPr>
                <w:t>Consulting Agreement by and between electroCore, Inc. and F. Peter Cuneo, dated July 11, 2024, incorporated by reference to the Company’s Current Report on Form 8-K, filed with the Commission on July 17, 2024.</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ind w:left="0" w:right="0" w:hanging="0"/>
              <w:jc w:val="left"/>
              <w:rPr/>
            </w:pPr>
            <w:r>
              <w:rPr/>
            </w:r>
          </w:p>
        </w:tc>
      </w:tr>
      <w:tr>
        <w:trPr/>
        <w:tc>
          <w:tcPr>
            <w:tcW w:w="619" w:type="dxa"/>
            <w:tcBorders/>
            <w:shd w:fill="FFFFFF" w:val="clear"/>
            <w:vAlign w:val="center"/>
          </w:tcPr>
          <w:p>
            <w:pPr>
              <w:pStyle w:val="TableContents"/>
              <w:bidi w:val="0"/>
              <w:spacing w:before="0" w:after="0"/>
              <w:ind w:left="0" w:right="0" w:hanging="0"/>
              <w:jc w:val="left"/>
              <w:rPr/>
            </w:pPr>
            <w:r>
              <w:rPr/>
              <w:t>19.1*</w:t>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0"/>
              <w:ind w:left="0" w:right="0" w:hanging="0"/>
              <w:jc w:val="left"/>
              <w:rPr/>
            </w:pPr>
            <w:hyperlink w:anchor="ex191_2.htm">
              <w:r>
                <w:rPr>
                  <w:rStyle w:val="InternetLink"/>
                </w:rPr>
                <w:t>electroCore, Inc. Insider Trading Policy.</w:t>
              </w:r>
            </w:hyperlink>
          </w:p>
        </w:tc>
      </w:tr>
      <w:tr>
        <w:trPr/>
        <w:tc>
          <w:tcPr>
            <w:tcW w:w="619"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26" w:type="dxa"/>
            <w:tcBorders/>
            <w:shd w:fill="FFFFFF" w:val="clear"/>
            <w:vAlign w:val="center"/>
          </w:tcPr>
          <w:p>
            <w:pPr>
              <w:pStyle w:val="TableContents"/>
              <w:bidi w:val="0"/>
              <w:spacing w:before="0" w:after="283"/>
              <w:jc w:val="left"/>
              <w:rPr/>
            </w:pPr>
            <w:r>
              <w:rPr/>
            </w:r>
          </w:p>
        </w:tc>
      </w:tr>
    </w:tbl>
    <w:p>
      <w:pPr>
        <w:pStyle w:val="TextBody"/>
        <w:bidi w:val="0"/>
        <w:spacing w:lineRule="auto" w:line="288" w:before="0" w:after="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632"/>
        <w:gridCol w:w="60"/>
        <w:gridCol w:w="9513"/>
      </w:tblGrid>
      <w:tr>
        <w:trPr/>
        <w:tc>
          <w:tcPr>
            <w:tcW w:w="632"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21.1*</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211_3.htm">
              <w:r>
                <w:rPr>
                  <w:rStyle w:val="InternetLink"/>
                </w:rPr>
                <w:t>List of subsidiaries of electroCore, Inc.</w:t>
              </w:r>
            </w:hyperlink>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23.1*</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231_4.htm">
              <w:r>
                <w:rPr>
                  <w:rStyle w:val="InternetLink"/>
                </w:rPr>
                <w:t>Consent of Marcum LLP</w:t>
              </w:r>
            </w:hyperlink>
          </w:p>
        </w:tc>
      </w:tr>
      <w:tr>
        <w:trPr/>
        <w:tc>
          <w:tcPr>
            <w:tcW w:w="632"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283"/>
              <w:ind w:left="0" w:right="0" w:hanging="0"/>
              <w:jc w:val="left"/>
              <w:rPr/>
            </w:pPr>
            <w:r>
              <w:rPr/>
            </w:r>
          </w:p>
        </w:tc>
      </w:tr>
      <w:tr>
        <w:trPr/>
        <w:tc>
          <w:tcPr>
            <w:tcW w:w="632"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31.1*</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311_5.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31.2*</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312_6.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32.1*</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321_7.htm">
              <w:r>
                <w:rPr>
                  <w:rStyle w:val="InternetLink"/>
                </w:rPr>
                <w:t>Certification of Principal Executive Officer Pursuant to 18 U.S.C. Section 1350, as Adopted Pursuant to Section 906 of the Sarbanes-Oxley Act of 2002.</w:t>
              </w:r>
            </w:hyperlink>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32.2*</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hyperlink w:anchor="ex322_8.htm">
              <w:r>
                <w:rPr>
                  <w:rStyle w:val="InternetLink"/>
                </w:rPr>
                <w:t>Certification of Principal Financial Officer Pursuant to 18 U.S.C. Section 1350, as Adopted Pursuant to Section 906 of the Sarbanes-Oxley Act of 2002.</w:t>
              </w:r>
            </w:hyperlink>
          </w:p>
        </w:tc>
      </w:tr>
      <w:tr>
        <w:trPr/>
        <w:tc>
          <w:tcPr>
            <w:tcW w:w="632"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283"/>
              <w:ind w:left="0" w:right="0" w:hanging="0"/>
              <w:jc w:val="left"/>
              <w:rPr/>
            </w:pPr>
            <w:r>
              <w:rPr/>
            </w:r>
          </w:p>
        </w:tc>
      </w:tr>
      <w:tr>
        <w:trPr/>
        <w:tc>
          <w:tcPr>
            <w:tcW w:w="632" w:type="dxa"/>
            <w:tcBorders/>
            <w:shd w:fill="FFFFFF" w:val="clear"/>
            <w:vAlign w:val="center"/>
          </w:tcPr>
          <w:p>
            <w:pPr>
              <w:pStyle w:val="TableContents"/>
              <w:bidi w:val="0"/>
              <w:spacing w:before="0" w:after="0"/>
              <w:ind w:left="0" w:right="0" w:hanging="0"/>
              <w:jc w:val="left"/>
              <w:rPr/>
            </w:pPr>
            <w:r>
              <w:rPr>
                <w:rFonts w:ascii="Times New Roman;serif" w:hAnsi="Times New Roman;serif"/>
                <w:color w:val="000000"/>
                <w:sz w:val="20"/>
              </w:rPr>
              <w:t>97.1</w:t>
            </w:r>
            <w:r>
              <w:rPr/>
              <w:t xml:space="preserve"> </w:t>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0"/>
              <w:ind w:left="0" w:right="0" w:hanging="0"/>
              <w:jc w:val="left"/>
              <w:rPr/>
            </w:pPr>
            <w:hyperlink r:id="rId95">
              <w:r>
                <w:rPr>
                  <w:rStyle w:val="InternetLink"/>
                </w:rPr>
                <w:t>Clawback Policy, incorporated by reference to the Company’s Annual Report on Form 10-K for the fiscal year ended December 31, 2023, as filed with the Commission on March 13, 2024.</w:t>
              </w:r>
            </w:hyperlink>
          </w:p>
        </w:tc>
      </w:tr>
      <w:tr>
        <w:trPr/>
        <w:tc>
          <w:tcPr>
            <w:tcW w:w="632"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283"/>
              <w:ind w:left="0" w:right="0" w:hanging="0"/>
              <w:jc w:val="left"/>
              <w:rPr/>
            </w:pPr>
            <w:r>
              <w:rPr/>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101.INS</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Instance Document </w:t>
            </w:r>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101.SCH</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Schema Document</w:t>
            </w:r>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101.CAL</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Calculation Linkbase Document</w:t>
            </w:r>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101.DEF</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Definition Linkbase Document</w:t>
            </w:r>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101.LAB</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Label Linkbase Document</w:t>
            </w:r>
          </w:p>
        </w:tc>
      </w:tr>
      <w:tr>
        <w:trPr/>
        <w:tc>
          <w:tcPr>
            <w:tcW w:w="632"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pPr>
            <w:r>
              <w:rPr/>
              <w:t> </w:t>
            </w:r>
          </w:p>
        </w:tc>
      </w:tr>
      <w:tr>
        <w:trPr/>
        <w:tc>
          <w:tcPr>
            <w:tcW w:w="632" w:type="dxa"/>
            <w:tcBorders/>
            <w:shd w:fill="FFFFFF" w:val="clear"/>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101.PRE</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1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Presentation Linkbase Document</w:t>
            </w:r>
          </w:p>
        </w:tc>
      </w:tr>
      <w:tr>
        <w:trPr/>
        <w:tc>
          <w:tcPr>
            <w:tcW w:w="632"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283"/>
              <w:ind w:left="0" w:right="0" w:hanging="0"/>
              <w:jc w:val="left"/>
              <w:rPr/>
            </w:pPr>
            <w:r>
              <w:rPr/>
            </w:r>
          </w:p>
        </w:tc>
      </w:tr>
      <w:tr>
        <w:trPr/>
        <w:tc>
          <w:tcPr>
            <w:tcW w:w="632" w:type="dxa"/>
            <w:tcBorders/>
            <w:shd w:fill="FFFFFF" w:val="clear"/>
            <w:vAlign w:val="center"/>
          </w:tcPr>
          <w:p>
            <w:pPr>
              <w:pStyle w:val="TableContents"/>
              <w:bidi w:val="0"/>
              <w:spacing w:before="0" w:after="0"/>
              <w:ind w:left="0" w:right="0" w:hanging="0"/>
              <w:jc w:val="left"/>
              <w:rPr/>
            </w:pPr>
            <w:r>
              <w:rPr>
                <w:rFonts w:ascii="Times New Roman;serif" w:hAnsi="Times New Roman;serif"/>
                <w:color w:val="000000"/>
                <w:sz w:val="20"/>
              </w:rPr>
              <w:t>104*</w:t>
            </w:r>
            <w:r>
              <w:rPr/>
              <w:t xml:space="preserve"> </w:t>
            </w:r>
          </w:p>
        </w:tc>
        <w:tc>
          <w:tcPr>
            <w:tcW w:w="60" w:type="dxa"/>
            <w:tcBorders/>
            <w:shd w:fill="FFFFFF" w:val="clear"/>
            <w:vAlign w:val="center"/>
          </w:tcPr>
          <w:p>
            <w:pPr>
              <w:pStyle w:val="TableContents"/>
              <w:bidi w:val="0"/>
              <w:spacing w:before="0" w:after="283"/>
              <w:ind w:left="0" w:right="0" w:hanging="0"/>
              <w:jc w:val="left"/>
              <w:rPr/>
            </w:pPr>
            <w:r>
              <w:rPr/>
            </w:r>
          </w:p>
        </w:tc>
        <w:tc>
          <w:tcPr>
            <w:tcW w:w="9513" w:type="dxa"/>
            <w:tcBorders/>
            <w:shd w:fill="FFFFFF" w:val="clear"/>
            <w:vAlign w:val="center"/>
          </w:tcPr>
          <w:p>
            <w:pPr>
              <w:pStyle w:val="TableContents"/>
              <w:bidi w:val="0"/>
              <w:spacing w:before="0" w:after="0"/>
              <w:jc w:val="left"/>
              <w:rPr/>
            </w:pPr>
            <w:r>
              <w:rPr>
                <w:color w:val="000000"/>
                <w:sz w:val="20"/>
              </w:rPr>
              <w:t>Cover Page Interactive Data File (embedded within the Inline XBRL document)</w:t>
            </w:r>
            <w:r>
              <w:rPr/>
              <w:t xml:space="preserve"> </w:t>
            </w:r>
          </w:p>
        </w:tc>
      </w:tr>
    </w:tbl>
    <w:p>
      <w:pPr>
        <w:pStyle w:val="TextBody"/>
        <w:pBdr>
          <w:bottom w:val="single" w:sz="6" w:space="1" w:color="000000"/>
        </w:pBdr>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95"/>
        <w:gridCol w:w="9210"/>
      </w:tblGrid>
      <w:tr>
        <w:trPr/>
        <w:tc>
          <w:tcPr>
            <w:tcW w:w="99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21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pPr>
            <w:r>
              <w:rPr>
                <w:rFonts w:ascii="Times New Roman;serif" w:hAnsi="Times New Roman;serif"/>
                <w:color w:val="000000"/>
                <w:sz w:val="20"/>
              </w:rPr>
              <w:t>**</w:t>
            </w:r>
            <w:r>
              <w:rPr/>
              <w:t xml:space="preserve"> </w:t>
            </w:r>
          </w:p>
        </w:tc>
        <w:tc>
          <w:tcPr>
            <w:tcW w:w="10012" w:type="dxa"/>
            <w:tcBorders/>
            <w:vAlign w:val="center"/>
          </w:tcPr>
          <w:p>
            <w:pPr>
              <w:pStyle w:val="TableContents"/>
              <w:bidi w:val="0"/>
              <w:spacing w:before="0" w:after="0"/>
              <w:ind w:left="0" w:right="0" w:hanging="0"/>
              <w:jc w:val="left"/>
              <w:rPr>
                <w:rFonts w:ascii="Times New Roman;serif" w:hAnsi="Times New Roman;serif"/>
                <w:sz w:val="24"/>
              </w:rPr>
            </w:pPr>
            <w:r>
              <w:rPr>
                <w:rFonts w:ascii="Times New Roman;serif" w:hAnsi="Times New Roman;serif"/>
                <w:color w:val="000000"/>
                <w:sz w:val="20"/>
              </w:rPr>
              <w:t>The certifications attached as Exhibits 32.1 and 32.2 that accompany this Annual Report are not deemed filed with the SEC and are not to be incorporated by reference into any filing of electroCore, Inc. under the Securities Act of 1933 or the Securities Exchange Act of 1934, whether made before or after the date of this Annual Report, irrespective of any general </w:t>
            </w:r>
            <w:r>
              <w:rPr>
                <w:rFonts w:ascii="Times New Roman;serif" w:hAnsi="Times New Roman;serif"/>
                <w:sz w:val="20"/>
              </w:rPr>
              <w:t>incorporation language contained in such filing.</w:t>
            </w:r>
          </w:p>
        </w:tc>
      </w:tr>
      <w:tr>
        <w:trPr/>
        <w:tc>
          <w:tcPr>
            <w:tcW w:w="193" w:type="dxa"/>
            <w:tcBorders/>
            <w:vAlign w:val="center"/>
          </w:tcPr>
          <w:p>
            <w:pPr>
              <w:pStyle w:val="TableContents"/>
              <w:bidi w:val="0"/>
              <w:spacing w:before="0" w:after="0"/>
              <w:ind w:left="0" w:right="0" w:hanging="0"/>
              <w:jc w:val="left"/>
              <w:rPr/>
            </w:pPr>
            <w:r>
              <w:rPr/>
              <w:t>†</w:t>
            </w:r>
          </w:p>
        </w:tc>
        <w:tc>
          <w:tcPr>
            <w:tcW w:w="1001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Indicates management agreement</w:t>
            </w:r>
          </w:p>
        </w:tc>
      </w:tr>
      <w:tr>
        <w:trPr/>
        <w:tc>
          <w:tcPr>
            <w:tcW w:w="193" w:type="dxa"/>
            <w:tcBorders/>
            <w:vAlign w:val="center"/>
          </w:tcPr>
          <w:p>
            <w:pPr>
              <w:pStyle w:val="TableContents"/>
              <w:bidi w:val="0"/>
              <w:spacing w:before="0" w:after="283"/>
              <w:ind w:left="0" w:right="0" w:hanging="0"/>
              <w:jc w:val="left"/>
              <w:rPr/>
            </w:pPr>
            <w:r>
              <w:rPr/>
            </w:r>
          </w:p>
        </w:tc>
        <w:tc>
          <w:tcPr>
            <w:tcW w:w="10012" w:type="dxa"/>
            <w:tcBorders/>
            <w:vAlign w:val="center"/>
          </w:tcPr>
          <w:p>
            <w:pPr>
              <w:pStyle w:val="TableContents"/>
              <w:bidi w:val="0"/>
              <w:spacing w:before="0" w:after="283"/>
              <w:jc w:val="left"/>
              <w:rPr/>
            </w:pPr>
            <w:r>
              <w:rPr/>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126</w:t>
            </w:r>
          </w:p>
        </w:tc>
      </w:tr>
    </w:tbl>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240" w:after="0"/>
        <w:ind w:left="0" w:right="0" w:hanging="0"/>
        <w:jc w:val="left"/>
        <w:rPr>
          <w:rFonts w:ascii="times new roman;times" w:hAnsi="times new roman;times"/>
          <w:sz w:val="20"/>
        </w:rPr>
      </w:pPr>
      <w:r>
        <w:rPr>
          <w:rFonts w:ascii="Times New Roman" w:hAnsi="Times New Roman"/>
          <w:sz w:val="20"/>
        </w:rPr>
        <w:t>Pursuant to the requirements of Section</w:t>
      </w:r>
      <w:r>
        <w:rPr>
          <w:rFonts w:ascii="times new roman;times" w:hAnsi="times new roman;times"/>
          <w:sz w:val="20"/>
        </w:rPr>
        <w:t> </w:t>
      </w:r>
      <w:r>
        <w:rPr>
          <w:rFonts w:ascii="Times New Roman" w:hAnsi="Times New Roman"/>
          <w:sz w:val="20"/>
        </w:rPr>
        <w:t>13 or 15(d) of the Securities Exchange Act of 1934, as amended, the Registrant has duly caused this Report to be signed on its behalf by the undersigned, thereunto duly authorized</w:t>
      </w:r>
      <w:r>
        <w:rPr>
          <w:rFonts w:ascii="Times New Roman" w:hAnsi="Times New Roman"/>
          <w:b/>
          <w:sz w:val="20"/>
        </w:rPr>
        <w: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158"/>
        <w:gridCol w:w="100"/>
        <w:gridCol w:w="538"/>
        <w:gridCol w:w="6409"/>
      </w:tblGrid>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6947" w:type="dxa"/>
            <w:gridSpan w:val="2"/>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electroCore, Inc.</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shd w:fill="FFFFFF" w:val="clear"/>
            <w:vAlign w:val="center"/>
          </w:tcPr>
          <w:p>
            <w:pPr>
              <w:pStyle w:val="TableContents"/>
              <w:bidi w:val="0"/>
              <w:spacing w:before="0" w:after="0"/>
              <w:ind w:left="0" w:right="0" w:hanging="0"/>
              <w:jc w:val="left"/>
              <w:rPr/>
            </w:pPr>
            <w:r>
              <w:rPr/>
              <w:t> </w:t>
            </w:r>
          </w:p>
        </w:tc>
      </w:tr>
      <w:tr>
        <w:trPr/>
        <w:tc>
          <w:tcPr>
            <w:tcW w:w="3158" w:type="dxa"/>
            <w:tcBorders/>
            <w:shd w:fill="FFFFFF" w:val="clear"/>
            <w:vAlign w:val="center"/>
          </w:tcPr>
          <w:p>
            <w:pPr>
              <w:pStyle w:val="TableContents"/>
              <w:bidi w:val="0"/>
              <w:spacing w:before="0" w:after="0"/>
              <w:ind w:left="0" w:right="0" w:hanging="0"/>
              <w:jc w:val="left"/>
              <w:rPr/>
            </w:pPr>
            <w:r>
              <w:rPr>
                <w:rFonts w:ascii="Times New Roman" w:hAnsi="Times New Roman"/>
                <w:sz w:val="20"/>
              </w:rPr>
              <w:t>Date:</w:t>
            </w:r>
            <w:r>
              <w:rPr/>
              <w:t>  </w:t>
            </w:r>
            <w:r>
              <w:rPr>
                <w:rFonts w:ascii="Times New Roman" w:hAnsi="Times New Roman"/>
                <w:sz w:val="20"/>
              </w:rPr>
              <w:t>March 12, 2025</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409" w:type="dxa"/>
            <w:tcBorders>
              <w:bottom w:val="single" w:sz="6" w:space="0" w:color="000000"/>
            </w:tcBorders>
            <w:shd w:fill="FFFFFF" w:val="clear"/>
            <w:tcMar>
              <w:bottom w:w="28" w:type="dxa"/>
            </w:tcMar>
            <w:vAlign w:val="center"/>
          </w:tcPr>
          <w:p>
            <w:pPr>
              <w:pStyle w:val="TableContents"/>
              <w:bidi w:val="0"/>
              <w:spacing w:before="0" w:after="0"/>
              <w:ind w:left="0" w:right="0" w:hanging="0"/>
              <w:jc w:val="center"/>
              <w:rPr/>
            </w:pPr>
            <w:r>
              <w:rPr>
                <w:rFonts w:ascii="Times New Roman" w:hAnsi="Times New Roman"/>
                <w:sz w:val="20"/>
              </w:rPr>
              <w:t>/s/</w:t>
            </w:r>
            <w:r>
              <w:rPr/>
              <w:t> </w:t>
            </w:r>
            <w:r>
              <w:rPr>
                <w:rFonts w:ascii="Times New Roman" w:hAnsi="Times New Roman"/>
                <w:sz w:val="20"/>
              </w:rPr>
              <w:t>DANIEL S. GOLDBERGER</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top w:val="single" w:sz="6" w:space="0" w:color="000000"/>
            </w:tcBorders>
            <w:shd w:fill="FFFFFF" w:val="clear"/>
            <w:tcMar>
              <w:top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Daniel S. Goldberger</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shd w:fill="FFFFFF" w:val="clear"/>
            <w:vAlign w:val="center"/>
          </w:tcPr>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Chief Executive Officer and Director</w:t>
            </w:r>
          </w:p>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(Principal Executive Officer)</w:t>
            </w:r>
          </w:p>
          <w:p>
            <w:pPr>
              <w:pStyle w:val="TableContents"/>
              <w:bidi w:val="0"/>
              <w:spacing w:before="0" w:after="0"/>
              <w:ind w:left="0" w:right="0" w:hanging="0"/>
              <w:jc w:val="center"/>
              <w:rPr/>
            </w:pPr>
            <w:r>
              <w:rPr/>
              <w:t> </w:t>
            </w:r>
          </w:p>
        </w:tc>
      </w:tr>
      <w:tr>
        <w:trPr/>
        <w:tc>
          <w:tcPr>
            <w:tcW w:w="3158" w:type="dxa"/>
            <w:tcBorders/>
            <w:vAlign w:val="center"/>
          </w:tcPr>
          <w:p>
            <w:pPr>
              <w:pStyle w:val="TableContents"/>
              <w:bidi w:val="0"/>
              <w:spacing w:before="0" w:after="0"/>
              <w:ind w:left="0" w:right="0" w:hanging="0"/>
              <w:jc w:val="left"/>
              <w:rPr/>
            </w:pPr>
            <w:r>
              <w:rPr>
                <w:rFonts w:ascii="Times New Roman" w:hAnsi="Times New Roman"/>
                <w:sz w:val="20"/>
              </w:rPr>
              <w:t>Date:</w:t>
            </w:r>
            <w:r>
              <w:rPr/>
              <w:t> </w:t>
            </w:r>
            <w:r>
              <w:rPr>
                <w:rFonts w:ascii="Times New Roman" w:hAnsi="Times New Roman"/>
                <w:sz w:val="20"/>
              </w:rPr>
              <w:t>March 12, 2025</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409" w:type="dxa"/>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JOSHUA S. LEV</w:t>
            </w:r>
          </w:p>
        </w:tc>
      </w:tr>
      <w:tr>
        <w:trPr/>
        <w:tc>
          <w:tcPr>
            <w:tcW w:w="3158" w:type="dxa"/>
            <w:tcBorders/>
            <w:vAlign w:val="center"/>
          </w:tcPr>
          <w:p>
            <w:pPr>
              <w:pStyle w:val="TableContents"/>
              <w:bidi w:val="0"/>
              <w:spacing w:before="0" w:after="0"/>
              <w:ind w:left="0" w:right="0" w:hanging="0"/>
              <w:jc w:val="left"/>
              <w:rPr/>
            </w:pPr>
            <w:r>
              <w:rPr/>
              <w:t> </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pPr>
            <w:r>
              <w:rPr/>
              <w:t> </w:t>
            </w:r>
          </w:p>
        </w:tc>
        <w:tc>
          <w:tcPr>
            <w:tcW w:w="6409" w:type="dxa"/>
            <w:tcBorders>
              <w:top w:val="single" w:sz="6" w:space="0" w:color="000000"/>
            </w:tcBorders>
            <w:tcMar>
              <w:top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Joshua S. Lev</w:t>
            </w:r>
          </w:p>
        </w:tc>
      </w:tr>
      <w:tr>
        <w:trPr/>
        <w:tc>
          <w:tcPr>
            <w:tcW w:w="3158" w:type="dxa"/>
            <w:tcBorders/>
            <w:vAlign w:val="center"/>
          </w:tcPr>
          <w:p>
            <w:pPr>
              <w:pStyle w:val="TableContents"/>
              <w:bidi w:val="0"/>
              <w:spacing w:before="0" w:after="0"/>
              <w:ind w:left="0" w:right="0" w:hanging="0"/>
              <w:jc w:val="left"/>
              <w:rPr/>
            </w:pPr>
            <w:r>
              <w:rPr/>
              <w:t> </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pPr>
            <w:r>
              <w:rPr/>
              <w:t> </w:t>
            </w:r>
          </w:p>
        </w:tc>
        <w:tc>
          <w:tcPr>
            <w:tcW w:w="6409" w:type="dxa"/>
            <w:tcBorders/>
            <w:vAlign w:val="center"/>
          </w:tcPr>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Chief Financial Officer</w:t>
            </w:r>
          </w:p>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(Principal Financial and Accounting Officer)</w:t>
            </w:r>
          </w:p>
          <w:p>
            <w:pPr>
              <w:pStyle w:val="TableContents"/>
              <w:bidi w:val="0"/>
              <w:spacing w:lineRule="auto" w:line="288" w:before="0" w:after="0"/>
              <w:ind w:left="0" w:right="0" w:hanging="0"/>
              <w:jc w:val="center"/>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28" w:type="dxa"/>
          <w:right w:w="0" w:type="dxa"/>
        </w:tblCellMar>
      </w:tblPr>
      <w:tblGrid>
        <w:gridCol w:w="3825"/>
        <w:gridCol w:w="109"/>
        <w:gridCol w:w="3365"/>
        <w:gridCol w:w="108"/>
        <w:gridCol w:w="2798"/>
      </w:tblGrid>
      <w:tr>
        <w:trPr/>
        <w:tc>
          <w:tcPr>
            <w:tcW w:w="3825"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Name</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Title</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Date</w:t>
            </w:r>
          </w:p>
        </w:tc>
      </w:tr>
      <w:tr>
        <w:trPr/>
        <w:tc>
          <w:tcPr>
            <w:tcW w:w="3825"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r>
      <w:tr>
        <w:trPr/>
        <w:tc>
          <w:tcPr>
            <w:tcW w:w="3825" w:type="dxa"/>
            <w:tcBorders>
              <w:bottom w:val="single" w:sz="6" w:space="0" w:color="000000"/>
            </w:tcBorders>
            <w:shd w:fill="FFFFFF" w:val="clear"/>
            <w:vAlign w:val="center"/>
          </w:tcPr>
          <w:p>
            <w:pPr>
              <w:pStyle w:val="TableContents"/>
              <w:bidi w:val="0"/>
              <w:spacing w:before="0" w:after="0"/>
              <w:ind w:left="0" w:right="0" w:hanging="0"/>
              <w:jc w:val="center"/>
              <w:rPr/>
            </w:pPr>
            <w:r>
              <w:rPr>
                <w:rFonts w:ascii="Times New Roman" w:hAnsi="Times New Roman"/>
                <w:sz w:val="20"/>
              </w:rPr>
              <w:t>/s/</w:t>
            </w:r>
            <w:r>
              <w:rPr/>
              <w:t> </w:t>
            </w:r>
            <w:r>
              <w:rPr>
                <w:rFonts w:ascii="Times New Roman" w:hAnsi="Times New Roman"/>
                <w:sz w:val="20"/>
              </w:rPr>
              <w:t>F. Peter Cuneo</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Chairman of the Board</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12, 2025</w:t>
            </w:r>
          </w:p>
        </w:tc>
      </w:tr>
      <w:tr>
        <w:trPr/>
        <w:tc>
          <w:tcPr>
            <w:tcW w:w="3825" w:type="dxa"/>
            <w:tcBorders>
              <w:top w:val="single" w:sz="6" w:space="0" w:color="000000"/>
            </w:tcBorders>
            <w:shd w:fill="FFFFFF" w:val="clear"/>
            <w:tcMar>
              <w:top w:w="28" w:type="dxa"/>
              <w:bottom w:w="0" w:type="dxa"/>
            </w:tcMar>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F. Peter Cuneo</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bottom w:val="single" w:sz="6" w:space="0" w:color="000000"/>
            </w:tcBorders>
            <w:shd w:fill="FFFFFF" w:val="clear"/>
            <w:vAlign w:val="center"/>
          </w:tcPr>
          <w:p>
            <w:pPr>
              <w:pStyle w:val="TableContents"/>
              <w:widowControl/>
              <w:bidi w:val="0"/>
              <w:spacing w:before="0" w:after="283"/>
              <w:ind w:left="0" w:right="0" w:hanging="0"/>
              <w:jc w:val="center"/>
              <w:rPr/>
            </w:pPr>
            <w:r>
              <w:rPr>
                <w:b w:val="false"/>
                <w:i w:val="false"/>
                <w:caps w:val="false"/>
                <w:smallCaps w:val="false"/>
                <w:color w:val="000000"/>
                <w:spacing w:val="0"/>
                <w:sz w:val="20"/>
              </w:rPr>
              <w:t>/s/</w:t>
            </w:r>
            <w:r>
              <w:rPr>
                <w:caps w:val="false"/>
                <w:smallCaps w:val="false"/>
                <w:color w:val="000000"/>
                <w:spacing w:val="0"/>
              </w:rPr>
              <w:t> </w:t>
            </w:r>
            <w:r>
              <w:rPr>
                <w:b w:val="false"/>
                <w:i w:val="false"/>
                <w:caps w:val="false"/>
                <w:smallCaps w:val="false"/>
                <w:color w:val="000000"/>
                <w:spacing w:val="0"/>
                <w:sz w:val="20"/>
              </w:rPr>
              <w:t>Daniel S. Goldberger</w:t>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center"/>
              <w:rPr/>
            </w:pPr>
            <w:r>
              <w:rPr/>
              <w:t>Director</w:t>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center"/>
              <w:rPr/>
            </w:pPr>
            <w:r>
              <w:rPr/>
              <w:t>March 12, 2025</w:t>
            </w:r>
          </w:p>
        </w:tc>
      </w:tr>
      <w:tr>
        <w:trPr/>
        <w:tc>
          <w:tcPr>
            <w:tcW w:w="3825" w:type="dxa"/>
            <w:tcBorders/>
            <w:shd w:fill="FFFFFF" w:val="clear"/>
            <w:tcMar>
              <w:bottom w:w="0" w:type="dxa"/>
            </w:tcMar>
            <w:vAlign w:val="center"/>
          </w:tcPr>
          <w:p>
            <w:pPr>
              <w:pStyle w:val="TableContents"/>
              <w:widowControl/>
              <w:bidi w:val="0"/>
              <w:spacing w:before="0" w:after="283"/>
              <w:ind w:left="0" w:right="0" w:hanging="0"/>
              <w:jc w:val="center"/>
              <w:rPr>
                <w:b/>
                <w:sz w:val="16"/>
              </w:rPr>
            </w:pPr>
            <w:r>
              <w:rPr>
                <w:rFonts w:ascii="Times New Roman" w:hAnsi="Times New Roman"/>
                <w:b w:val="false"/>
                <w:color w:val="000000"/>
                <w:spacing w:val="0"/>
                <w:sz w:val="16"/>
              </w:rPr>
              <w:t>Daniel S. </w:t>
            </w:r>
            <w:r>
              <w:rPr>
                <w:b/>
                <w:sz w:val="16"/>
              </w:rPr>
              <w:t>Goldberger</w:t>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left"/>
              <w:rPr/>
            </w:pPr>
            <w:r>
              <w:rPr/>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left"/>
              <w:rPr/>
            </w:pPr>
            <w:r>
              <w:rPr/>
            </w:r>
          </w:p>
        </w:tc>
      </w:tr>
      <w:tr>
        <w:trPr/>
        <w:tc>
          <w:tcPr>
            <w:tcW w:w="3825" w:type="dxa"/>
            <w:tcBorders/>
            <w:shd w:fill="FFFFFF" w:val="clear"/>
            <w:tcMar>
              <w:bottom w:w="0" w:type="dxa"/>
            </w:tcMar>
            <w:vAlign w:val="center"/>
          </w:tcPr>
          <w:p>
            <w:pPr>
              <w:pStyle w:val="TableContents"/>
              <w:bidi w:val="0"/>
              <w:spacing w:before="0" w:after="283"/>
              <w:jc w:val="left"/>
              <w:rPr/>
            </w:pPr>
            <w:r>
              <w:rPr/>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left"/>
              <w:rPr/>
            </w:pPr>
            <w:r>
              <w:rPr/>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left"/>
              <w:rPr/>
            </w:pPr>
            <w:r>
              <w:rPr/>
            </w:r>
          </w:p>
        </w:tc>
      </w:tr>
      <w:tr>
        <w:trPr/>
        <w:tc>
          <w:tcPr>
            <w:tcW w:w="3825" w:type="dxa"/>
            <w:tcBorders>
              <w:bottom w:val="single" w:sz="6" w:space="0" w:color="000000"/>
            </w:tcBorders>
            <w:shd w:fill="FFFFFF" w:val="clear"/>
            <w:vAlign w:val="center"/>
          </w:tcPr>
          <w:p>
            <w:pPr>
              <w:pStyle w:val="TableContents"/>
              <w:widowControl/>
              <w:bidi w:val="0"/>
              <w:spacing w:before="0" w:after="0"/>
              <w:ind w:left="0" w:right="0" w:hanging="0"/>
              <w:jc w:val="center"/>
              <w:rPr>
                <w:rFonts w:ascii="Times New Roman" w:hAnsi="Times New Roman"/>
                <w:sz w:val="20"/>
              </w:rPr>
            </w:pPr>
            <w:r>
              <w:rPr>
                <w:rFonts w:ascii="Times New Roman" w:hAnsi="Times New Roman"/>
                <w:b w:val="false"/>
                <w:i w:val="false"/>
                <w:caps w:val="false"/>
                <w:smallCaps w:val="false"/>
                <w:color w:val="000000"/>
                <w:spacing w:val="0"/>
                <w:sz w:val="20"/>
              </w:rPr>
              <w:t>/s/ Thomas J. </w:t>
            </w:r>
            <w:r>
              <w:rPr>
                <w:rFonts w:ascii="Times New Roman" w:hAnsi="Times New Roman"/>
                <w:sz w:val="20"/>
              </w:rPr>
              <w:t>Errico</w:t>
            </w:r>
            <w:r>
              <w:rPr>
                <w:rFonts w:ascii="Times New Roman" w:hAnsi="Times New Roman"/>
                <w:b w:val="false"/>
                <w:i w:val="false"/>
                <w:caps w:val="false"/>
                <w:smallCaps w:val="false"/>
                <w:color w:val="000000"/>
                <w:spacing w:val="0"/>
                <w:sz w:val="20"/>
              </w:rPr>
              <w:t>, M.D.</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12, 2025</w:t>
            </w:r>
          </w:p>
        </w:tc>
      </w:tr>
      <w:tr>
        <w:trPr/>
        <w:tc>
          <w:tcPr>
            <w:tcW w:w="3825" w:type="dxa"/>
            <w:tcBorders/>
            <w:shd w:fill="FFFFFF" w:val="clear"/>
            <w:tcMar>
              <w:bottom w:w="0" w:type="dxa"/>
            </w:tcMar>
            <w:vAlign w:val="center"/>
          </w:tcPr>
          <w:p>
            <w:pPr>
              <w:pStyle w:val="TableContents"/>
              <w:widowControl/>
              <w:bidi w:val="0"/>
              <w:spacing w:before="0" w:after="283"/>
              <w:ind w:left="0" w:right="0" w:hanging="0"/>
              <w:jc w:val="center"/>
              <w:rPr/>
            </w:pPr>
            <w:r>
              <w:rPr>
                <w:b/>
                <w:color w:val="000000"/>
                <w:spacing w:val="0"/>
                <w:sz w:val="15"/>
              </w:rPr>
              <w:t>Thomas J. </w:t>
            </w:r>
            <w:r>
              <w:rPr>
                <w:rFonts w:ascii="times new roman" w:hAnsi="times new roman"/>
                <w:b/>
                <w:color w:val="000000"/>
                <w:spacing w:val="0"/>
                <w:sz w:val="15"/>
              </w:rPr>
              <w:t>Errico</w:t>
            </w:r>
            <w:r>
              <w:rPr>
                <w:b/>
                <w:color w:val="000000"/>
                <w:spacing w:val="0"/>
                <w:sz w:val="15"/>
              </w:rPr>
              <w:t>, M.D.</w:t>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left"/>
              <w:rPr/>
            </w:pPr>
            <w:r>
              <w:rPr/>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left"/>
              <w:rPr/>
            </w:pPr>
            <w:r>
              <w:rPr/>
            </w:r>
          </w:p>
        </w:tc>
      </w:tr>
      <w:tr>
        <w:trPr/>
        <w:tc>
          <w:tcPr>
            <w:tcW w:w="3825" w:type="dxa"/>
            <w:tcBorders/>
            <w:shd w:fill="FFFFFF" w:val="clear"/>
            <w:tcMar>
              <w:bottom w:w="0" w:type="dxa"/>
            </w:tcMar>
            <w:vAlign w:val="center"/>
          </w:tcPr>
          <w:p>
            <w:pPr>
              <w:pStyle w:val="TableContents"/>
              <w:bidi w:val="0"/>
              <w:spacing w:before="0" w:after="283"/>
              <w:jc w:val="left"/>
              <w:rPr/>
            </w:pPr>
            <w:r>
              <w:rPr/>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left"/>
              <w:rPr/>
            </w:pPr>
            <w:r>
              <w:rPr/>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left"/>
              <w:rPr/>
            </w:pPr>
            <w:r>
              <w:rPr/>
            </w:r>
          </w:p>
        </w:tc>
      </w:tr>
      <w:tr>
        <w:trPr/>
        <w:tc>
          <w:tcPr>
            <w:tcW w:w="38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John P. Gandolfo</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12, 2025</w:t>
            </w:r>
          </w:p>
        </w:tc>
      </w:tr>
      <w:tr>
        <w:trPr/>
        <w:tc>
          <w:tcPr>
            <w:tcW w:w="3825"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John P. Gandolfo</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bottom w:val="single" w:sz="6" w:space="0" w:color="000000"/>
            </w:tcBorders>
            <w:shd w:fill="FFFFFF" w:val="clear"/>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Julie A. Goldstein</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12, 2025</w:t>
            </w:r>
          </w:p>
        </w:tc>
      </w:tr>
      <w:tr>
        <w:trPr/>
        <w:tc>
          <w:tcPr>
            <w:tcW w:w="3825" w:type="dxa"/>
            <w:tcBorders>
              <w:top w:val="single" w:sz="6" w:space="0" w:color="000000"/>
            </w:tcBorders>
            <w:shd w:fill="FFFFFF" w:val="clear"/>
            <w:tcMar>
              <w:top w:w="28" w:type="dxa"/>
              <w:bottom w:w="0" w:type="dxa"/>
            </w:tcMar>
            <w:vAlign w:val="center"/>
          </w:tcPr>
          <w:p>
            <w:pPr>
              <w:pStyle w:val="TableContents"/>
              <w:widowControl/>
              <w:bidi w:val="0"/>
              <w:spacing w:before="0" w:after="283"/>
              <w:ind w:left="0" w:right="0" w:hanging="0"/>
              <w:jc w:val="center"/>
              <w:rPr>
                <w:rFonts w:ascii="Times New Roman" w:hAnsi="Times New Roman"/>
                <w:b/>
                <w:color w:val="000000"/>
                <w:spacing w:val="0"/>
                <w:sz w:val="15"/>
              </w:rPr>
            </w:pPr>
            <w:r>
              <w:rPr>
                <w:rFonts w:ascii="Times New Roman" w:hAnsi="Times New Roman"/>
                <w:b/>
                <w:color w:val="000000"/>
                <w:spacing w:val="0"/>
                <w:sz w:val="15"/>
              </w:rPr>
              <w:t>Julie A. Goldstein</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Thomas M. Patton</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12, 2025</w:t>
            </w:r>
          </w:p>
        </w:tc>
      </w:tr>
      <w:tr>
        <w:trPr/>
        <w:tc>
          <w:tcPr>
            <w:tcW w:w="3825"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Thomas Patton</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825" w:type="dxa"/>
            <w:tcBorders>
              <w:bottom w:val="single" w:sz="6" w:space="0" w:color="000000"/>
            </w:tcBorders>
            <w:shd w:fill="FFFFFF" w:val="cle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Patricia Wilber</w:t>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center"/>
              <w:rPr/>
            </w:pPr>
            <w:r>
              <w:rPr/>
              <w:t>Director</w:t>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center"/>
              <w:rPr/>
            </w:pPr>
            <w:r>
              <w:rPr/>
              <w:t>March 12, 2025</w:t>
            </w:r>
          </w:p>
        </w:tc>
      </w:tr>
      <w:tr>
        <w:trPr/>
        <w:tc>
          <w:tcPr>
            <w:tcW w:w="3825" w:type="dxa"/>
            <w:tcBorders/>
            <w:shd w:fill="FFFFFF" w:val="clear"/>
            <w:tcMar>
              <w:bottom w:w="0" w:type="dxa"/>
            </w:tcMar>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Patricia Wilber</w:t>
            </w:r>
          </w:p>
        </w:tc>
        <w:tc>
          <w:tcPr>
            <w:tcW w:w="109" w:type="dxa"/>
            <w:tcBorders/>
            <w:shd w:fill="FFFFFF" w:val="clear"/>
            <w:tcMar>
              <w:bottom w:w="0" w:type="dxa"/>
            </w:tcMar>
            <w:vAlign w:val="center"/>
          </w:tcPr>
          <w:p>
            <w:pPr>
              <w:pStyle w:val="TableContents"/>
              <w:bidi w:val="0"/>
              <w:spacing w:before="0" w:after="283"/>
              <w:jc w:val="left"/>
              <w:rPr/>
            </w:pPr>
            <w:r>
              <w:rPr/>
            </w:r>
          </w:p>
        </w:tc>
        <w:tc>
          <w:tcPr>
            <w:tcW w:w="3365" w:type="dxa"/>
            <w:tcBorders/>
            <w:shd w:fill="FFFFFF" w:val="clear"/>
            <w:tcMar>
              <w:bottom w:w="0" w:type="dxa"/>
            </w:tcMar>
            <w:vAlign w:val="center"/>
          </w:tcPr>
          <w:p>
            <w:pPr>
              <w:pStyle w:val="TableContents"/>
              <w:bidi w:val="0"/>
              <w:spacing w:before="0" w:after="283"/>
              <w:jc w:val="left"/>
              <w:rPr/>
            </w:pPr>
            <w:r>
              <w:rPr/>
            </w:r>
          </w:p>
        </w:tc>
        <w:tc>
          <w:tcPr>
            <w:tcW w:w="108" w:type="dxa"/>
            <w:tcBorders/>
            <w:shd w:fill="FFFFFF" w:val="clear"/>
            <w:tcMar>
              <w:bottom w:w="0" w:type="dxa"/>
            </w:tcMar>
            <w:vAlign w:val="center"/>
          </w:tcPr>
          <w:p>
            <w:pPr>
              <w:pStyle w:val="TableContents"/>
              <w:bidi w:val="0"/>
              <w:spacing w:before="0" w:after="283"/>
              <w:jc w:val="left"/>
              <w:rPr/>
            </w:pPr>
            <w:r>
              <w:rPr/>
            </w:r>
          </w:p>
        </w:tc>
        <w:tc>
          <w:tcPr>
            <w:tcW w:w="2798" w:type="dxa"/>
            <w:tcBorders/>
            <w:shd w:fill="FFFFFF" w:val="clear"/>
            <w:tcMar>
              <w:bottom w:w="0" w:type="dxa"/>
            </w:tcMar>
            <w:vAlign w:val="center"/>
          </w:tcPr>
          <w:p>
            <w:pPr>
              <w:pStyle w:val="TableContents"/>
              <w:bidi w:val="0"/>
              <w:spacing w:before="0" w:after="283"/>
              <w:jc w:val="left"/>
              <w:rPr/>
            </w:pPr>
            <w:r>
              <w:rPr/>
            </w:r>
          </w:p>
        </w:tc>
      </w:tr>
      <w:tr>
        <w:trPr/>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109" w:type="dxa"/>
            <w:tcBorders/>
            <w:shd w:fill="FFFFFF" w:val="clear"/>
            <w:tcMar>
              <w:bottom w:w="0" w:type="dxa"/>
            </w:tcMar>
            <w:vAlign w:val="center"/>
          </w:tcPr>
          <w:p>
            <w:pPr>
              <w:pStyle w:val="TableContents"/>
              <w:bidi w:val="0"/>
              <w:spacing w:before="0" w:after="0"/>
              <w:ind w:left="0" w:right="0" w:hanging="0"/>
              <w:jc w:val="left"/>
              <w:rPr/>
            </w:pPr>
            <w:r>
              <w:rPr/>
              <w:t> </w:t>
            </w:r>
          </w:p>
        </w:tc>
        <w:tc>
          <w:tcPr>
            <w:tcW w:w="3365" w:type="dxa"/>
            <w:tcBorders/>
            <w:shd w:fill="FFFFFF" w:val="clear"/>
            <w:tcMar>
              <w:bottom w:w="0" w:type="dxa"/>
            </w:tcMar>
            <w:vAlign w:val="center"/>
          </w:tcPr>
          <w:p>
            <w:pPr>
              <w:pStyle w:val="TableContents"/>
              <w:bidi w:val="0"/>
              <w:spacing w:before="0" w:after="0"/>
              <w:ind w:left="0" w:right="0" w:hanging="0"/>
              <w:jc w:val="left"/>
              <w:rPr/>
            </w:pPr>
            <w:r>
              <w:rPr/>
              <w:t> </w:t>
            </w:r>
          </w:p>
        </w:tc>
        <w:tc>
          <w:tcPr>
            <w:tcW w:w="108" w:type="dxa"/>
            <w:tcBorders/>
            <w:shd w:fill="FFFFFF" w:val="clear"/>
            <w:tcMar>
              <w:bottom w:w="0" w:type="dxa"/>
            </w:tcMar>
            <w:vAlign w:val="center"/>
          </w:tcPr>
          <w:p>
            <w:pPr>
              <w:pStyle w:val="TableContents"/>
              <w:bidi w:val="0"/>
              <w:spacing w:before="0" w:after="0"/>
              <w:ind w:left="0" w:right="0" w:hanging="0"/>
              <w:jc w:val="left"/>
              <w:rPr/>
            </w:pPr>
            <w:r>
              <w:rPr/>
              <w:t> </w:t>
            </w:r>
          </w:p>
        </w:tc>
        <w:tc>
          <w:tcPr>
            <w:tcW w:w="2798" w:type="dxa"/>
            <w:tcBorders/>
            <w:shd w:fill="FFFFFF" w:val="clear"/>
            <w:tcMar>
              <w:bottom w:w="0" w:type="dxa"/>
            </w:tcMar>
            <w:vAlign w:val="center"/>
          </w:tcPr>
          <w:p>
            <w:pPr>
              <w:pStyle w:val="TableContents"/>
              <w:bidi w:val="0"/>
              <w:spacing w:before="0" w:after="0"/>
              <w:ind w:left="0" w:right="0" w:hanging="0"/>
              <w:jc w:val="left"/>
              <w:rPr/>
            </w:pPr>
            <w:r>
              <w:rPr/>
              <w:t> </w:t>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127</w:t>
            </w:r>
          </w:p>
        </w:tc>
      </w:tr>
    </w:tbl>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pStyle w:val="TextBody"/>
        <w:bidi w:val="0"/>
        <w:spacing w:lineRule="auto" w:line="288" w:before="0" w:after="0"/>
        <w:jc w:val="left"/>
        <w:rPr/>
      </w:pPr>
      <w:r>
        <w:rPr/>
        <w:t>​​</w:t>
      </w:r>
    </w:p>
    <w:p>
      <w:pPr>
        <w:pStyle w:val="TextBody"/>
        <w:widowControl/>
        <w:bidi w:val="0"/>
        <w:spacing w:lineRule="auto" w:line="288"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INDEX TO CONSOLIDATED FINANCIAL STATEMENTS</w:t>
      </w:r>
    </w:p>
    <w:p>
      <w:pPr>
        <w:pStyle w:val="TextBody"/>
        <w:bidi w:val="0"/>
        <w:spacing w:lineRule="auto" w:line="288" w:before="0" w:after="0"/>
        <w:jc w:val="center"/>
        <w:rPr/>
      </w:pPr>
      <w:r>
        <w:rPr/>
        <w:t>​​</w:t>
      </w:r>
    </w:p>
    <w:p>
      <w:pPr>
        <w:pStyle w:val="Normal"/>
        <w:bidi w:val="0"/>
        <w:spacing w:before="0" w:after="0"/>
        <w:jc w:val="left"/>
        <w:rPr>
          <w:sz w:val="4"/>
          <w:szCs w:val="4"/>
        </w:rPr>
      </w:pPr>
      <w:r>
        <w:rPr>
          <w:sz w:val="4"/>
          <w:szCs w:val="4"/>
        </w:rPr>
      </w:r>
      <w:bookmarkStart w:id="74" w:name="TOC1"/>
      <w:bookmarkStart w:id="75" w:name="TOC1"/>
      <w:bookmarkEnd w:id="75"/>
    </w:p>
    <w:tbl>
      <w:tblPr>
        <w:tblW w:w="8380" w:type="dxa"/>
        <w:jc w:val="center"/>
        <w:tblInd w:w="0" w:type="dxa"/>
        <w:tblLayout w:type="fixed"/>
        <w:tblCellMar>
          <w:top w:w="0" w:type="dxa"/>
          <w:left w:w="0" w:type="dxa"/>
          <w:bottom w:w="0" w:type="dxa"/>
          <w:right w:w="0" w:type="dxa"/>
        </w:tblCellMar>
      </w:tblPr>
      <w:tblGrid>
        <w:gridCol w:w="8030"/>
        <w:gridCol w:w="350"/>
      </w:tblGrid>
      <w:tr>
        <w:trPr/>
        <w:tc>
          <w:tcPr>
            <w:tcW w:w="8030" w:type="dxa"/>
            <w:tcBorders/>
            <w:vAlign w:val="center"/>
          </w:tcPr>
          <w:p>
            <w:pPr>
              <w:pStyle w:val="TableContents"/>
              <w:bidi w:val="0"/>
              <w:spacing w:before="0" w:after="283"/>
              <w:jc w:val="left"/>
              <w:rPr/>
            </w:pPr>
            <w:hyperlink w:anchor="BROI_JHW80WMX0000000000000000000000">
              <w:bookmarkStart w:id="76" w:name="BM_BROI_JHW80WMX0000000000000000000000"/>
              <w:bookmarkEnd w:id="76"/>
              <w:r>
                <w:rPr>
                  <w:rStyle w:val="InternetLink"/>
                  <w:rFonts w:ascii="times new roman;times" w:hAnsi="times new roman;times"/>
                  <w:sz w:val="20"/>
                </w:rPr>
                <w:t xml:space="preserve">Report of Independent Registered Public Accounting Firm (PCAOB ID # </w:t>
              </w:r>
            </w:hyperlink>
            <w:hyperlink w:anchor="BROI_JHW80WMX0000000000000000000000">
              <w:r>
                <w:rPr>
                  <w:rStyle w:val="InternetLink"/>
                  <w:rFonts w:ascii="times new roman;times" w:hAnsi="times new roman;times"/>
                  <w:sz w:val="20"/>
                </w:rPr>
                <w:t>688)</w:t>
              </w:r>
            </w:hyperlink>
            <w:bookmarkStart w:id="77" w:name="BMP_BROI_JHW80WMX0000000000000000000000"/>
            <w:bookmarkEnd w:id="77"/>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F-2</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78" w:name="BM_BConsolidated_Balance_Sheets_5Q3EILQF"/>
            <w:bookmarkStart w:id="79" w:name="BM_BConsolidated_Balance_Sheets_5Q3EILQF"/>
            <w:bookmarkEnd w:id="79"/>
          </w:p>
        </w:tc>
      </w:tr>
      <w:tr>
        <w:trPr/>
        <w:tc>
          <w:tcPr>
            <w:tcW w:w="8030" w:type="dxa"/>
            <w:tcBorders/>
            <w:vAlign w:val="center"/>
          </w:tcPr>
          <w:p>
            <w:pPr>
              <w:pStyle w:val="TableContents"/>
              <w:bidi w:val="0"/>
              <w:spacing w:before="0" w:after="283"/>
              <w:jc w:val="left"/>
              <w:rPr/>
            </w:pPr>
            <w:hyperlink w:anchor="BConsolidated_Balance_Sheets_5Q3EILQFZK00000000000000000000">
              <w:r>
                <w:rPr>
                  <w:rStyle w:val="InternetLink"/>
                  <w:rFonts w:ascii="times new roman;times" w:hAnsi="times new roman;times"/>
                  <w:sz w:val="20"/>
                </w:rPr>
                <w:t>Consolidated Balance Sheets as of December 31, 2024 and 2023</w:t>
              </w:r>
            </w:hyperlink>
            <w:bookmarkStart w:id="80" w:name="BMP_BConsolidated_Balance_Sheets_5Q3EILQ"/>
            <w:bookmarkEnd w:id="80"/>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F-3</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1" w:name="BM_BConsolidated_Statements_of_Operation"/>
            <w:bookmarkStart w:id="82" w:name="BM_BConsolidated_Statements_of_Operation"/>
            <w:bookmarkEnd w:id="82"/>
          </w:p>
        </w:tc>
      </w:tr>
      <w:tr>
        <w:trPr/>
        <w:tc>
          <w:tcPr>
            <w:tcW w:w="8030" w:type="dxa"/>
            <w:tcBorders/>
            <w:vAlign w:val="center"/>
          </w:tcPr>
          <w:p>
            <w:pPr>
              <w:pStyle w:val="TableContents"/>
              <w:widowControl/>
              <w:bidi w:val="0"/>
              <w:spacing w:before="0" w:after="283"/>
              <w:ind w:left="0" w:right="0" w:hanging="0"/>
              <w:jc w:val="left"/>
              <w:rPr/>
            </w:pPr>
            <w:hyperlink w:anchor="BConsolidated_Statements_of_Operations_N0IZB4UU6800000000000000000000">
              <w:r>
                <w:rPr>
                  <w:rStyle w:val="InternetLink"/>
                  <w:rFonts w:ascii="times new roman;times" w:hAnsi="times new roman;times"/>
                  <w:b w:val="false"/>
                  <w:i w:val="false"/>
                  <w:caps w:val="false"/>
                  <w:smallCaps w:val="false"/>
                  <w:spacing w:val="0"/>
                  <w:sz w:val="20"/>
                </w:rPr>
                <w:t>Consolidated Statements of Operations for the Years ended December 31, 2024 and 2023</w:t>
              </w:r>
            </w:hyperlink>
            <w:bookmarkStart w:id="83" w:name="BMP_BConsolidated_Statements_of_Operatio"/>
            <w:bookmarkEnd w:id="83"/>
          </w:p>
        </w:tc>
        <w:tc>
          <w:tcPr>
            <w:tcW w:w="350" w:type="dxa"/>
            <w:tcBorders/>
            <w:vAlign w:val="center"/>
          </w:tcPr>
          <w:p>
            <w:pPr>
              <w:pStyle w:val="TableContents"/>
              <w:bidi w:val="0"/>
              <w:spacing w:before="0" w:after="283"/>
              <w:jc w:val="left"/>
              <w:rPr/>
            </w:pPr>
            <w:r>
              <w:rPr/>
              <w:t>F-4</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4" w:name="BM_BConsolidated_Statements_of_Comprehen"/>
            <w:bookmarkStart w:id="85" w:name="BM_BConsolidated_Statements_of_Comprehen"/>
            <w:bookmarkEnd w:id="85"/>
          </w:p>
        </w:tc>
      </w:tr>
      <w:tr>
        <w:trPr/>
        <w:tc>
          <w:tcPr>
            <w:tcW w:w="8030" w:type="dxa"/>
            <w:tcBorders/>
            <w:vAlign w:val="center"/>
          </w:tcPr>
          <w:p>
            <w:pPr>
              <w:pStyle w:val="TableContents"/>
              <w:bidi w:val="0"/>
              <w:spacing w:before="0" w:after="283"/>
              <w:jc w:val="left"/>
              <w:rPr/>
            </w:pPr>
            <w:hyperlink w:anchor="BConsolidated_Statements_of_Comprehensive_Loss_O3FGOOFFKG00000000000000000000">
              <w:r>
                <w:rPr>
                  <w:rStyle w:val="InternetLink"/>
                  <w:rFonts w:ascii="times new roman;times" w:hAnsi="times new roman;times"/>
                  <w:sz w:val="20"/>
                </w:rPr>
                <w:t>Consolidated Statements of Comprehensive Loss for the Years ended December 31, 2024 and 2023</w:t>
              </w:r>
            </w:hyperlink>
            <w:bookmarkStart w:id="86" w:name="BMP_BConsolidated_Statements_of_Comprehe"/>
            <w:bookmarkEnd w:id="86"/>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F-5</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7" w:name="BM_Bsdwe_139D7QFCG000000000000000000000"/>
            <w:bookmarkStart w:id="88" w:name="BM_Bsdwe_139D7QFCG000000000000000000000"/>
            <w:bookmarkEnd w:id="88"/>
          </w:p>
        </w:tc>
      </w:tr>
      <w:tr>
        <w:trPr/>
        <w:tc>
          <w:tcPr>
            <w:tcW w:w="8030" w:type="dxa"/>
            <w:tcBorders/>
            <w:vAlign w:val="center"/>
          </w:tcPr>
          <w:p>
            <w:pPr>
              <w:pStyle w:val="TableContents"/>
              <w:bidi w:val="0"/>
              <w:spacing w:before="0" w:after="283"/>
              <w:jc w:val="left"/>
              <w:rPr/>
            </w:pPr>
            <w:hyperlink w:anchor="Bsdwe_139D7QFCG000000000000000000000">
              <w:r>
                <w:rPr>
                  <w:rStyle w:val="InternetLink"/>
                  <w:rFonts w:ascii="times new roman;times" w:hAnsi="times new roman;times"/>
                  <w:sz w:val="20"/>
                </w:rPr>
                <w:t>Consolidated Statements of Equity for the Years ended December 31, 2024 and 2023</w:t>
              </w:r>
            </w:hyperlink>
            <w:bookmarkStart w:id="89" w:name="BMP_Bsdwe_139D7QFCG000000000000000000000"/>
            <w:bookmarkEnd w:id="89"/>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F-6</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90" w:name="BM_BConsolidated_Statements_of_Cash_Flow"/>
            <w:bookmarkStart w:id="91" w:name="BM_BConsolidated_Statements_of_Cash_Flow"/>
            <w:bookmarkEnd w:id="91"/>
          </w:p>
        </w:tc>
      </w:tr>
      <w:tr>
        <w:trPr/>
        <w:tc>
          <w:tcPr>
            <w:tcW w:w="8030" w:type="dxa"/>
            <w:tcBorders/>
            <w:vAlign w:val="center"/>
          </w:tcPr>
          <w:p>
            <w:pPr>
              <w:pStyle w:val="TableContents"/>
              <w:bidi w:val="0"/>
              <w:spacing w:before="0" w:after="283"/>
              <w:jc w:val="left"/>
              <w:rPr/>
            </w:pPr>
            <w:hyperlink w:anchor="BConsolidated_Statements_of_Cash_Flows_4YFDAA20QO00000000000000000000">
              <w:r>
                <w:rPr>
                  <w:rStyle w:val="InternetLink"/>
                  <w:rFonts w:ascii="times new roman;times" w:hAnsi="times new roman;times"/>
                  <w:sz w:val="20"/>
                </w:rPr>
                <w:t>Consolidated Statements of Cash Flows for the Years ended December 31, 2024 and 2023</w:t>
              </w:r>
            </w:hyperlink>
            <w:bookmarkStart w:id="92" w:name="BMP_BConsolidated_Statements_of_Cash_Flo"/>
            <w:bookmarkEnd w:id="92"/>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F-7</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93" w:name="BM_BNotes_to_Consolidated_Financial_Stat"/>
            <w:bookmarkStart w:id="94" w:name="BM_BNotes_to_Consolidated_Financial_Stat"/>
            <w:bookmarkEnd w:id="94"/>
          </w:p>
        </w:tc>
      </w:tr>
      <w:tr>
        <w:trPr/>
        <w:tc>
          <w:tcPr>
            <w:tcW w:w="8030" w:type="dxa"/>
            <w:tcBorders/>
            <w:vAlign w:val="center"/>
          </w:tcPr>
          <w:p>
            <w:pPr>
              <w:pStyle w:val="TableContents"/>
              <w:bidi w:val="0"/>
              <w:spacing w:before="0" w:after="283"/>
              <w:jc w:val="left"/>
              <w:rPr/>
            </w:pPr>
            <w:hyperlink w:anchor="BNotes_to_Consolidated_Financial_Statements_T0UAS84JJ400000000000000000000">
              <w:r>
                <w:rPr>
                  <w:rStyle w:val="InternetLink"/>
                  <w:rFonts w:ascii="times new roman;times" w:hAnsi="times new roman;times"/>
                  <w:sz w:val="20"/>
                </w:rPr>
                <w:t>Notes to Consolidated Financial Statements</w:t>
              </w:r>
            </w:hyperlink>
            <w:bookmarkStart w:id="95" w:name="BMP_BNotes_to_Consolidated_Financial_Sta"/>
            <w:bookmarkEnd w:id="95"/>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F-8</w:t>
            </w:r>
          </w:p>
        </w:tc>
      </w:tr>
    </w:tbl>
    <w:p>
      <w:pPr>
        <w:pStyle w:val="TextBody"/>
        <w:bidi w:val="0"/>
        <w:spacing w:lineRule="auto" w:line="288" w:before="0" w:after="0"/>
        <w:jc w:val="left"/>
        <w:rPr>
          <w:rFonts w:ascii="times new roman;times" w:hAnsi="times new roman;times"/>
          <w:sz w:val="20"/>
        </w:rPr>
      </w:pPr>
      <w:r>
        <w:rPr>
          <w:rFonts w:ascii="times new roman;times" w:hAnsi="times new roman;times"/>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bidi w:val="0"/>
        <w:spacing w:lineRule="auto" w:line="288"/>
        <w:jc w:val="left"/>
        <w:rPr/>
      </w:pPr>
      <w:r>
        <w:rPr/>
      </w:r>
    </w:p>
    <w:p>
      <w:pPr>
        <w:pStyle w:val="TextBody"/>
        <w:bidi w:val="0"/>
        <w:spacing w:lineRule="auto" w:line="288"/>
        <w:ind w:left="0" w:right="0" w:hanging="0"/>
        <w:jc w:val="center"/>
        <w:rPr/>
      </w:pPr>
      <w:hyperlink w:anchor="TOC">
        <w:bookmarkStart w:id="96" w:name="BROI_JHW80WMX0000000000000000000000"/>
        <w:bookmarkEnd w:id="96"/>
        <w:r>
          <w:rPr>
            <w:rStyle w:val="InternetLink"/>
            <w:rFonts w:ascii="Times New Roman" w:hAnsi="Times New Roman"/>
            <w:b/>
            <w:strike w:val="false"/>
            <w:dstrike w:val="false"/>
            <w:color w:val="000000"/>
            <w:sz w:val="20"/>
            <w:u w:val="none"/>
            <w:effect w:val="none"/>
          </w:rPr>
          <w:t>Report of Independent Registered Public Accounting Firm</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To the Shareholders and Board of Directors of electroCore, Inc.</w:t>
      </w:r>
    </w:p>
    <w:p>
      <w:pPr>
        <w:pStyle w:val="TextBody"/>
        <w:bidi w:val="0"/>
        <w:spacing w:lineRule="auto" w:line="288" w:before="120" w:after="0"/>
        <w:ind w:left="0" w:right="0" w:hanging="0"/>
        <w:jc w:val="both"/>
        <w:rPr>
          <w:rFonts w:ascii="times new roman;times" w:hAnsi="times new roman;times"/>
          <w:b/>
          <w:color w:val="000000"/>
          <w:sz w:val="20"/>
        </w:rPr>
      </w:pPr>
      <w:r>
        <w:rPr>
          <w:rFonts w:ascii="times new roman;times" w:hAnsi="times new roman;times"/>
          <w:b/>
          <w:color w:val="000000"/>
          <w:sz w:val="20"/>
        </w:rPr>
        <w:t>Opinion on the Financial Statements</w:t>
      </w:r>
    </w:p>
    <w:p>
      <w:pPr>
        <w:pStyle w:val="TextBody"/>
        <w:bidi w:val="0"/>
        <w:spacing w:lineRule="auto" w:line="288" w:before="120" w:after="0"/>
        <w:ind w:left="0" w:right="0" w:hanging="0"/>
        <w:jc w:val="both"/>
        <w:rPr>
          <w:rFonts w:ascii="times new roman;times" w:hAnsi="times new roman;times"/>
          <w:color w:val="000000"/>
          <w:sz w:val="20"/>
        </w:rPr>
      </w:pPr>
      <w:r>
        <w:rPr>
          <w:rFonts w:ascii="times new roman;times" w:hAnsi="times new roman;times"/>
          <w:color w:val="000000"/>
          <w:sz w:val="20"/>
        </w:rPr>
        <w:t>We have audited the accompanying consolidated balance sheets of electroCore, Inc. and Subsidiaries (the “Company”) as of December 31, 2024 and 2023, the related consolidated statements of operations, comprehensive loss,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120" w:after="0"/>
        <w:ind w:left="0" w:right="0" w:hanging="0"/>
        <w:jc w:val="both"/>
        <w:rPr>
          <w:rFonts w:ascii="times new roman;times" w:hAnsi="times new roman;times"/>
          <w:b/>
          <w:sz w:val="20"/>
        </w:rPr>
      </w:pPr>
      <w:r>
        <w:rPr>
          <w:rFonts w:ascii="times new roman;times" w:hAnsi="times new roman;times"/>
          <w:b/>
          <w:sz w:val="20"/>
        </w:rPr>
        <w:t>Basis for Opinion</w:t>
      </w:r>
    </w:p>
    <w:p>
      <w:pPr>
        <w:pStyle w:val="TextBody"/>
        <w:bidi w:val="0"/>
        <w:spacing w:lineRule="auto" w:line="288" w:before="120" w:after="0"/>
        <w:ind w:left="0" w:right="0" w:hanging="0"/>
        <w:jc w:val="both"/>
        <w:rPr>
          <w:rFonts w:ascii="times new roman;times" w:hAnsi="times new roman;times"/>
          <w:sz w:val="20"/>
        </w:rPr>
      </w:pPr>
      <w:r>
        <w:rPr>
          <w:rFonts w:ascii="times new roman;times" w:hAnsi="times new roman;times"/>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0"/>
        <w:ind w:left="0" w:right="0" w:hanging="0"/>
        <w:jc w:val="both"/>
        <w:rPr>
          <w:rFonts w:ascii="times new roman;times" w:hAnsi="times new roman;times"/>
          <w:sz w:val="20"/>
        </w:rPr>
      </w:pPr>
      <w:r>
        <w:rPr>
          <w:rFonts w:ascii="times new roman;times" w:hAnsi="times new roman;times"/>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0"/>
        <w:ind w:left="0" w:right="0" w:hanging="0"/>
        <w:jc w:val="both"/>
        <w:rPr>
          <w:rFonts w:ascii="times new roman;times" w:hAnsi="times new roman;times"/>
          <w:sz w:val="20"/>
        </w:rPr>
      </w:pPr>
      <w:r>
        <w:rPr>
          <w:rFonts w:ascii="times new roman;times" w:hAnsi="times new roman;times"/>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0"/>
        <w:ind w:left="0" w:right="0" w:hanging="0"/>
        <w:jc w:val="both"/>
        <w:rPr>
          <w:rFonts w:ascii="times new roman;times" w:hAnsi="times new roman;times"/>
          <w:b/>
          <w:sz w:val="20"/>
        </w:rPr>
      </w:pPr>
      <w:r>
        <w:rPr>
          <w:rFonts w:ascii="times new roman;times" w:hAnsi="times new roman;times"/>
          <w:b/>
          <w:sz w:val="20"/>
        </w:rPr>
        <w:t>Critical Audit Matters</w:t>
      </w:r>
    </w:p>
    <w:p>
      <w:pPr>
        <w:pStyle w:val="TextBody"/>
        <w:bidi w:val="0"/>
        <w:spacing w:lineRule="auto" w:line="288" w:before="120" w:after="0"/>
        <w:ind w:left="0" w:right="0" w:hanging="0"/>
        <w:jc w:val="both"/>
        <w:rPr>
          <w:rFonts w:ascii="times new roman;times" w:hAnsi="times new roman;times"/>
          <w:sz w:val="20"/>
        </w:rPr>
      </w:pPr>
      <w:r>
        <w:rPr>
          <w:rFonts w:ascii="times new roman;times" w:hAnsi="times new roman;times"/>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/s/ Marcum </w:t>
      </w:r>
      <w:r>
        <w:rPr>
          <w:rFonts w:ascii="times new roman;times" w:hAnsi="times new roman;times"/>
          <w:smallCaps/>
          <w:sz w:val="20"/>
        </w:rPr>
        <w:t>llp</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Marcum </w:t>
      </w:r>
      <w:r>
        <w:rPr>
          <w:rFonts w:ascii="times new roman;times" w:hAnsi="times new roman;times"/>
          <w:smallCaps/>
          <w:sz w:val="20"/>
        </w:rPr>
        <w:t>llp</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have served as the Company’s auditor since 2020.</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New York, NY</w:t>
        <w:br/>
        <w:t>March 12, 2025</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bidi w:val="0"/>
        <w:spacing w:lineRule="auto" w:line="288"/>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96">
        <w:bookmarkStart w:id="97" w:name="BConsolidated_Balance_Sheets_5Q3EILQFZK0"/>
        <w:bookmarkEnd w:id="97"/>
        <w:r>
          <w:rPr>
            <w:rStyle w:val="InternetLink"/>
            <w:rFonts w:ascii="Times New Roman" w:hAnsi="Times New Roman"/>
            <w:b/>
            <w:strike w:val="false"/>
            <w:dstrike w:val="false"/>
            <w:color w:val="000000"/>
            <w:sz w:val="20"/>
            <w:u w:val="none"/>
            <w:effect w:val="none"/>
          </w:rPr>
          <w:t>Consolidated Balance Sheets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 except share data)</w:t>
      </w:r>
    </w:p>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24"/>
        <w:gridCol w:w="81"/>
        <w:gridCol w:w="141"/>
        <w:gridCol w:w="755"/>
        <w:gridCol w:w="104"/>
        <w:gridCol w:w="81"/>
        <w:gridCol w:w="141"/>
        <w:gridCol w:w="755"/>
        <w:gridCol w:w="123"/>
      </w:tblGrid>
      <w:tr>
        <w:trPr/>
        <w:tc>
          <w:tcPr>
            <w:tcW w:w="8024" w:type="dxa"/>
            <w:tcBorders/>
            <w:shd w:fill="FFFFFF" w:val="clear"/>
            <w:vAlign w:val="center"/>
          </w:tcPr>
          <w:p>
            <w:pPr>
              <w:pStyle w:val="TableContents"/>
              <w:bidi w:val="0"/>
              <w:spacing w:before="0" w:after="0"/>
              <w:ind w:left="0" w:right="0" w:hanging="0"/>
              <w:jc w:val="left"/>
              <w:rPr/>
            </w:pPr>
            <w:r>
              <w:rPr/>
              <w:t xml:space="preserve">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1977"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123" w:type="dxa"/>
            <w:tcBorders/>
            <w:shd w:fill="FFFFFF" w:val="clear"/>
            <w:vAlign w:val="center"/>
          </w:tcPr>
          <w:p>
            <w:pPr>
              <w:pStyle w:val="TableContents"/>
              <w:bidi w:val="0"/>
              <w:spacing w:before="0" w:after="0"/>
              <w:ind w:left="0" w:right="0" w:hanging="0"/>
              <w:jc w:val="left"/>
              <w:rPr/>
            </w:pPr>
            <w:r>
              <w:rPr/>
              <w:t xml:space="preserve">  </w:t>
            </w:r>
          </w:p>
        </w:tc>
      </w:tr>
      <w:tr>
        <w:trPr/>
        <w:tc>
          <w:tcPr>
            <w:tcW w:w="8024"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89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2024</w:t>
            </w:r>
            <w:r>
              <w:rPr>
                <w:rFonts w:ascii="Times New Roman" w:hAnsi="Times New Roman"/>
                <w:b/>
                <w:sz w:val="16"/>
              </w:rPr>
              <w:t xml:space="preserve"> </w:t>
            </w:r>
          </w:p>
        </w:tc>
        <w:tc>
          <w:tcPr>
            <w:tcW w:w="104" w:type="dxa"/>
            <w:tcBorders/>
            <w:shd w:fill="FFFFFF" w:val="clear"/>
            <w:vAlign w:val="center"/>
          </w:tcPr>
          <w:p>
            <w:pPr>
              <w:pStyle w:val="TableContents"/>
              <w:bidi w:val="0"/>
              <w:spacing w:before="0" w:after="0"/>
              <w:ind w:left="0" w:right="0" w:hanging="0"/>
              <w:jc w:val="left"/>
              <w:rPr/>
            </w:pPr>
            <w:r>
              <w:rPr/>
              <w:t xml:space="preserve">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89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2023</w:t>
            </w:r>
            <w:r>
              <w:rPr>
                <w:rFonts w:ascii="Times New Roman" w:hAnsi="Times New Roman"/>
                <w:b/>
                <w:sz w:val="16"/>
              </w:rPr>
              <w:t xml:space="preserve"> </w:t>
            </w:r>
          </w:p>
        </w:tc>
        <w:tc>
          <w:tcPr>
            <w:tcW w:w="123" w:type="dxa"/>
            <w:tcBorders/>
            <w:shd w:fill="FFFFFF" w:val="clear"/>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bidi w:val="0"/>
              <w:spacing w:before="0" w:after="0"/>
              <w:ind w:left="0" w:right="0" w:hanging="0"/>
              <w:jc w:val="center"/>
              <w:rPr/>
            </w:pPr>
            <w:r>
              <w:rPr/>
              <w:t xml:space="preserve">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bidi w:val="0"/>
              <w:spacing w:before="0" w:after="0"/>
              <w:ind w:left="0" w:right="0" w:hanging="0"/>
              <w:jc w:val="center"/>
              <w:rPr/>
            </w:pPr>
            <w:r>
              <w:rPr/>
              <w:t xml:space="preserve">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left"/>
              <w:rPr/>
            </w:pPr>
            <w:r>
              <w:rPr/>
              <w:t xml:space="preserve">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left"/>
              <w:rPr/>
            </w:pPr>
            <w:r>
              <w:rPr/>
              <w:t xml:space="preserve">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Cash and cash equivalents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3,450</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10,331</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283"/>
              <w:jc w:val="left"/>
              <w:rPr/>
            </w:pPr>
            <w:r>
              <w:rPr/>
              <w:t xml:space="preserve">      </w:t>
            </w:r>
            <w:r>
              <w:rPr/>
              <w:t>Restricted cash</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jc w:val="right"/>
              <w:rPr/>
            </w:pPr>
            <w:r>
              <w:rPr/>
              <w:t>250</w:t>
            </w:r>
          </w:p>
        </w:tc>
        <w:tc>
          <w:tcPr>
            <w:tcW w:w="104"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jc w:val="right"/>
              <w:rPr/>
            </w:pPr>
            <w:r>
              <w:rPr/>
              <w:t>250</w:t>
            </w:r>
          </w:p>
        </w:tc>
        <w:tc>
          <w:tcPr>
            <w:tcW w:w="123" w:type="dxa"/>
            <w:tcBorders/>
            <w:vAlign w:val="center"/>
          </w:tcPr>
          <w:p>
            <w:pPr>
              <w:pStyle w:val="TableContents"/>
              <w:bidi w:val="0"/>
              <w:spacing w:before="0" w:after="283"/>
              <w:jc w:val="left"/>
              <w:rPr/>
            </w:pPr>
            <w:r>
              <w:rPr/>
            </w:r>
          </w:p>
        </w:tc>
      </w:tr>
      <w:tr>
        <w:trPr/>
        <w:tc>
          <w:tcPr>
            <w:tcW w:w="8024" w:type="dxa"/>
            <w:tcBorders/>
            <w:shd w:fill="CCEEFC" w:val="clear"/>
            <w:vAlign w:val="center"/>
          </w:tcPr>
          <w:p>
            <w:pPr>
              <w:pStyle w:val="TableContents"/>
              <w:bidi w:val="0"/>
              <w:spacing w:before="0" w:after="283"/>
              <w:jc w:val="left"/>
              <w:rPr/>
            </w:pPr>
            <w:r>
              <w:rPr/>
              <w:t xml:space="preserve">      </w:t>
            </w:r>
            <w:r>
              <w:rPr/>
              <w:t>Marketable securities</w:t>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0"/>
              <w:jc w:val="right"/>
              <w:rPr/>
            </w:pPr>
            <w:r>
              <w:rPr/>
              <w:t>8,519</w:t>
            </w:r>
          </w:p>
        </w:tc>
        <w:tc>
          <w:tcPr>
            <w:tcW w:w="104" w:type="dxa"/>
            <w:tcBorders/>
            <w:shd w:fill="CCEEFC" w:val="clear"/>
            <w:vAlign w:val="center"/>
          </w:tcPr>
          <w:p>
            <w:pPr>
              <w:pStyle w:val="TableContents"/>
              <w:bidi w:val="0"/>
              <w:spacing w:before="0" w:after="283"/>
              <w:jc w:val="left"/>
              <w:rPr/>
            </w:pPr>
            <w:r>
              <w:rPr/>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0"/>
              <w:jc w:val="right"/>
              <w:rPr/>
            </w:pPr>
            <w:r>
              <w:rPr/>
              <w:t>—</w:t>
            </w:r>
          </w:p>
        </w:tc>
        <w:tc>
          <w:tcPr>
            <w:tcW w:w="123" w:type="dxa"/>
            <w:tcBorders/>
            <w:shd w:fill="CCEEFC" w:val="clear"/>
            <w:vAlign w:val="center"/>
          </w:tcPr>
          <w:p>
            <w:pPr>
              <w:pStyle w:val="TableContents"/>
              <w:bidi w:val="0"/>
              <w:spacing w:before="0" w:after="283"/>
              <w:jc w:val="left"/>
              <w:rPr/>
            </w:pPr>
            <w:r>
              <w:rPr/>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Accounts receivable, net</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1,367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717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Inventories</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1,676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2,160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Prepaid expenses and other current assets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1,038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836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current assets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16,300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14,294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547"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Inventories, noncurrent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pPr>
            <w:r>
              <w:rPr/>
              <w:t xml:space="preserve">—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607</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Property and equipment, net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158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204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Operating lease right of use assets, net</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3,739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502</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Other assets, net</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274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495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assets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20,471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16,102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Equity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Accounts payable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1,827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2,163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Accrued expenses and other current liabilities</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6,964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5,871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Current portion of operating lease liabilities</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361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89</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current liabilities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9,152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8,123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283"/>
              <w:jc w:val="left"/>
              <w:rPr/>
            </w:pPr>
            <w:r>
              <w:rPr/>
              <w:t>Noncurrent liabilities:</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04"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pPr>
            <w:r>
              <w:rPr/>
            </w:r>
          </w:p>
        </w:tc>
      </w:tr>
      <w:tr>
        <w:trPr/>
        <w:tc>
          <w:tcPr>
            <w:tcW w:w="8024" w:type="dxa"/>
            <w:tcBorders/>
            <w:shd w:fill="CCEEFC" w:val="cle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Operating lease liabilities, noncurrent</w:t>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0"/>
              <w:jc w:val="right"/>
              <w:rPr/>
            </w:pPr>
            <w:r>
              <w:rPr/>
              <w:t>3,775</w:t>
            </w:r>
          </w:p>
        </w:tc>
        <w:tc>
          <w:tcPr>
            <w:tcW w:w="104" w:type="dxa"/>
            <w:tcBorders/>
            <w:shd w:fill="CCEEFC" w:val="clear"/>
            <w:vAlign w:val="center"/>
          </w:tcPr>
          <w:p>
            <w:pPr>
              <w:pStyle w:val="TableContents"/>
              <w:bidi w:val="0"/>
              <w:spacing w:before="0" w:after="283"/>
              <w:jc w:val="left"/>
              <w:rPr/>
            </w:pPr>
            <w:r>
              <w:rPr/>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0"/>
              <w:jc w:val="right"/>
              <w:rPr/>
            </w:pPr>
            <w:r>
              <w:rPr/>
              <w:t>537</w:t>
            </w:r>
          </w:p>
        </w:tc>
        <w:tc>
          <w:tcPr>
            <w:tcW w:w="123" w:type="dxa"/>
            <w:tcBorders/>
            <w:shd w:fill="CCEEFC" w:val="clear"/>
            <w:vAlign w:val="center"/>
          </w:tcPr>
          <w:p>
            <w:pPr>
              <w:pStyle w:val="TableContents"/>
              <w:bidi w:val="0"/>
              <w:spacing w:before="0" w:after="283"/>
              <w:jc w:val="left"/>
              <w:rPr/>
            </w:pPr>
            <w:r>
              <w:rPr/>
            </w:r>
          </w:p>
        </w:tc>
      </w:tr>
      <w:tr>
        <w:trPr/>
        <w:tc>
          <w:tcPr>
            <w:tcW w:w="8024"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liabilities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12,927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8,660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Commitments and contingencies (see Note 15)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bidi w:val="0"/>
              <w:spacing w:before="0" w:after="0"/>
              <w:ind w:left="0" w:right="0" w:hanging="0"/>
              <w:jc w:val="right"/>
              <w:rPr/>
            </w:pPr>
            <w:r>
              <w:rPr/>
              <w:t>—</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pPr>
            <w:r>
              <w:rPr/>
              <w:t>—</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283"/>
              <w:jc w:val="left"/>
              <w:rPr/>
            </w:pPr>
            <w:r>
              <w:rPr/>
              <w:t>Mezzanine equity:</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04"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pPr>
            <w:r>
              <w:rPr/>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Preferred Stock, par value $0.001 per share; 10,000,000 shares authorized as of December 31, 2024 and December 31, 2023; 0 shares issued and outstanding at December 31, 2024 and December 31, 2023</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pPr>
            <w:r>
              <w:rPr/>
              <w:t>—</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pPr>
            <w:r>
              <w:rPr/>
              <w:t>—</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283"/>
              <w:jc w:val="left"/>
              <w:rPr/>
            </w:pPr>
            <w:r>
              <w:rPr/>
              <w:t>Stockholders' equity:</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04"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pPr>
            <w:r>
              <w:rPr/>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Common Stock, par value $0.001 per share; 500,000,000 shares authorized as of December 31, 2024 and 2023; 6,650,854 shares issued and outstanding at December 31, 2024, and </w:t>
            </w:r>
            <w:r>
              <w:rPr>
                <w:rFonts w:ascii="Times New Roman" w:hAnsi="Times New Roman"/>
                <w:sz w:val="20"/>
              </w:rPr>
              <w:t>6,002,628</w:t>
            </w:r>
            <w:r>
              <w:rPr>
                <w:rFonts w:ascii="Times New Roman" w:hAnsi="Times New Roman"/>
                <w:sz w:val="20"/>
              </w:rPr>
              <w:t xml:space="preserve"> shares issued and outstanding at December 31, 2023</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04"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Additional paid-in capital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184,513 </w:t>
            </w:r>
          </w:p>
        </w:tc>
        <w:tc>
          <w:tcPr>
            <w:tcW w:w="104"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172,704 </w:t>
            </w:r>
          </w:p>
        </w:tc>
        <w:tc>
          <w:tcPr>
            <w:tcW w:w="123" w:type="dxa"/>
            <w:tcBorders/>
            <w:vAlign w:val="center"/>
          </w:tcPr>
          <w:p>
            <w:pPr>
              <w:pStyle w:val="TableContents"/>
              <w:bidi w:val="0"/>
              <w:spacing w:before="0" w:after="0"/>
              <w:ind w:left="0" w:right="0" w:hanging="0"/>
              <w:jc w:val="left"/>
              <w:rPr/>
            </w:pPr>
            <w:r>
              <w:rPr/>
              <w:t xml:space="preserve">  </w:t>
            </w:r>
          </w:p>
        </w:tc>
      </w:tr>
      <w:tr>
        <w:trPr/>
        <w:tc>
          <w:tcPr>
            <w:tcW w:w="8024"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Accumulated deficit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(177,090</w:t>
            </w:r>
          </w:p>
        </w:tc>
        <w:tc>
          <w:tcPr>
            <w:tcW w:w="104" w:type="dxa"/>
            <w:tcBorders/>
            <w:shd w:fill="CCEEFC" w:val="clear"/>
            <w:vAlign w:val="center"/>
          </w:tcPr>
          <w:p>
            <w:pPr>
              <w:pStyle w:val="TableContents"/>
              <w:bidi w:val="0"/>
              <w:spacing w:before="0" w:after="283"/>
              <w:jc w:val="left"/>
              <w:rPr/>
            </w:pPr>
            <w:r>
              <w:rPr/>
              <w:t>)</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(165,204</w:t>
            </w:r>
          </w:p>
        </w:tc>
        <w:tc>
          <w:tcPr>
            <w:tcW w:w="123" w:type="dxa"/>
            <w:tcBorders/>
            <w:shd w:fill="CCEEFC" w:val="clear"/>
            <w:vAlign w:val="center"/>
          </w:tcPr>
          <w:p>
            <w:pPr>
              <w:pStyle w:val="TableContents"/>
              <w:bidi w:val="0"/>
              <w:spacing w:before="0" w:after="283"/>
              <w:jc w:val="left"/>
              <w:rPr/>
            </w:pPr>
            <w:r>
              <w:rPr/>
              <w:t>)</w:t>
            </w:r>
          </w:p>
        </w:tc>
      </w:tr>
      <w:tr>
        <w:trPr/>
        <w:tc>
          <w:tcPr>
            <w:tcW w:w="8024"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Accumulated other comprehensive loss</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114</w:t>
            </w:r>
          </w:p>
        </w:tc>
        <w:tc>
          <w:tcPr>
            <w:tcW w:w="10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(64</w:t>
            </w:r>
          </w:p>
        </w:tc>
        <w:tc>
          <w:tcPr>
            <w:tcW w:w="123" w:type="dxa"/>
            <w:tcBorders/>
            <w:vAlign w:val="center"/>
          </w:tcPr>
          <w:p>
            <w:pPr>
              <w:pStyle w:val="TableContents"/>
              <w:bidi w:val="0"/>
              <w:spacing w:before="0" w:after="283"/>
              <w:jc w:val="left"/>
              <w:rPr/>
            </w:pPr>
            <w:r>
              <w:rPr/>
              <w:t>)</w:t>
            </w:r>
          </w:p>
        </w:tc>
      </w:tr>
      <w:tr>
        <w:trPr/>
        <w:tc>
          <w:tcPr>
            <w:tcW w:w="8024" w:type="dxa"/>
            <w:tcBorders/>
            <w:shd w:fill="CCEEFC"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equity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7,544</w:t>
            </w:r>
          </w:p>
        </w:tc>
        <w:tc>
          <w:tcPr>
            <w:tcW w:w="104" w:type="dxa"/>
            <w:tcBorders/>
            <w:shd w:fill="CCEEFC" w:val="clear"/>
            <w:vAlign w:val="center"/>
          </w:tcPr>
          <w:p>
            <w:pPr>
              <w:pStyle w:val="TableContents"/>
              <w:bidi w:val="0"/>
              <w:spacing w:before="0" w:after="283"/>
              <w:jc w:val="left"/>
              <w:rPr>
                <w:sz w:val="4"/>
                <w:szCs w:val="4"/>
              </w:rPr>
            </w:pPr>
            <w:r>
              <w:rPr>
                <w:sz w:val="4"/>
                <w:szCs w:val="4"/>
              </w:rPr>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7,442 </w:t>
            </w:r>
          </w:p>
        </w:tc>
        <w:tc>
          <w:tcPr>
            <w:tcW w:w="123" w:type="dxa"/>
            <w:tcBorders/>
            <w:shd w:fill="CCEEFC" w:val="clear"/>
            <w:vAlign w:val="center"/>
          </w:tcPr>
          <w:p>
            <w:pPr>
              <w:pStyle w:val="TableContents"/>
              <w:bidi w:val="0"/>
              <w:spacing w:before="0" w:after="0"/>
              <w:ind w:left="0" w:right="0" w:hanging="0"/>
              <w:jc w:val="left"/>
              <w:rPr/>
            </w:pPr>
            <w:r>
              <w:rPr/>
              <w:t xml:space="preserve">  </w:t>
            </w:r>
          </w:p>
        </w:tc>
      </w:tr>
      <w:tr>
        <w:trPr/>
        <w:tc>
          <w:tcPr>
            <w:tcW w:w="8024" w:type="dxa"/>
            <w:tcBorders/>
            <w:vAlign w:val="center"/>
          </w:tcPr>
          <w:p>
            <w:pPr>
              <w:pStyle w:val="TableContents"/>
              <w:bidi w:val="0"/>
              <w:spacing w:before="0" w:after="0"/>
              <w:ind w:left="821" w:right="0" w:hanging="0"/>
              <w:jc w:val="left"/>
              <w:rPr>
                <w:rFonts w:ascii="Times New Roman" w:hAnsi="Times New Roman"/>
                <w:sz w:val="20"/>
              </w:rPr>
            </w:pPr>
            <w:r>
              <w:rPr>
                <w:rFonts w:ascii="Times New Roman" w:hAnsi="Times New Roman"/>
                <w:sz w:val="20"/>
              </w:rPr>
              <w:t xml:space="preserve">Total liabilities and equity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20,471</w:t>
            </w:r>
          </w:p>
        </w:tc>
        <w:tc>
          <w:tcPr>
            <w:tcW w:w="10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16,102 </w:t>
            </w:r>
          </w:p>
        </w:tc>
        <w:tc>
          <w:tcPr>
            <w:tcW w:w="123"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the consolidated financial statements.</w:t>
      </w:r>
    </w:p>
    <w:p>
      <w:pPr>
        <w:pStyle w:val="TextBody"/>
        <w:bidi w:val="0"/>
        <w:spacing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97">
        <w:bookmarkStart w:id="98" w:name="BConsolidated_Statements_of_Operations_N"/>
        <w:bookmarkEnd w:id="98"/>
        <w:r>
          <w:rPr>
            <w:rStyle w:val="InternetLink"/>
            <w:rFonts w:ascii="Times New Roman" w:hAnsi="Times New Roman"/>
            <w:b/>
            <w:strike w:val="false"/>
            <w:dstrike w:val="false"/>
            <w:color w:val="000000"/>
            <w:sz w:val="20"/>
            <w:u w:val="none"/>
            <w:effect w:val="none"/>
          </w:rPr>
          <w:t>Consolidated Statements of Operations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 except per share data)</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01"/>
        <w:gridCol w:w="140"/>
        <w:gridCol w:w="208"/>
        <w:gridCol w:w="798"/>
        <w:gridCol w:w="147"/>
        <w:gridCol w:w="147"/>
        <w:gridCol w:w="208"/>
        <w:gridCol w:w="798"/>
        <w:gridCol w:w="158"/>
      </w:tblGrid>
      <w:tr>
        <w:trPr/>
        <w:tc>
          <w:tcPr>
            <w:tcW w:w="7601" w:type="dxa"/>
            <w:tcBorders/>
            <w:shd w:fill="FFFFFF" w:val="clear"/>
            <w:vAlign w:val="center"/>
          </w:tcPr>
          <w:p>
            <w:pPr>
              <w:pStyle w:val="TableContents"/>
              <w:bidi w:val="0"/>
              <w:spacing w:before="0" w:after="0"/>
              <w:ind w:left="0" w:right="0" w:hanging="0"/>
              <w:jc w:val="center"/>
              <w:rPr/>
            </w:pPr>
            <w:r>
              <w:rPr/>
              <w:t xml:space="preserve">  </w:t>
            </w:r>
          </w:p>
        </w:tc>
        <w:tc>
          <w:tcPr>
            <w:tcW w:w="140" w:type="dxa"/>
            <w:tcBorders/>
            <w:shd w:fill="FFFFFF" w:val="clear"/>
            <w:vAlign w:val="center"/>
          </w:tcPr>
          <w:p>
            <w:pPr>
              <w:pStyle w:val="TableContents"/>
              <w:bidi w:val="0"/>
              <w:spacing w:before="0" w:after="283"/>
              <w:jc w:val="left"/>
              <w:rPr/>
            </w:pPr>
            <w:r>
              <w:rPr/>
            </w:r>
          </w:p>
        </w:tc>
        <w:tc>
          <w:tcPr>
            <w:tcW w:w="2306"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c>
          <w:tcPr>
            <w:tcW w:w="158" w:type="dxa"/>
            <w:tcBorders/>
            <w:shd w:fill="FFFFFF" w:val="clear"/>
            <w:vAlign w:val="center"/>
          </w:tcPr>
          <w:p>
            <w:pPr>
              <w:pStyle w:val="TableContents"/>
              <w:bidi w:val="0"/>
              <w:spacing w:before="0" w:after="0"/>
              <w:ind w:left="0" w:right="0" w:hanging="0"/>
              <w:jc w:val="left"/>
              <w:rPr/>
            </w:pPr>
            <w:r>
              <w:rPr/>
              <w:t xml:space="preserve">  </w:t>
            </w:r>
          </w:p>
        </w:tc>
      </w:tr>
      <w:tr>
        <w:trPr/>
        <w:tc>
          <w:tcPr>
            <w:tcW w:w="7601" w:type="dxa"/>
            <w:tcBorders/>
            <w:shd w:fill="FFFFFF" w:val="clear"/>
            <w:vAlign w:val="center"/>
          </w:tcPr>
          <w:p>
            <w:pPr>
              <w:pStyle w:val="TableContents"/>
              <w:bidi w:val="0"/>
              <w:spacing w:before="0" w:after="0"/>
              <w:ind w:left="0" w:right="0" w:hanging="0"/>
              <w:jc w:val="center"/>
              <w:rPr/>
            </w:pPr>
            <w:r>
              <w:rPr/>
              <w:t xml:space="preserve">  </w:t>
            </w:r>
          </w:p>
        </w:tc>
        <w:tc>
          <w:tcPr>
            <w:tcW w:w="140" w:type="dxa"/>
            <w:tcBorders/>
            <w:shd w:fill="FFFFFF" w:val="clear"/>
            <w:vAlign w:val="center"/>
          </w:tcPr>
          <w:p>
            <w:pPr>
              <w:pStyle w:val="TableContents"/>
              <w:bidi w:val="0"/>
              <w:spacing w:before="0" w:after="0"/>
              <w:ind w:left="0" w:right="0" w:hanging="0"/>
              <w:jc w:val="left"/>
              <w:rPr/>
            </w:pPr>
            <w:r>
              <w:rPr/>
            </w:r>
          </w:p>
        </w:tc>
        <w:tc>
          <w:tcPr>
            <w:tcW w:w="100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147" w:type="dxa"/>
            <w:tcBorders/>
            <w:shd w:fill="FFFFFF" w:val="clear"/>
            <w:vAlign w:val="center"/>
          </w:tcPr>
          <w:p>
            <w:pPr>
              <w:pStyle w:val="TableContents"/>
              <w:bidi w:val="0"/>
              <w:spacing w:before="0" w:after="0"/>
              <w:ind w:left="0" w:right="0" w:hanging="0"/>
              <w:jc w:val="left"/>
              <w:rPr/>
            </w:pPr>
            <w:r>
              <w:rPr/>
              <w:t xml:space="preserve">  </w:t>
            </w:r>
          </w:p>
        </w:tc>
        <w:tc>
          <w:tcPr>
            <w:tcW w:w="147" w:type="dxa"/>
            <w:tcBorders/>
            <w:shd w:fill="FFFFFF" w:val="clear"/>
            <w:vAlign w:val="center"/>
          </w:tcPr>
          <w:p>
            <w:pPr>
              <w:pStyle w:val="TableContents"/>
              <w:bidi w:val="0"/>
              <w:spacing w:before="0" w:after="0"/>
              <w:ind w:left="0" w:right="0" w:hanging="0"/>
              <w:jc w:val="left"/>
              <w:rPr/>
            </w:pPr>
            <w:r>
              <w:rPr/>
              <w:t xml:space="preserve">  </w:t>
            </w:r>
          </w:p>
        </w:tc>
        <w:tc>
          <w:tcPr>
            <w:tcW w:w="100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158" w:type="dxa"/>
            <w:tcBorders/>
            <w:shd w:fill="FFFFFF" w:val="clear"/>
            <w:vAlign w:val="center"/>
          </w:tcPr>
          <w:p>
            <w:pPr>
              <w:pStyle w:val="TableContents"/>
              <w:bidi w:val="0"/>
              <w:spacing w:before="0" w:after="0"/>
              <w:ind w:left="0" w:right="0" w:hanging="0"/>
              <w:jc w:val="left"/>
              <w:rPr/>
            </w:pPr>
            <w:r>
              <w:rPr/>
              <w:t xml:space="preserve">  </w:t>
            </w:r>
          </w:p>
        </w:tc>
      </w:tr>
      <w:tr>
        <w:trPr/>
        <w:tc>
          <w:tcPr>
            <w:tcW w:w="76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sales </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25,182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16,030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3,785 </w:t>
            </w:r>
          </w:p>
        </w:tc>
        <w:tc>
          <w:tcPr>
            <w:tcW w:w="147" w:type="dxa"/>
            <w:tcBorders/>
            <w:vAlign w:val="center"/>
          </w:tcPr>
          <w:p>
            <w:pPr>
              <w:pStyle w:val="TableContents"/>
              <w:pBdr/>
              <w:bidi w:val="0"/>
              <w:spacing w:before="0" w:after="0"/>
              <w:ind w:left="0" w:right="0" w:hanging="0"/>
              <w:jc w:val="left"/>
              <w:rPr/>
            </w:pPr>
            <w:r>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2,804 </w:t>
            </w:r>
          </w:p>
        </w:tc>
        <w:tc>
          <w:tcPr>
            <w:tcW w:w="158" w:type="dxa"/>
            <w:tcBorders/>
            <w:vAlign w:val="center"/>
          </w:tcPr>
          <w:p>
            <w:pPr>
              <w:pStyle w:val="TableContents"/>
              <w:pBdr/>
              <w:bidi w:val="0"/>
              <w:spacing w:before="0" w:after="0"/>
              <w:ind w:left="0" w:right="0" w:hanging="0"/>
              <w:jc w:val="left"/>
              <w:rPr/>
            </w:pPr>
            <w:r>
              <w:rPr/>
              <w:t xml:space="preserve">  </w:t>
            </w:r>
          </w:p>
        </w:tc>
      </w:tr>
      <w:tr>
        <w:trPr/>
        <w:tc>
          <w:tcPr>
            <w:tcW w:w="760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Gross profit </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21,397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13,226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pPr>
            <w:r>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pPr>
            <w:r>
              <w:rPr/>
              <w:t xml:space="preserve">  </w:t>
            </w:r>
          </w:p>
        </w:tc>
        <w:tc>
          <w:tcPr>
            <w:tcW w:w="158" w:type="dxa"/>
            <w:tcBorders/>
            <w:vAlign w:val="center"/>
          </w:tcPr>
          <w:p>
            <w:pPr>
              <w:pStyle w:val="TableContents"/>
              <w:pBdr/>
              <w:bidi w:val="0"/>
              <w:spacing w:before="0" w:after="0"/>
              <w:ind w:left="0" w:right="0" w:hanging="0"/>
              <w:jc w:val="left"/>
              <w:rPr/>
            </w:pPr>
            <w:r>
              <w:rPr/>
              <w:t xml:space="preserve">  </w:t>
            </w:r>
          </w:p>
        </w:tc>
      </w:tr>
      <w:tr>
        <w:trPr/>
        <w:tc>
          <w:tcPr>
            <w:tcW w:w="7601"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Research and development </w:t>
            </w:r>
          </w:p>
        </w:tc>
        <w:tc>
          <w:tcPr>
            <w:tcW w:w="140" w:type="dxa"/>
            <w:tcBorders/>
            <w:shd w:fill="CCEEFF" w:val="clear"/>
            <w:vAlign w:val="center"/>
          </w:tcPr>
          <w:p>
            <w:pPr>
              <w:pStyle w:val="TableContents"/>
              <w:bidi w:val="0"/>
              <w:spacing w:before="0" w:after="283"/>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2,360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5,321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Selling, general and administrative </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31,199 </w:t>
            </w:r>
          </w:p>
        </w:tc>
        <w:tc>
          <w:tcPr>
            <w:tcW w:w="147" w:type="dxa"/>
            <w:tcBorders/>
            <w:vAlign w:val="center"/>
          </w:tcPr>
          <w:p>
            <w:pPr>
              <w:pStyle w:val="TableContents"/>
              <w:pBdr/>
              <w:bidi w:val="0"/>
              <w:spacing w:before="0" w:after="0"/>
              <w:ind w:left="0" w:right="0" w:hanging="0"/>
              <w:jc w:val="left"/>
              <w:rPr/>
            </w:pPr>
            <w:r>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27,174 </w:t>
            </w:r>
          </w:p>
        </w:tc>
        <w:tc>
          <w:tcPr>
            <w:tcW w:w="158" w:type="dxa"/>
            <w:tcBorders/>
            <w:vAlign w:val="center"/>
          </w:tcPr>
          <w:p>
            <w:pPr>
              <w:pStyle w:val="TableContents"/>
              <w:pBdr/>
              <w:bidi w:val="0"/>
              <w:spacing w:before="0" w:after="0"/>
              <w:ind w:left="0" w:right="0" w:hanging="0"/>
              <w:jc w:val="left"/>
              <w:rPr/>
            </w:pPr>
            <w:r>
              <w:rPr/>
              <w:t xml:space="preserve">  </w:t>
            </w:r>
          </w:p>
        </w:tc>
      </w:tr>
      <w:tr>
        <w:trPr/>
        <w:tc>
          <w:tcPr>
            <w:tcW w:w="7601" w:type="dxa"/>
            <w:tcBorders/>
            <w:shd w:fill="CCEEFF"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operating expenses </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33,559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32,495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Loss from operations </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(12,162</w:t>
            </w:r>
          </w:p>
        </w:tc>
        <w:tc>
          <w:tcPr>
            <w:tcW w:w="147"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(19,269</w:t>
            </w:r>
          </w:p>
        </w:tc>
        <w:tc>
          <w:tcPr>
            <w:tcW w:w="158" w:type="dxa"/>
            <w:tcBorders/>
            <w:vAlign w:val="center"/>
          </w:tcPr>
          <w:p>
            <w:pPr>
              <w:pStyle w:val="TableContents"/>
              <w:bidi w:val="0"/>
              <w:spacing w:before="0" w:after="0"/>
              <w:jc w:val="left"/>
              <w:rPr/>
            </w:pPr>
            <w:r>
              <w:rPr/>
              <w:t>)</w:t>
            </w:r>
          </w:p>
        </w:tc>
      </w:tr>
      <w:tr>
        <w:trPr/>
        <w:tc>
          <w:tcPr>
            <w:tcW w:w="76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pPr>
            <w:r>
              <w:rPr/>
              <w:t xml:space="preserve">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Interest and other income</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(572</w:t>
            </w:r>
          </w:p>
        </w:tc>
        <w:tc>
          <w:tcPr>
            <w:tcW w:w="147"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(433</w:t>
            </w:r>
          </w:p>
        </w:tc>
        <w:tc>
          <w:tcPr>
            <w:tcW w:w="158" w:type="dxa"/>
            <w:tcBorders/>
            <w:vAlign w:val="center"/>
          </w:tcPr>
          <w:p>
            <w:pPr>
              <w:pStyle w:val="TableContents"/>
              <w:bidi w:val="0"/>
              <w:spacing w:before="0" w:after="0"/>
              <w:jc w:val="left"/>
              <w:rPr/>
            </w:pPr>
            <w:r>
              <w:rPr/>
              <w:t>)</w:t>
            </w:r>
          </w:p>
        </w:tc>
      </w:tr>
      <w:tr>
        <w:trPr/>
        <w:tc>
          <w:tcPr>
            <w:tcW w:w="7601"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Other expense </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389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184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r>
        <w:trPr/>
        <w:tc>
          <w:tcPr>
            <w:tcW w:w="7601"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Total other income</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(183</w:t>
            </w:r>
          </w:p>
        </w:tc>
        <w:tc>
          <w:tcPr>
            <w:tcW w:w="147"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(249</w:t>
            </w:r>
          </w:p>
        </w:tc>
        <w:tc>
          <w:tcPr>
            <w:tcW w:w="158" w:type="dxa"/>
            <w:tcBorders/>
            <w:vAlign w:val="center"/>
          </w:tcPr>
          <w:p>
            <w:pPr>
              <w:pStyle w:val="TableContents"/>
              <w:bidi w:val="0"/>
              <w:spacing w:before="0" w:after="0"/>
              <w:jc w:val="left"/>
              <w:rPr/>
            </w:pPr>
            <w:r>
              <w:rPr/>
              <w:t>)</w:t>
            </w:r>
          </w:p>
        </w:tc>
      </w:tr>
      <w:tr>
        <w:trPr/>
        <w:tc>
          <w:tcPr>
            <w:tcW w:w="76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before income taxes </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(11,979</w:t>
            </w:r>
          </w:p>
        </w:tc>
        <w:tc>
          <w:tcPr>
            <w:tcW w:w="147"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(19,020</w:t>
            </w:r>
          </w:p>
        </w:tc>
        <w:tc>
          <w:tcPr>
            <w:tcW w:w="158" w:type="dxa"/>
            <w:tcBorders/>
            <w:shd w:fill="CCEEFF" w:val="clear"/>
            <w:vAlign w:val="center"/>
          </w:tcPr>
          <w:p>
            <w:pPr>
              <w:pStyle w:val="TableContents"/>
              <w:bidi w:val="0"/>
              <w:spacing w:before="0" w:after="0"/>
              <w:jc w:val="left"/>
              <w:rPr/>
            </w:pPr>
            <w:r>
              <w:rPr/>
              <w:t>)</w:t>
            </w:r>
          </w:p>
        </w:tc>
      </w:tr>
      <w:tr>
        <w:trPr/>
        <w:tc>
          <w:tcPr>
            <w:tcW w:w="7601"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Benefit from income taxes </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93</w:t>
            </w:r>
            <w:r>
              <w:rPr>
                <w:rFonts w:ascii="Times New Roman" w:hAnsi="Times New Roman"/>
                <w:sz w:val="20"/>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pPr>
            <w:r>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1" w:type="dxa"/>
            <w:tcBorders/>
            <w:shd w:fill="CCEEFF"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Net loss</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(11,886</w:t>
            </w:r>
          </w:p>
        </w:tc>
        <w:tc>
          <w:tcPr>
            <w:tcW w:w="147"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(18,834</w:t>
            </w:r>
          </w:p>
        </w:tc>
        <w:tc>
          <w:tcPr>
            <w:tcW w:w="158" w:type="dxa"/>
            <w:tcBorders/>
            <w:shd w:fill="CCEEFF" w:val="clear"/>
            <w:vAlign w:val="center"/>
          </w:tcPr>
          <w:p>
            <w:pPr>
              <w:pStyle w:val="TableContents"/>
              <w:bidi w:val="0"/>
              <w:spacing w:before="0" w:after="0"/>
              <w:jc w:val="left"/>
              <w:rPr/>
            </w:pPr>
            <w:r>
              <w:rPr/>
              <w:t>)</w:t>
            </w:r>
          </w:p>
        </w:tc>
      </w:tr>
      <w:tr>
        <w:trPr/>
        <w:tc>
          <w:tcPr>
            <w:tcW w:w="7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of common stock - Basic and Diluted</w:t>
            </w:r>
          </w:p>
        </w:tc>
        <w:tc>
          <w:tcPr>
            <w:tcW w:w="140" w:type="dxa"/>
            <w:tcBorders/>
            <w:vAlign w:val="center"/>
          </w:tcPr>
          <w:p>
            <w:pPr>
              <w:pStyle w:val="TableContents"/>
              <w:bidi w:val="0"/>
              <w:spacing w:before="0" w:after="0"/>
              <w:ind w:left="0" w:right="0" w:hanging="0"/>
              <w:jc w:val="left"/>
              <w:rPr/>
            </w:pPr>
            <w:r>
              <w:rPr/>
            </w:r>
          </w:p>
        </w:tc>
        <w:tc>
          <w:tcPr>
            <w:tcW w:w="20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8" w:type="dxa"/>
            <w:tcBorders/>
            <w:vAlign w:val="center"/>
          </w:tcPr>
          <w:p>
            <w:pPr>
              <w:pStyle w:val="TableContents"/>
              <w:pBdr/>
              <w:bidi w:val="0"/>
              <w:spacing w:before="0" w:after="0"/>
              <w:ind w:left="0" w:right="0" w:hanging="0"/>
              <w:jc w:val="right"/>
              <w:rPr/>
            </w:pPr>
            <w:r>
              <w:rPr/>
              <w:t>(1.59</w:t>
            </w:r>
          </w:p>
        </w:tc>
        <w:tc>
          <w:tcPr>
            <w:tcW w:w="147"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pBdr/>
              <w:bidi w:val="0"/>
              <w:spacing w:before="0" w:after="0"/>
              <w:ind w:left="0" w:right="0" w:hanging="0"/>
              <w:jc w:val="left"/>
              <w:rPr/>
            </w:pPr>
            <w:r>
              <w:rPr/>
              <w:t xml:space="preserve">  </w:t>
            </w:r>
          </w:p>
        </w:tc>
        <w:tc>
          <w:tcPr>
            <w:tcW w:w="20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(3.42</w:t>
            </w:r>
          </w:p>
        </w:tc>
        <w:tc>
          <w:tcPr>
            <w:tcW w:w="158" w:type="dxa"/>
            <w:tcBorders/>
            <w:vAlign w:val="center"/>
          </w:tcPr>
          <w:p>
            <w:pPr>
              <w:pStyle w:val="TableContents"/>
              <w:bidi w:val="0"/>
              <w:spacing w:before="0" w:after="0"/>
              <w:jc w:val="left"/>
              <w:rPr/>
            </w:pPr>
            <w:r>
              <w:rPr/>
              <w:t>)</w:t>
            </w:r>
          </w:p>
        </w:tc>
      </w:tr>
      <w:tr>
        <w:trPr/>
        <w:tc>
          <w:tcPr>
            <w:tcW w:w="76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 (see Note 11)</w:t>
            </w:r>
          </w:p>
        </w:tc>
        <w:tc>
          <w:tcPr>
            <w:tcW w:w="140" w:type="dxa"/>
            <w:tcBorders/>
            <w:shd w:fill="CCEEFF" w:val="clear"/>
            <w:vAlign w:val="center"/>
          </w:tcPr>
          <w:p>
            <w:pPr>
              <w:pStyle w:val="TableContents"/>
              <w:bidi w:val="0"/>
              <w:spacing w:before="0" w:after="0"/>
              <w:ind w:left="0" w:right="0" w:hanging="0"/>
              <w:jc w:val="left"/>
              <w:rPr/>
            </w:pPr>
            <w:r>
              <w:rPr/>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7,483</w:t>
            </w:r>
            <w:r>
              <w:rPr>
                <w:rFonts w:ascii="Times New Roman" w:hAnsi="Times New Roman"/>
                <w:sz w:val="20"/>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pBdr/>
              <w:bidi w:val="0"/>
              <w:spacing w:before="0" w:after="0"/>
              <w:ind w:left="0" w:right="0" w:hanging="0"/>
              <w:jc w:val="left"/>
              <w:rPr/>
            </w:pPr>
            <w:r>
              <w:rPr/>
              <w:t xml:space="preserve">  </w:t>
            </w:r>
          </w:p>
        </w:tc>
        <w:tc>
          <w:tcPr>
            <w:tcW w:w="208" w:type="dxa"/>
            <w:tcBorders/>
            <w:shd w:fill="CCEEFF" w:val="clear"/>
            <w:vAlign w:val="center"/>
          </w:tcPr>
          <w:p>
            <w:pPr>
              <w:pStyle w:val="TableContents"/>
              <w:pBdr/>
              <w:bidi w:val="0"/>
              <w:spacing w:before="0" w:after="0"/>
              <w:ind w:left="0" w:right="0" w:hanging="0"/>
              <w:jc w:val="left"/>
              <w:rPr/>
            </w:pPr>
            <w:r>
              <w:rPr/>
              <w:t xml:space="preserve">  </w:t>
            </w:r>
          </w:p>
        </w:tc>
        <w:tc>
          <w:tcPr>
            <w:tcW w:w="79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5,515 </w:t>
            </w:r>
          </w:p>
        </w:tc>
        <w:tc>
          <w:tcPr>
            <w:tcW w:w="158" w:type="dxa"/>
            <w:tcBorders/>
            <w:shd w:fill="CCEEFF" w:val="clear"/>
            <w:vAlign w:val="center"/>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See accompanying notes to the consolidated financial statements.</w:t>
      </w:r>
    </w:p>
    <w:p>
      <w:pPr>
        <w:pStyle w:val="TextBody"/>
        <w:bidi w:val="0"/>
        <w:spacing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98">
        <w:bookmarkStart w:id="99" w:name="BConsolidated_Statements_of_Comprehensiv"/>
        <w:bookmarkEnd w:id="99"/>
        <w:r>
          <w:rPr>
            <w:rStyle w:val="InternetLink"/>
            <w:rFonts w:ascii="Times New Roman" w:hAnsi="Times New Roman"/>
            <w:b/>
            <w:strike w:val="false"/>
            <w:dstrike w:val="false"/>
            <w:color w:val="000000"/>
            <w:sz w:val="20"/>
            <w:u w:val="none"/>
            <w:effect w:val="none"/>
          </w:rPr>
          <w:t>Consolidated Statements of Comprehensive Loss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748"/>
        <w:gridCol w:w="180"/>
        <w:gridCol w:w="188"/>
        <w:gridCol w:w="1135"/>
        <w:gridCol w:w="180"/>
        <w:gridCol w:w="181"/>
        <w:gridCol w:w="255"/>
        <w:gridCol w:w="1135"/>
        <w:gridCol w:w="203"/>
      </w:tblGrid>
      <w:tr>
        <w:trPr/>
        <w:tc>
          <w:tcPr>
            <w:tcW w:w="6748" w:type="dxa"/>
            <w:tcBorders/>
            <w:shd w:fill="FFFFFF" w:val="clear"/>
            <w:vAlign w:val="center"/>
          </w:tcPr>
          <w:p>
            <w:pPr>
              <w:pStyle w:val="TableContents"/>
              <w:bidi w:val="0"/>
              <w:spacing w:before="0" w:after="0"/>
              <w:ind w:left="0" w:right="0" w:hanging="0"/>
              <w:jc w:val="center"/>
              <w:rPr/>
            </w:pPr>
            <w:r>
              <w:rPr/>
              <w:t xml:space="preserve">  </w:t>
            </w:r>
          </w:p>
        </w:tc>
        <w:tc>
          <w:tcPr>
            <w:tcW w:w="180" w:type="dxa"/>
            <w:tcBorders/>
            <w:shd w:fill="FFFFFF" w:val="clear"/>
            <w:vAlign w:val="center"/>
          </w:tcPr>
          <w:p>
            <w:pPr>
              <w:pStyle w:val="TableContents"/>
              <w:bidi w:val="0"/>
              <w:spacing w:before="0" w:after="0"/>
              <w:ind w:left="0" w:right="0" w:hanging="0"/>
              <w:jc w:val="left"/>
              <w:rPr/>
            </w:pPr>
            <w:r>
              <w:rPr/>
              <w:t xml:space="preserve">  </w:t>
            </w:r>
          </w:p>
        </w:tc>
        <w:tc>
          <w:tcPr>
            <w:tcW w:w="3277" w:type="dxa"/>
            <w:gridSpan w:val="7"/>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r>
      <w:tr>
        <w:trPr/>
        <w:tc>
          <w:tcPr>
            <w:tcW w:w="6748" w:type="dxa"/>
            <w:tcBorders/>
            <w:shd w:fill="FFFFFF" w:val="clear"/>
            <w:vAlign w:val="center"/>
          </w:tcPr>
          <w:p>
            <w:pPr>
              <w:pStyle w:val="TableContents"/>
              <w:bidi w:val="0"/>
              <w:spacing w:before="0" w:after="0"/>
              <w:ind w:left="0" w:right="0" w:hanging="0"/>
              <w:jc w:val="center"/>
              <w:rPr/>
            </w:pPr>
            <w:r>
              <w:rPr/>
              <w:t xml:space="preserve">  </w:t>
            </w:r>
          </w:p>
        </w:tc>
        <w:tc>
          <w:tcPr>
            <w:tcW w:w="180" w:type="dxa"/>
            <w:tcBorders/>
            <w:shd w:fill="FFFFFF" w:val="clear"/>
            <w:vAlign w:val="center"/>
          </w:tcPr>
          <w:p>
            <w:pPr>
              <w:pStyle w:val="TableContents"/>
              <w:bidi w:val="0"/>
              <w:spacing w:before="0" w:after="0"/>
              <w:ind w:left="0" w:right="0" w:hanging="0"/>
              <w:jc w:val="left"/>
              <w:rPr/>
            </w:pPr>
            <w:r>
              <w:rPr/>
              <w:t xml:space="preserve">  </w:t>
            </w:r>
          </w:p>
        </w:tc>
        <w:tc>
          <w:tcPr>
            <w:tcW w:w="1323"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180" w:type="dxa"/>
            <w:tcBorders/>
            <w:shd w:fill="FFFFFF" w:val="clear"/>
            <w:vAlign w:val="center"/>
          </w:tcPr>
          <w:p>
            <w:pPr>
              <w:pStyle w:val="TableContents"/>
              <w:bidi w:val="0"/>
              <w:spacing w:before="0" w:after="0"/>
              <w:ind w:left="0" w:right="0" w:hanging="0"/>
              <w:jc w:val="left"/>
              <w:rPr/>
            </w:pPr>
            <w:r>
              <w:rPr/>
              <w:t xml:space="preserve">  </w:t>
            </w:r>
          </w:p>
        </w:tc>
        <w:tc>
          <w:tcPr>
            <w:tcW w:w="181" w:type="dxa"/>
            <w:tcBorders/>
            <w:shd w:fill="FFFFFF" w:val="clear"/>
            <w:vAlign w:val="center"/>
          </w:tcPr>
          <w:p>
            <w:pPr>
              <w:pStyle w:val="TableContents"/>
              <w:bidi w:val="0"/>
              <w:spacing w:before="0" w:after="0"/>
              <w:ind w:left="0" w:right="0" w:hanging="0"/>
              <w:jc w:val="center"/>
              <w:rPr/>
            </w:pPr>
            <w:r>
              <w:rPr/>
              <w:t xml:space="preserve">  </w:t>
            </w:r>
          </w:p>
        </w:tc>
        <w:tc>
          <w:tcPr>
            <w:tcW w:w="1390"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203" w:type="dxa"/>
            <w:tcBorders/>
            <w:shd w:fill="FFFFFF" w:val="clear"/>
            <w:vAlign w:val="center"/>
          </w:tcPr>
          <w:p>
            <w:pPr>
              <w:pStyle w:val="TableContents"/>
              <w:bidi w:val="0"/>
              <w:spacing w:before="0" w:after="0"/>
              <w:ind w:left="0" w:right="0" w:hanging="0"/>
              <w:jc w:val="left"/>
              <w:rPr/>
            </w:pPr>
            <w:r>
              <w:rPr/>
              <w:t xml:space="preserve">  </w:t>
            </w:r>
          </w:p>
        </w:tc>
      </w:tr>
      <w:tr>
        <w:trPr/>
        <w:tc>
          <w:tcPr>
            <w:tcW w:w="674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loss</w:t>
            </w:r>
          </w:p>
        </w:tc>
        <w:tc>
          <w:tcPr>
            <w:tcW w:w="180" w:type="dxa"/>
            <w:tcBorders/>
            <w:shd w:fill="CCEEFF" w:val="clear"/>
            <w:vAlign w:val="center"/>
          </w:tcPr>
          <w:p>
            <w:pPr>
              <w:pStyle w:val="TableContents"/>
              <w:bidi w:val="0"/>
              <w:spacing w:before="0" w:after="283"/>
              <w:ind w:left="0" w:right="0" w:hanging="0"/>
              <w:jc w:val="left"/>
              <w:rPr/>
            </w:pPr>
            <w:r>
              <w:rPr/>
            </w:r>
          </w:p>
        </w:tc>
        <w:tc>
          <w:tcPr>
            <w:tcW w:w="18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5" w:type="dxa"/>
            <w:tcBorders/>
            <w:shd w:fill="CCEEFF" w:val="clear"/>
            <w:vAlign w:val="center"/>
          </w:tcPr>
          <w:p>
            <w:pPr>
              <w:pStyle w:val="TableContents"/>
              <w:bidi w:val="0"/>
              <w:spacing w:before="0" w:after="0"/>
              <w:ind w:left="0" w:right="0" w:hanging="0"/>
              <w:jc w:val="right"/>
              <w:rPr/>
            </w:pPr>
            <w:r>
              <w:rPr/>
              <w:t>(11,886</w:t>
            </w:r>
          </w:p>
        </w:tc>
        <w:tc>
          <w:tcPr>
            <w:tcW w:w="180" w:type="dxa"/>
            <w:tcBorders/>
            <w:shd w:fill="CCEEFF" w:val="clear"/>
            <w:vAlign w:val="center"/>
          </w:tcPr>
          <w:p>
            <w:pPr>
              <w:pStyle w:val="TableContents"/>
              <w:bidi w:val="0"/>
              <w:spacing w:before="0" w:after="283"/>
              <w:ind w:left="0" w:right="0" w:hanging="0"/>
              <w:jc w:val="lef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255"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5" w:type="dxa"/>
            <w:tcBorders/>
            <w:shd w:fill="CCEEFF" w:val="clear"/>
            <w:vAlign w:val="center"/>
          </w:tcPr>
          <w:p>
            <w:pPr>
              <w:pStyle w:val="TableContents"/>
              <w:bidi w:val="0"/>
              <w:spacing w:before="0" w:after="0"/>
              <w:ind w:left="0" w:right="0" w:hanging="0"/>
              <w:jc w:val="right"/>
              <w:rPr/>
            </w:pPr>
            <w:r>
              <w:rPr/>
              <w:t>(18,834</w:t>
            </w:r>
          </w:p>
        </w:tc>
        <w:tc>
          <w:tcPr>
            <w:tcW w:w="203" w:type="dxa"/>
            <w:tcBorders/>
            <w:shd w:fill="CCEEFF" w:val="clear"/>
            <w:vAlign w:val="center"/>
          </w:tcPr>
          <w:p>
            <w:pPr>
              <w:pStyle w:val="TableContents"/>
              <w:bidi w:val="0"/>
              <w:spacing w:before="0" w:after="283"/>
              <w:ind w:left="0" w:right="0" w:hanging="0"/>
              <w:jc w:val="left"/>
              <w:rPr/>
            </w:pPr>
            <w:r>
              <w:rPr/>
              <w:t>)</w:t>
            </w:r>
          </w:p>
        </w:tc>
      </w:tr>
      <w:tr>
        <w:trPr/>
        <w:tc>
          <w:tcPr>
            <w:tcW w:w="674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Other comprehensive income (loss): </w:t>
            </w:r>
          </w:p>
        </w:tc>
        <w:tc>
          <w:tcPr>
            <w:tcW w:w="180" w:type="dxa"/>
            <w:tcBorders/>
            <w:vAlign w:val="center"/>
          </w:tcPr>
          <w:p>
            <w:pPr>
              <w:pStyle w:val="TableContents"/>
              <w:bidi w:val="0"/>
              <w:spacing w:before="0" w:after="0"/>
              <w:ind w:left="0" w:right="0" w:hanging="0"/>
              <w:jc w:val="left"/>
              <w:rPr/>
            </w:pPr>
            <w:r>
              <w:rPr/>
              <w:t xml:space="preserve">  </w:t>
            </w:r>
          </w:p>
        </w:tc>
        <w:tc>
          <w:tcPr>
            <w:tcW w:w="188" w:type="dxa"/>
            <w:tcBorders/>
            <w:vAlign w:val="center"/>
          </w:tcPr>
          <w:p>
            <w:pPr>
              <w:pStyle w:val="TableContents"/>
              <w:bidi w:val="0"/>
              <w:spacing w:before="0" w:after="0"/>
              <w:ind w:left="0" w:right="0" w:hanging="0"/>
              <w:jc w:val="left"/>
              <w:rPr/>
            </w:pPr>
            <w:r>
              <w:rPr/>
              <w:t xml:space="preserve">  </w:t>
            </w:r>
          </w:p>
        </w:tc>
        <w:tc>
          <w:tcPr>
            <w:tcW w:w="1135" w:type="dxa"/>
            <w:tcBorders/>
            <w:vAlign w:val="center"/>
          </w:tcPr>
          <w:p>
            <w:pPr>
              <w:pStyle w:val="TableContents"/>
              <w:pBdr/>
              <w:bidi w:val="0"/>
              <w:spacing w:before="0" w:after="0"/>
              <w:ind w:left="0" w:right="0" w:hanging="0"/>
              <w:jc w:val="left"/>
              <w:rPr/>
            </w:pPr>
            <w:r>
              <w:rPr/>
              <w:t xml:space="preserve">  </w:t>
            </w:r>
          </w:p>
        </w:tc>
        <w:tc>
          <w:tcPr>
            <w:tcW w:w="180" w:type="dxa"/>
            <w:tcBorders/>
            <w:vAlign w:val="center"/>
          </w:tcPr>
          <w:p>
            <w:pPr>
              <w:pStyle w:val="TableContents"/>
              <w:bidi w:val="0"/>
              <w:spacing w:before="0" w:after="0"/>
              <w:ind w:left="0" w:right="0" w:hanging="0"/>
              <w:jc w:val="left"/>
              <w:rPr/>
            </w:pPr>
            <w:r>
              <w:rPr/>
              <w:t xml:space="preserve">  </w:t>
            </w:r>
          </w:p>
        </w:tc>
        <w:tc>
          <w:tcPr>
            <w:tcW w:w="181" w:type="dxa"/>
            <w:tcBorders/>
            <w:vAlign w:val="center"/>
          </w:tcPr>
          <w:p>
            <w:pPr>
              <w:pStyle w:val="TableContents"/>
              <w:bidi w:val="0"/>
              <w:spacing w:before="0" w:after="0"/>
              <w:ind w:left="0" w:right="0" w:hanging="0"/>
              <w:jc w:val="left"/>
              <w:rPr/>
            </w:pPr>
            <w:r>
              <w:rPr/>
              <w:t xml:space="preserve">  </w:t>
            </w:r>
          </w:p>
        </w:tc>
        <w:tc>
          <w:tcPr>
            <w:tcW w:w="255" w:type="dxa"/>
            <w:tcBorders/>
            <w:vAlign w:val="center"/>
          </w:tcPr>
          <w:p>
            <w:pPr>
              <w:pStyle w:val="TableContents"/>
              <w:bidi w:val="0"/>
              <w:spacing w:before="0" w:after="0"/>
              <w:ind w:left="0" w:right="0" w:hanging="0"/>
              <w:jc w:val="left"/>
              <w:rPr/>
            </w:pPr>
            <w:r>
              <w:rPr/>
              <w:t xml:space="preserve">  </w:t>
            </w:r>
          </w:p>
        </w:tc>
        <w:tc>
          <w:tcPr>
            <w:tcW w:w="1135" w:type="dxa"/>
            <w:tcBorders/>
            <w:vAlign w:val="center"/>
          </w:tcPr>
          <w:p>
            <w:pPr>
              <w:pStyle w:val="TableContents"/>
              <w:pBdr/>
              <w:bidi w:val="0"/>
              <w:spacing w:before="0" w:after="0"/>
              <w:ind w:left="0" w:right="0" w:hanging="0"/>
              <w:jc w:val="left"/>
              <w:rPr/>
            </w:pPr>
            <w:r>
              <w:rPr/>
              <w:t xml:space="preserve">  </w:t>
            </w:r>
          </w:p>
        </w:tc>
        <w:tc>
          <w:tcPr>
            <w:tcW w:w="203" w:type="dxa"/>
            <w:tcBorders/>
            <w:vAlign w:val="center"/>
          </w:tcPr>
          <w:p>
            <w:pPr>
              <w:pStyle w:val="TableContents"/>
              <w:bidi w:val="0"/>
              <w:spacing w:before="0" w:after="0"/>
              <w:ind w:left="0" w:right="0" w:hanging="0"/>
              <w:jc w:val="left"/>
              <w:rPr/>
            </w:pPr>
            <w:r>
              <w:rPr/>
              <w:t xml:space="preserve">  </w:t>
            </w:r>
          </w:p>
        </w:tc>
      </w:tr>
      <w:tr>
        <w:trPr/>
        <w:tc>
          <w:tcPr>
            <w:tcW w:w="674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80" w:type="dxa"/>
            <w:tcBorders/>
            <w:shd w:fill="CCEEFF" w:val="clear"/>
            <w:vAlign w:val="center"/>
          </w:tcPr>
          <w:p>
            <w:pPr>
              <w:pStyle w:val="TableContents"/>
              <w:bidi w:val="0"/>
              <w:spacing w:before="0" w:after="0"/>
              <w:ind w:left="0" w:right="0" w:hanging="0"/>
              <w:jc w:val="left"/>
              <w:rPr/>
            </w:pPr>
            <w:r>
              <w:rPr/>
              <w:t xml:space="preserve">  </w:t>
            </w:r>
          </w:p>
        </w:tc>
        <w:tc>
          <w:tcPr>
            <w:tcW w:w="188" w:type="dxa"/>
            <w:tcBorders/>
            <w:shd w:fill="CCEEFF" w:val="clear"/>
            <w:vAlign w:val="center"/>
          </w:tcPr>
          <w:p>
            <w:pPr>
              <w:pStyle w:val="TableContents"/>
              <w:bidi w:val="0"/>
              <w:spacing w:before="0" w:after="0"/>
              <w:ind w:left="0" w:right="0" w:hanging="0"/>
              <w:jc w:val="left"/>
              <w:rPr/>
            </w:pPr>
            <w:r>
              <w:rPr/>
              <w:t xml:space="preserve">  </w:t>
            </w:r>
          </w:p>
        </w:tc>
        <w:tc>
          <w:tcPr>
            <w:tcW w:w="113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178</w:t>
            </w:r>
          </w:p>
        </w:tc>
        <w:tc>
          <w:tcPr>
            <w:tcW w:w="1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255" w:type="dxa"/>
            <w:tcBorders/>
            <w:shd w:fill="CCEEFF" w:val="clear"/>
            <w:vAlign w:val="center"/>
          </w:tcPr>
          <w:p>
            <w:pPr>
              <w:pStyle w:val="TableContents"/>
              <w:bidi w:val="0"/>
              <w:spacing w:before="0" w:after="0"/>
              <w:ind w:left="0" w:right="0" w:hanging="0"/>
              <w:jc w:val="left"/>
              <w:rPr/>
            </w:pPr>
            <w:r>
              <w:rPr/>
              <w:t xml:space="preserve">  </w:t>
            </w:r>
          </w:p>
        </w:tc>
        <w:tc>
          <w:tcPr>
            <w:tcW w:w="113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w:t>
            </w:r>
          </w:p>
        </w:tc>
        <w:tc>
          <w:tcPr>
            <w:tcW w:w="203"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6748" w:type="dxa"/>
            <w:tcBorders/>
            <w:vAlign w:val="center"/>
          </w:tcPr>
          <w:p>
            <w:pPr>
              <w:pStyle w:val="TableContents"/>
              <w:bidi w:val="0"/>
              <w:spacing w:before="0" w:after="0"/>
              <w:ind w:left="0" w:right="0" w:hanging="0"/>
              <w:jc w:val="left"/>
              <w:rPr/>
            </w:pPr>
            <w:r>
              <w:rPr/>
              <w:t>Other comprehensive income (loss)</w:t>
            </w:r>
          </w:p>
        </w:tc>
        <w:tc>
          <w:tcPr>
            <w:tcW w:w="180" w:type="dxa"/>
            <w:tcBorders/>
            <w:vAlign w:val="center"/>
          </w:tcPr>
          <w:p>
            <w:pPr>
              <w:pStyle w:val="TableContents"/>
              <w:bidi w:val="0"/>
              <w:spacing w:before="0" w:after="283"/>
              <w:ind w:left="0" w:right="0" w:hanging="0"/>
              <w:jc w:val="left"/>
              <w:rPr/>
            </w:pPr>
            <w:r>
              <w:rPr/>
            </w:r>
          </w:p>
        </w:tc>
        <w:tc>
          <w:tcPr>
            <w:tcW w:w="188" w:type="dxa"/>
            <w:tcBorders/>
            <w:vAlign w:val="center"/>
          </w:tcPr>
          <w:p>
            <w:pPr>
              <w:pStyle w:val="TableContents"/>
              <w:bidi w:val="0"/>
              <w:spacing w:before="0" w:after="283"/>
              <w:ind w:left="0" w:right="0" w:hanging="0"/>
              <w:jc w:val="left"/>
              <w:rPr/>
            </w:pPr>
            <w:r>
              <w:rPr/>
            </w:r>
          </w:p>
        </w:tc>
        <w:tc>
          <w:tcPr>
            <w:tcW w:w="1135" w:type="dxa"/>
            <w:tcBorders/>
            <w:vAlign w:val="center"/>
          </w:tcPr>
          <w:p>
            <w:pPr>
              <w:pStyle w:val="TableContents"/>
              <w:bidi w:val="0"/>
              <w:spacing w:before="0" w:after="0"/>
              <w:ind w:left="0" w:right="0" w:hanging="0"/>
              <w:jc w:val="right"/>
              <w:rPr/>
            </w:pPr>
            <w:r>
              <w:rPr/>
              <w:t>178</w:t>
            </w:r>
          </w:p>
        </w:tc>
        <w:tc>
          <w:tcPr>
            <w:tcW w:w="180" w:type="dxa"/>
            <w:tcBorders/>
            <w:vAlign w:val="center"/>
          </w:tcPr>
          <w:p>
            <w:pPr>
              <w:pStyle w:val="TableContents"/>
              <w:bidi w:val="0"/>
              <w:spacing w:before="0" w:after="283"/>
              <w:ind w:left="0" w:right="0" w:hanging="0"/>
              <w:jc w:val="left"/>
              <w:rPr/>
            </w:pPr>
            <w:r>
              <w:rPr/>
            </w:r>
          </w:p>
        </w:tc>
        <w:tc>
          <w:tcPr>
            <w:tcW w:w="181" w:type="dxa"/>
            <w:tcBorders/>
            <w:vAlign w:val="center"/>
          </w:tcPr>
          <w:p>
            <w:pPr>
              <w:pStyle w:val="TableContents"/>
              <w:bidi w:val="0"/>
              <w:spacing w:before="0" w:after="283"/>
              <w:ind w:left="0" w:right="0" w:hanging="0"/>
              <w:jc w:val="left"/>
              <w:rPr/>
            </w:pPr>
            <w:r>
              <w:rPr/>
            </w:r>
          </w:p>
        </w:tc>
        <w:tc>
          <w:tcPr>
            <w:tcW w:w="255" w:type="dxa"/>
            <w:tcBorders/>
            <w:vAlign w:val="center"/>
          </w:tcPr>
          <w:p>
            <w:pPr>
              <w:pStyle w:val="TableContents"/>
              <w:bidi w:val="0"/>
              <w:spacing w:before="0" w:after="283"/>
              <w:ind w:left="0" w:right="0" w:hanging="0"/>
              <w:jc w:val="left"/>
              <w:rPr/>
            </w:pPr>
            <w:r>
              <w:rPr/>
            </w:r>
          </w:p>
        </w:tc>
        <w:tc>
          <w:tcPr>
            <w:tcW w:w="1135" w:type="dxa"/>
            <w:tcBorders/>
            <w:vAlign w:val="center"/>
          </w:tcPr>
          <w:p>
            <w:pPr>
              <w:pStyle w:val="TableContents"/>
              <w:bidi w:val="0"/>
              <w:spacing w:before="0" w:after="0"/>
              <w:ind w:left="0" w:right="0" w:hanging="0"/>
              <w:jc w:val="right"/>
              <w:rPr/>
            </w:pPr>
            <w:r>
              <w:rPr/>
              <w:t>5</w:t>
            </w:r>
          </w:p>
        </w:tc>
        <w:tc>
          <w:tcPr>
            <w:tcW w:w="203" w:type="dxa"/>
            <w:tcBorders/>
            <w:vAlign w:val="center"/>
          </w:tcPr>
          <w:p>
            <w:pPr>
              <w:pStyle w:val="TableContents"/>
              <w:bidi w:val="0"/>
              <w:spacing w:before="0" w:after="283"/>
              <w:ind w:left="0" w:right="0" w:hanging="0"/>
              <w:jc w:val="left"/>
              <w:rPr>
                <w:sz w:val="4"/>
                <w:szCs w:val="4"/>
              </w:rPr>
            </w:pPr>
            <w:r>
              <w:rPr>
                <w:sz w:val="4"/>
                <w:szCs w:val="4"/>
              </w:rPr>
            </w:r>
          </w:p>
        </w:tc>
      </w:tr>
      <w:tr>
        <w:trPr/>
        <w:tc>
          <w:tcPr>
            <w:tcW w:w="67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 available to common shareholders</w:t>
            </w:r>
          </w:p>
        </w:tc>
        <w:tc>
          <w:tcPr>
            <w:tcW w:w="180" w:type="dxa"/>
            <w:tcBorders/>
            <w:shd w:fill="CCEEFF" w:val="clear"/>
            <w:vAlign w:val="center"/>
          </w:tcPr>
          <w:p>
            <w:pPr>
              <w:pStyle w:val="TableContents"/>
              <w:bidi w:val="0"/>
              <w:spacing w:before="0" w:after="0"/>
              <w:ind w:left="0" w:right="0" w:hanging="0"/>
              <w:jc w:val="left"/>
              <w:rPr/>
            </w:pPr>
            <w:r>
              <w:rPr/>
              <w:t xml:space="preserve">  </w:t>
            </w:r>
          </w:p>
        </w:tc>
        <w:tc>
          <w:tcPr>
            <w:tcW w:w="18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(11,708</w:t>
            </w:r>
          </w:p>
        </w:tc>
        <w:tc>
          <w:tcPr>
            <w:tcW w:w="180" w:type="dxa"/>
            <w:tcBorders/>
            <w:shd w:fill="CCEEFF" w:val="clear"/>
            <w:vAlign w:val="center"/>
          </w:tcPr>
          <w:p>
            <w:pPr>
              <w:pStyle w:val="TableContents"/>
              <w:bidi w:val="0"/>
              <w:spacing w:before="0" w:after="283"/>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255" w:type="dxa"/>
            <w:tcBorders/>
            <w:shd w:fill="CCEEFF" w:val="clear"/>
            <w:vAlign w:val="center"/>
          </w:tcPr>
          <w:p>
            <w:pPr>
              <w:pStyle w:val="TableContents"/>
              <w:widowControl/>
              <w:bidi w:val="0"/>
              <w:spacing w:before="0" w:after="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rPr>
              <w:t>$</w:t>
            </w:r>
            <w:r>
              <w:rPr>
                <w:rFonts w:ascii="Times New Roman" w:hAnsi="Times New Roman"/>
                <w:sz w:val="20"/>
              </w:rPr>
              <w:t xml:space="preserve"> </w:t>
            </w:r>
          </w:p>
        </w:tc>
        <w:tc>
          <w:tcPr>
            <w:tcW w:w="113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(18,829</w:t>
            </w:r>
          </w:p>
        </w:tc>
        <w:tc>
          <w:tcPr>
            <w:tcW w:w="20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bidi w:val="0"/>
        <w:spacing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pPr>
      <w:hyperlink r:id="rId99">
        <w:bookmarkStart w:id="100" w:name="Bsdwe_139D7QFCG000000000000000000000"/>
        <w:bookmarkEnd w:id="100"/>
        <w:r>
          <w:rPr>
            <w:rStyle w:val="InternetLink"/>
            <w:rFonts w:ascii="Times New Roman" w:hAnsi="Times New Roman"/>
            <w:b/>
            <w:strike w:val="false"/>
            <w:dstrike w:val="false"/>
            <w:color w:val="000000"/>
            <w:sz w:val="20"/>
            <w:u w:val="none"/>
            <w:effect w:val="none"/>
          </w:rPr>
          <w:t>Consolidated Statements of Equity</w:t>
        </w:r>
      </w:hyperlink>
    </w:p>
    <w:p>
      <w:pPr>
        <w:pStyle w:val="TextBody"/>
        <w:bidi w:val="0"/>
        <w:spacing w:lineRule="auto" w:line="288"/>
        <w:ind w:left="0" w:right="0" w:hanging="0"/>
        <w:jc w:val="center"/>
        <w:rPr>
          <w:rFonts w:ascii="Times New Roman" w:hAnsi="Times New Roman"/>
          <w:b/>
          <w:sz w:val="20"/>
        </w:rPr>
      </w:pPr>
      <w:r>
        <w:rPr>
          <w:rFonts w:ascii="Times New Roman" w:hAnsi="Times New Roman"/>
          <w:b/>
          <w:sz w:val="20"/>
        </w:rPr>
        <w:t>(in thousands)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3332" w:type="dxa"/>
        <w:jc w:val="left"/>
        <w:tblInd w:w="0" w:type="dxa"/>
        <w:tblLayout w:type="fixed"/>
        <w:tblCellMar>
          <w:top w:w="0" w:type="dxa"/>
          <w:left w:w="0" w:type="dxa"/>
          <w:bottom w:w="0" w:type="dxa"/>
          <w:right w:w="0" w:type="dxa"/>
        </w:tblCellMar>
      </w:tblPr>
      <w:tblGrid>
        <w:gridCol w:w="3781"/>
        <w:gridCol w:w="109"/>
        <w:gridCol w:w="586"/>
        <w:gridCol w:w="181"/>
        <w:gridCol w:w="109"/>
        <w:gridCol w:w="691"/>
        <w:gridCol w:w="109"/>
        <w:gridCol w:w="146"/>
        <w:gridCol w:w="646"/>
        <w:gridCol w:w="146"/>
        <w:gridCol w:w="146"/>
        <w:gridCol w:w="261"/>
        <w:gridCol w:w="430"/>
        <w:gridCol w:w="146"/>
        <w:gridCol w:w="146"/>
        <w:gridCol w:w="211"/>
        <w:gridCol w:w="886"/>
        <w:gridCol w:w="181"/>
        <w:gridCol w:w="146"/>
        <w:gridCol w:w="211"/>
        <w:gridCol w:w="961"/>
        <w:gridCol w:w="181"/>
        <w:gridCol w:w="146"/>
        <w:gridCol w:w="447"/>
        <w:gridCol w:w="724"/>
        <w:gridCol w:w="181"/>
        <w:gridCol w:w="146"/>
        <w:gridCol w:w="211"/>
        <w:gridCol w:w="841"/>
        <w:gridCol w:w="226"/>
      </w:tblGrid>
      <w:tr>
        <w:trPr/>
        <w:tc>
          <w:tcPr>
            <w:tcW w:w="3781" w:type="dxa"/>
            <w:tcBorders/>
            <w:shd w:fill="FFFFFF" w:val="clear"/>
            <w:vAlign w:val="center"/>
          </w:tcPr>
          <w:p>
            <w:pPr>
              <w:pStyle w:val="TableContents"/>
              <w:pBdr/>
              <w:bidi w:val="0"/>
              <w:spacing w:before="0" w:after="0"/>
              <w:ind w:left="0" w:right="0" w:hanging="0"/>
              <w:jc w:val="center"/>
              <w:rPr/>
            </w:pPr>
            <w:r>
              <w:rPr/>
              <w:t xml:space="preserve">  </w:t>
            </w:r>
          </w:p>
        </w:tc>
        <w:tc>
          <w:tcPr>
            <w:tcW w:w="1676" w:type="dxa"/>
            <w:gridSpan w:val="5"/>
            <w:tcBorders/>
            <w:shd w:fill="FFFFFF" w:val="clear"/>
            <w:vAlign w:val="center"/>
          </w:tcPr>
          <w:p>
            <w:pPr>
              <w:pStyle w:val="TableContents"/>
              <w:bidi w:val="0"/>
              <w:spacing w:before="0" w:after="0"/>
              <w:ind w:left="0" w:right="0" w:hanging="0"/>
              <w:jc w:val="center"/>
              <w:rPr>
                <w:b/>
                <w:sz w:val="16"/>
              </w:rPr>
            </w:pPr>
            <w:r>
              <w:rPr>
                <w:b/>
                <w:sz w:val="16"/>
              </w:rPr>
              <w:t>Mezzanine Equity</w:t>
            </w:r>
          </w:p>
        </w:tc>
        <w:tc>
          <w:tcPr>
            <w:tcW w:w="109" w:type="dxa"/>
            <w:tcBorders/>
            <w:shd w:fill="FFFFFF" w:val="clear"/>
            <w:vAlign w:val="center"/>
          </w:tcPr>
          <w:p>
            <w:pPr>
              <w:pStyle w:val="TableContents"/>
              <w:bidi w:val="0"/>
              <w:spacing w:before="0" w:after="283"/>
              <w:ind w:left="0" w:right="0" w:hanging="0"/>
              <w:jc w:val="left"/>
              <w:rPr/>
            </w:pPr>
            <w:r>
              <w:rPr/>
            </w:r>
          </w:p>
        </w:tc>
        <w:tc>
          <w:tcPr>
            <w:tcW w:w="7540" w:type="dxa"/>
            <w:gridSpan w:val="22"/>
            <w:tcBorders/>
            <w:shd w:fill="FFFFFF" w:val="clear"/>
            <w:vAlign w:val="center"/>
          </w:tcPr>
          <w:p>
            <w:pPr>
              <w:pStyle w:val="TableContents"/>
              <w:widowControl/>
              <w:bidi w:val="0"/>
              <w:spacing w:before="0" w:after="0"/>
              <w:ind w:left="0" w:right="0" w:hanging="0"/>
              <w:jc w:val="center"/>
              <w:rPr>
                <w:rFonts w:ascii="times new roman" w:hAnsi="times new roman"/>
                <w:b/>
                <w:i w:val="false"/>
                <w:caps w:val="false"/>
                <w:smallCaps w:val="false"/>
                <w:spacing w:val="0"/>
                <w:sz w:val="16"/>
              </w:rPr>
            </w:pPr>
            <w:r>
              <w:rPr>
                <w:rFonts w:ascii="times new roman" w:hAnsi="times new roman"/>
                <w:b/>
                <w:i w:val="false"/>
                <w:caps w:val="false"/>
                <w:smallCaps w:val="false"/>
                <w:spacing w:val="0"/>
                <w:sz w:val="16"/>
              </w:rPr>
              <w:t>Stockholders' Equity</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3781" w:type="dxa"/>
            <w:tcBorders/>
            <w:shd w:fill="FFFFFF" w:val="clear"/>
            <w:vAlign w:val="center"/>
          </w:tcPr>
          <w:p>
            <w:pPr>
              <w:pStyle w:val="TableContents"/>
              <w:pBdr/>
              <w:bidi w:val="0"/>
              <w:spacing w:before="0" w:after="0"/>
              <w:ind w:left="0" w:right="0" w:hanging="0"/>
              <w:jc w:val="center"/>
              <w:rPr/>
            </w:pPr>
            <w:r>
              <w:rPr/>
              <w:t xml:space="preserve">  </w:t>
            </w:r>
          </w:p>
        </w:tc>
        <w:tc>
          <w:tcPr>
            <w:tcW w:w="109" w:type="dxa"/>
            <w:tcBorders/>
            <w:shd w:fill="FFFFFF" w:val="clear"/>
            <w:vAlign w:val="center"/>
          </w:tcPr>
          <w:p>
            <w:pPr>
              <w:pStyle w:val="TableContents"/>
              <w:bidi w:val="0"/>
              <w:spacing w:before="0" w:after="283"/>
              <w:ind w:left="0" w:right="0" w:hanging="0"/>
              <w:jc w:val="left"/>
              <w:rPr/>
            </w:pPr>
            <w:r>
              <w:rPr/>
            </w:r>
          </w:p>
        </w:tc>
        <w:tc>
          <w:tcPr>
            <w:tcW w:w="586" w:type="dxa"/>
            <w:tcBorders/>
            <w:shd w:fill="FFFFFF" w:val="clear"/>
            <w:vAlign w:val="center"/>
          </w:tcPr>
          <w:p>
            <w:pPr>
              <w:pStyle w:val="TableContents"/>
              <w:bidi w:val="0"/>
              <w:spacing w:before="0" w:after="283"/>
              <w:ind w:left="0" w:right="0" w:hanging="0"/>
              <w:jc w:val="left"/>
              <w:rPr/>
            </w:pPr>
            <w:r>
              <w:rPr/>
            </w:r>
          </w:p>
        </w:tc>
        <w:tc>
          <w:tcPr>
            <w:tcW w:w="18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69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1775" w:type="dxa"/>
            <w:gridSpan w:val="6"/>
            <w:tcBorders/>
            <w:shd w:fill="FFFFFF" w:val="clear"/>
            <w:vAlign w:val="center"/>
          </w:tcPr>
          <w:p>
            <w:pPr>
              <w:pStyle w:val="TableContents"/>
              <w:pBdr/>
              <w:bidi w:val="0"/>
              <w:spacing w:before="0" w:after="0"/>
              <w:ind w:left="0" w:right="0" w:hanging="0"/>
              <w:jc w:val="center"/>
              <w:rPr/>
            </w:pPr>
            <w:r>
              <w:rPr/>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Additional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211" w:type="dxa"/>
            <w:tcBorders/>
            <w:shd w:fill="FFFFFF" w:val="clear"/>
            <w:vAlign w:val="center"/>
          </w:tcPr>
          <w:p>
            <w:pPr>
              <w:pStyle w:val="TableContents"/>
              <w:pBdr/>
              <w:bidi w:val="0"/>
              <w:spacing w:before="0" w:after="0"/>
              <w:ind w:left="0" w:right="0" w:hanging="0"/>
              <w:jc w:val="left"/>
              <w:rPr/>
            </w:pPr>
            <w:r>
              <w:rPr/>
              <w:t xml:space="preserve">  </w:t>
            </w:r>
          </w:p>
        </w:tc>
        <w:tc>
          <w:tcPr>
            <w:tcW w:w="961" w:type="dxa"/>
            <w:tcBorders/>
            <w:shd w:fill="FFFFFF" w:val="clear"/>
            <w:vAlign w:val="center"/>
          </w:tcPr>
          <w:p>
            <w:pPr>
              <w:pStyle w:val="TableContents"/>
              <w:pBdr/>
              <w:bidi w:val="0"/>
              <w:spacing w:before="0" w:after="0"/>
              <w:ind w:left="0" w:right="0" w:hanging="0"/>
              <w:jc w:val="center"/>
              <w:rPr/>
            </w:pPr>
            <w:r>
              <w:rPr/>
              <w:t xml:space="preserve">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Accumulated other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52" w:type="dxa"/>
            <w:gridSpan w:val="2"/>
            <w:tcBorders/>
            <w:shd w:fill="FFFFFF" w:val="clear"/>
            <w:vAlign w:val="center"/>
          </w:tcPr>
          <w:p>
            <w:pPr>
              <w:pStyle w:val="TableContents"/>
              <w:bidi w:val="0"/>
              <w:spacing w:before="0" w:after="283"/>
              <w:ind w:left="0" w:right="0" w:hanging="0"/>
              <w:jc w:val="left"/>
              <w:rPr/>
            </w:pPr>
            <w:r>
              <w:rPr/>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3781" w:type="dxa"/>
            <w:tcBorders/>
            <w:shd w:fill="FFFFFF" w:val="clear"/>
            <w:vAlign w:val="center"/>
          </w:tcPr>
          <w:p>
            <w:pPr>
              <w:pStyle w:val="TableContents"/>
              <w:pBdr/>
              <w:bidi w:val="0"/>
              <w:spacing w:before="0" w:after="0"/>
              <w:ind w:left="0" w:right="0" w:hanging="0"/>
              <w:jc w:val="center"/>
              <w:rPr/>
            </w:pPr>
            <w:r>
              <w:rPr/>
              <w:t xml:space="preserve">  </w:t>
            </w:r>
          </w:p>
        </w:tc>
        <w:tc>
          <w:tcPr>
            <w:tcW w:w="1676" w:type="dxa"/>
            <w:gridSpan w:val="5"/>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Preferred Stock</w:t>
            </w:r>
          </w:p>
        </w:tc>
        <w:tc>
          <w:tcPr>
            <w:tcW w:w="109" w:type="dxa"/>
            <w:tcBorders/>
            <w:shd w:fill="FFFFFF" w:val="clear"/>
            <w:vAlign w:val="center"/>
          </w:tcPr>
          <w:p>
            <w:pPr>
              <w:pStyle w:val="TableContents"/>
              <w:bidi w:val="0"/>
              <w:spacing w:before="0" w:after="283"/>
              <w:ind w:left="0" w:right="0" w:hanging="0"/>
              <w:jc w:val="left"/>
              <w:rPr/>
            </w:pPr>
            <w:r>
              <w:rPr/>
            </w:r>
          </w:p>
        </w:tc>
        <w:tc>
          <w:tcPr>
            <w:tcW w:w="1775" w:type="dxa"/>
            <w:gridSpan w:val="6"/>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Common Stock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paid-in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Accumulated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comprehensive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52" w:type="dxa"/>
            <w:gridSpan w:val="2"/>
            <w:tcBorders/>
            <w:shd w:fill="FFFFFF" w:val="clear"/>
            <w:vAlign w:val="center"/>
          </w:tcPr>
          <w:p>
            <w:pPr>
              <w:pStyle w:val="TableContents"/>
              <w:pBdr/>
              <w:bidi w:val="0"/>
              <w:spacing w:before="0" w:after="0"/>
              <w:ind w:left="0" w:right="0" w:hanging="0"/>
              <w:jc w:val="center"/>
              <w:rPr>
                <w:b/>
                <w:sz w:val="16"/>
              </w:rPr>
            </w:pPr>
            <w:r>
              <w:rPr>
                <w:b/>
                <w:sz w:val="16"/>
              </w:rPr>
              <w:t xml:space="preserve">Total </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3781" w:type="dxa"/>
            <w:tcBorders/>
            <w:shd w:fill="FFFFFF" w:val="clear"/>
            <w:vAlign w:val="center"/>
          </w:tcPr>
          <w:p>
            <w:pPr>
              <w:pStyle w:val="TableContents"/>
              <w:pBdr/>
              <w:bidi w:val="0"/>
              <w:spacing w:before="0" w:after="0"/>
              <w:ind w:left="0" w:right="0" w:hanging="0"/>
              <w:jc w:val="center"/>
              <w:rPr/>
            </w:pPr>
            <w:r>
              <w:rPr/>
              <w:t xml:space="preserve">  </w:t>
            </w:r>
          </w:p>
        </w:tc>
        <w:tc>
          <w:tcPr>
            <w:tcW w:w="109" w:type="dxa"/>
            <w:tcBorders/>
            <w:shd w:fill="FFFFFF" w:val="clear"/>
            <w:vAlign w:val="center"/>
          </w:tcPr>
          <w:p>
            <w:pPr>
              <w:pStyle w:val="TableContents"/>
              <w:bidi w:val="0"/>
              <w:spacing w:before="0" w:after="283"/>
              <w:ind w:left="0" w:right="0" w:hanging="0"/>
              <w:jc w:val="left"/>
              <w:rPr/>
            </w:pPr>
            <w:r>
              <w:rPr/>
            </w:r>
          </w:p>
        </w:tc>
        <w:tc>
          <w:tcPr>
            <w:tcW w:w="586" w:type="dxa"/>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Shares</w:t>
            </w:r>
          </w:p>
        </w:tc>
        <w:tc>
          <w:tcPr>
            <w:tcW w:w="18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691" w:type="dxa"/>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Amount</w:t>
            </w:r>
          </w:p>
        </w:tc>
        <w:tc>
          <w:tcPr>
            <w:tcW w:w="109" w:type="dxa"/>
            <w:tcBorders/>
            <w:shd w:fill="FFFFFF" w:val="clear"/>
            <w:vAlign w:val="center"/>
          </w:tcPr>
          <w:p>
            <w:pPr>
              <w:pStyle w:val="TableContents"/>
              <w:bidi w:val="0"/>
              <w:spacing w:before="0" w:after="283"/>
              <w:ind w:left="0" w:right="0" w:hanging="0"/>
              <w:jc w:val="left"/>
              <w:rPr/>
            </w:pPr>
            <w:r>
              <w:rPr/>
            </w:r>
          </w:p>
        </w:tc>
        <w:tc>
          <w:tcPr>
            <w:tcW w:w="79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Shares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69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Amount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capital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17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deficit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income (loss)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052" w:type="dxa"/>
            <w:gridSpan w:val="2"/>
            <w:tcBorders/>
            <w:shd w:fill="FFFFFF" w:val="clear"/>
            <w:vAlign w:val="center"/>
          </w:tcPr>
          <w:p>
            <w:pPr>
              <w:pStyle w:val="TableContents"/>
              <w:widowControl/>
              <w:pBdr/>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 xml:space="preserve">equity </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37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Balances as of </w:t>
            </w:r>
            <w:r>
              <w:rPr>
                <w:rFonts w:ascii="times new roman;times" w:hAnsi="times new roman;times"/>
                <w:sz w:val="20"/>
              </w:rPr>
              <w:t>January 1, 2023</w:t>
            </w:r>
            <w:r>
              <w:rPr>
                <w:rFonts w:ascii="times new roman;times" w:hAnsi="times new roman;times"/>
                <w:sz w:val="20"/>
              </w:rPr>
              <w:t xml:space="preserve"> </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71</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64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4,745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61" w:type="dxa"/>
            <w:tcBorders/>
            <w:shd w:fill="CCEEFF" w:val="clear"/>
            <w:vAlign w:val="center"/>
          </w:tcPr>
          <w:p>
            <w:pPr>
              <w:pStyle w:val="TableContents"/>
              <w:pBdr/>
              <w:bidi w:val="0"/>
              <w:spacing w:before="0" w:after="0"/>
              <w:ind w:left="0" w:right="0" w:hanging="0"/>
              <w:jc w:val="left"/>
              <w:rPr/>
            </w:pPr>
            <w:r>
              <w:rPr/>
            </w:r>
          </w:p>
        </w:tc>
        <w:tc>
          <w:tcPr>
            <w:tcW w:w="43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88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163,520 </w:t>
            </w:r>
          </w:p>
        </w:tc>
        <w:tc>
          <w:tcPr>
            <w:tcW w:w="181"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96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(146,370</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447" w:type="dxa"/>
            <w:tcBorders/>
            <w:shd w:fill="CCEEFF" w:val="clear"/>
            <w:vAlign w:val="center"/>
          </w:tcPr>
          <w:p>
            <w:pPr>
              <w:pStyle w:val="TableContents"/>
              <w:pBdr/>
              <w:bidi w:val="0"/>
              <w:spacing w:before="0" w:after="0"/>
              <w:ind w:left="0" w:right="0" w:hanging="0"/>
              <w:jc w:val="left"/>
              <w:rPr/>
            </w:pPr>
            <w:r>
              <w:rPr/>
            </w:r>
          </w:p>
        </w:tc>
        <w:tc>
          <w:tcPr>
            <w:tcW w:w="72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(69</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pBdr/>
              <w:bidi w:val="0"/>
              <w:spacing w:before="0" w:after="0"/>
              <w:ind w:left="0" w:right="0" w:hanging="0"/>
              <w:jc w:val="lef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84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17,086 </w:t>
            </w:r>
          </w:p>
        </w:tc>
        <w:tc>
          <w:tcPr>
            <w:tcW w:w="226" w:type="dxa"/>
            <w:tcBorders/>
            <w:shd w:fill="CCEEFF" w:val="clear"/>
            <w:vAlign w:val="center"/>
          </w:tcPr>
          <w:p>
            <w:pPr>
              <w:pStyle w:val="TableContents"/>
              <w:pBdr/>
              <w:bidi w:val="0"/>
              <w:spacing w:before="0" w:after="0"/>
              <w:ind w:left="0" w:right="0" w:hanging="0"/>
              <w:jc w:val="left"/>
              <w:rPr/>
            </w:pPr>
            <w:r>
              <w:rPr/>
              <w:t xml:space="preserve">  </w:t>
            </w:r>
          </w:p>
        </w:tc>
      </w:tr>
      <w:tr>
        <w:trPr/>
        <w:tc>
          <w:tcPr>
            <w:tcW w:w="378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loss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(18,834</w:t>
            </w:r>
          </w:p>
        </w:tc>
        <w:tc>
          <w:tcPr>
            <w:tcW w:w="1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(18,834</w:t>
            </w:r>
          </w:p>
        </w:tc>
        <w:tc>
          <w:tcPr>
            <w:tcW w:w="22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widowControl/>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comprehensive </w:t>
            </w:r>
            <w:r>
              <w:rPr>
                <w:rFonts w:ascii="times new roman;times" w:hAnsi="times new roman;times"/>
                <w:b w:val="false"/>
                <w:i w:val="false"/>
                <w:caps w:val="false"/>
                <w:smallCaps w:val="false"/>
                <w:color w:val="000000"/>
                <w:spacing w:val="0"/>
                <w:sz w:val="20"/>
              </w:rPr>
              <w:t>income</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5</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5</w:t>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Sale of common stock and warrants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1,233</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1</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8,143</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8,144</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Financing fees</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(657</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(657</w:t>
            </w:r>
          </w:p>
        </w:tc>
        <w:tc>
          <w:tcPr>
            <w:tcW w:w="22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widowControl/>
              <w:pBdr/>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Issuance of common stock in connection with employee stock plans, net of forfeitures </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25</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Preferred stock redemption</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(71</w:t>
            </w:r>
          </w:p>
        </w:tc>
        <w:tc>
          <w:tcPr>
            <w:tcW w:w="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283"/>
              <w:ind w:left="0" w:right="0" w:hanging="0"/>
              <w:jc w:val="left"/>
              <w:rPr/>
            </w:pPr>
            <w:r>
              <w:rPr/>
            </w:r>
          </w:p>
        </w:tc>
      </w:tr>
      <w:tr>
        <w:trPr/>
        <w:tc>
          <w:tcPr>
            <w:tcW w:w="3781" w:type="dxa"/>
            <w:tcBorders/>
            <w:vAlign w:val="center"/>
          </w:tcPr>
          <w:p>
            <w:pPr>
              <w:pStyle w:val="TableContents"/>
              <w:widowControl/>
              <w:pBdr/>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Share based compensation </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1,698</w:t>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1,698</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Balances as of </w:t>
            </w:r>
            <w:r>
              <w:rPr>
                <w:rFonts w:ascii="times new roman;times" w:hAnsi="times new roman;times"/>
                <w:b w:val="false"/>
                <w:i w:val="false"/>
                <w:caps w:val="false"/>
                <w:smallCaps w:val="false"/>
                <w:color w:val="000000"/>
                <w:spacing w:val="0"/>
                <w:sz w:val="20"/>
              </w:rPr>
              <w:t>January 1, 2024</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6,003</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6</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172,704</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(165,204</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(64</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41" w:type="dxa"/>
            <w:tcBorders/>
            <w:shd w:fill="CCEEFF" w:val="clear"/>
            <w:vAlign w:val="center"/>
          </w:tcPr>
          <w:p>
            <w:pPr>
              <w:pStyle w:val="TableContents"/>
              <w:bidi w:val="0"/>
              <w:spacing w:before="0" w:after="0"/>
              <w:ind w:left="0" w:right="0" w:hanging="0"/>
              <w:jc w:val="right"/>
              <w:rPr/>
            </w:pPr>
            <w:r>
              <w:rPr/>
              <w:t>7,442</w:t>
            </w:r>
          </w:p>
        </w:tc>
        <w:tc>
          <w:tcPr>
            <w:tcW w:w="226" w:type="dxa"/>
            <w:tcBorders/>
            <w:shd w:fill="CCEEFF" w:val="clear"/>
            <w:vAlign w:val="center"/>
          </w:tcPr>
          <w:p>
            <w:pPr>
              <w:pStyle w:val="TableContents"/>
              <w:bidi w:val="0"/>
              <w:spacing w:before="0" w:after="283"/>
              <w:ind w:left="0" w:right="0" w:hanging="0"/>
              <w:jc w:val="left"/>
              <w:rPr/>
            </w:pPr>
            <w:r>
              <w:rPr/>
            </w:r>
          </w:p>
        </w:tc>
      </w:tr>
      <w:tr>
        <w:trPr/>
        <w:tc>
          <w:tcPr>
            <w:tcW w:w="378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loss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(11,886</w:t>
            </w:r>
          </w:p>
        </w:tc>
        <w:tc>
          <w:tcPr>
            <w:tcW w:w="1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(11,886</w:t>
            </w:r>
          </w:p>
        </w:tc>
        <w:tc>
          <w:tcPr>
            <w:tcW w:w="22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comprehensive income </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178</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178</w:t>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0"/>
              <w:ind w:left="0" w:right="0" w:hanging="0"/>
              <w:jc w:val="left"/>
              <w:rPr/>
            </w:pPr>
            <w:r>
              <w:rPr/>
              <w:t>Sale of common stock and warrants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438</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9,306</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9,306</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bidi w:val="0"/>
              <w:spacing w:before="0" w:after="0"/>
              <w:ind w:left="0" w:right="0" w:hanging="0"/>
              <w:jc w:val="left"/>
              <w:rPr/>
            </w:pPr>
            <w:r>
              <w:rPr/>
              <w:t>Financing fees</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(232</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(232</w:t>
            </w:r>
          </w:p>
        </w:tc>
        <w:tc>
          <w:tcPr>
            <w:tcW w:w="22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pPr>
            <w:r>
              <w:rPr/>
              <w:t>Proceeds from the exercise of warrants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144</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866</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866</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Issuance of common stock in connection with employee stock plans, net of forfeitures </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strike w:val="false"/>
                <w:dstrike w:val="false"/>
                <w:color w:val="0000FF"/>
                <w:u w:val="single"/>
                <w:effect w:val="none"/>
              </w:rPr>
            </w:pPr>
            <w:r>
              <w:rPr>
                <w:strike w:val="false"/>
                <w:dstrike w:val="false"/>
                <w:color w:val="0000FF"/>
                <w:u w:val="single"/>
                <w:effect w:val="none"/>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66</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1</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(1</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bidi w:val="0"/>
              <w:spacing w:before="0" w:after="283"/>
              <w:ind w:left="0" w:right="0" w:hanging="0"/>
              <w:jc w:val="left"/>
              <w:rPr/>
            </w:pPr>
            <w:r>
              <w:rPr/>
            </w:r>
          </w:p>
        </w:tc>
        <w:tc>
          <w:tcPr>
            <w:tcW w:w="724"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Share based compensation </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1,870</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47" w:type="dxa"/>
            <w:tcBorders/>
            <w:vAlign w:val="center"/>
          </w:tcPr>
          <w:p>
            <w:pPr>
              <w:pStyle w:val="TableContents"/>
              <w:bidi w:val="0"/>
              <w:spacing w:before="0" w:after="283"/>
              <w:ind w:left="0" w:right="0" w:hanging="0"/>
              <w:jc w:val="left"/>
              <w:rPr/>
            </w:pPr>
            <w:r>
              <w:rPr/>
            </w:r>
          </w:p>
        </w:tc>
        <w:tc>
          <w:tcPr>
            <w:tcW w:w="724"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1,870</w:t>
            </w:r>
          </w:p>
        </w:tc>
        <w:tc>
          <w:tcPr>
            <w:tcW w:w="226" w:type="dxa"/>
            <w:tcBorders/>
            <w:vAlign w:val="center"/>
          </w:tcPr>
          <w:p>
            <w:pPr>
              <w:pStyle w:val="TableContents"/>
              <w:bidi w:val="0"/>
              <w:spacing w:before="0" w:after="283"/>
              <w:ind w:left="0" w:right="0" w:hanging="0"/>
              <w:jc w:val="left"/>
              <w:rPr/>
            </w:pPr>
            <w:r>
              <w:rPr/>
            </w:r>
          </w:p>
        </w:tc>
      </w:tr>
      <w:tr>
        <w:trPr/>
        <w:tc>
          <w:tcPr>
            <w:tcW w:w="3781" w:type="dxa"/>
            <w:tcBorders/>
            <w:shd w:fill="CCEEFF" w:val="clear"/>
            <w:vAlign w:val="center"/>
          </w:tcPr>
          <w:p>
            <w:pPr>
              <w:pStyle w:val="TableContents"/>
              <w:bidi w:val="0"/>
              <w:spacing w:before="0" w:after="0"/>
              <w:ind w:left="0" w:right="0" w:hanging="0"/>
              <w:jc w:val="left"/>
              <w:rPr/>
            </w:pPr>
            <w:r>
              <w:rPr/>
              <w:t xml:space="preserve">Balances as of </w:t>
            </w:r>
            <w:r>
              <w:rPr/>
              <w:t>December 31, 2024</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6,651</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430" w:type="dxa"/>
            <w:tcBorders/>
            <w:shd w:fill="CCEEFF" w:val="clear"/>
            <w:vAlign w:val="center"/>
          </w:tcPr>
          <w:p>
            <w:pPr>
              <w:pStyle w:val="TableContents"/>
              <w:bidi w:val="0"/>
              <w:spacing w:before="0" w:after="0"/>
              <w:ind w:left="0" w:right="0" w:hanging="0"/>
              <w:jc w:val="right"/>
              <w:rPr/>
            </w:pPr>
            <w:r>
              <w:rPr/>
              <w:t>7</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86" w:type="dxa"/>
            <w:tcBorders/>
            <w:shd w:fill="CCEEFF" w:val="clear"/>
            <w:vAlign w:val="center"/>
          </w:tcPr>
          <w:p>
            <w:pPr>
              <w:pStyle w:val="TableContents"/>
              <w:bidi w:val="0"/>
              <w:spacing w:before="0" w:after="0"/>
              <w:ind w:left="0" w:right="0" w:hanging="0"/>
              <w:jc w:val="right"/>
              <w:rPr/>
            </w:pPr>
            <w:r>
              <w:rPr/>
              <w:t>184,513</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61" w:type="dxa"/>
            <w:tcBorders/>
            <w:shd w:fill="CCEEFF" w:val="clear"/>
            <w:vAlign w:val="center"/>
          </w:tcPr>
          <w:p>
            <w:pPr>
              <w:pStyle w:val="TableContents"/>
              <w:bidi w:val="0"/>
              <w:spacing w:before="0" w:after="0"/>
              <w:ind w:left="0" w:right="0" w:hanging="0"/>
              <w:jc w:val="right"/>
              <w:rPr/>
            </w:pPr>
            <w:r>
              <w:rPr/>
              <w:t>(177,090</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447"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24" w:type="dxa"/>
            <w:tcBorders/>
            <w:shd w:fill="CCEEFF" w:val="clear"/>
            <w:vAlign w:val="center"/>
          </w:tcPr>
          <w:p>
            <w:pPr>
              <w:pStyle w:val="TableContents"/>
              <w:bidi w:val="0"/>
              <w:spacing w:before="0" w:after="0"/>
              <w:ind w:left="0" w:right="0" w:hanging="0"/>
              <w:jc w:val="right"/>
              <w:rPr/>
            </w:pPr>
            <w:r>
              <w:rPr/>
              <w:t>114</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1" w:type="dxa"/>
            <w:tcBorders/>
            <w:shd w:fill="CCEEFF" w:val="clear"/>
            <w:vAlign w:val="center"/>
          </w:tcPr>
          <w:p>
            <w:pPr>
              <w:pStyle w:val="TableContents"/>
              <w:bidi w:val="0"/>
              <w:spacing w:before="0" w:after="0"/>
              <w:ind w:left="0" w:right="0" w:hanging="0"/>
              <w:jc w:val="right"/>
              <w:rPr/>
            </w:pPr>
            <w:r>
              <w:rPr/>
              <w:t>7,544</w:t>
            </w:r>
          </w:p>
        </w:tc>
        <w:tc>
          <w:tcPr>
            <w:tcW w:w="22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sz w:val="20"/>
          <w:shd w:fill="FFFFFF" w:val="clear"/>
        </w:rPr>
      </w:pPr>
      <w:r>
        <w:rPr>
          <w:rFonts w:ascii="Times New Roman" w:hAnsi="Times New Roman"/>
          <w:sz w:val="20"/>
          <w:shd w:fill="FFFFFF" w:val="clear"/>
        </w:rPr>
        <w:t>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bidi w:val="0"/>
        <w:spacing w:lineRule="auto" w:line="288" w:before="0" w:after="240"/>
        <w:ind w:left="0" w:right="0" w:hanging="0"/>
        <w:jc w:val="center"/>
        <w:rPr/>
      </w:pPr>
      <w:r>
        <w:rPr>
          <w:rFonts w:ascii="times new roman;times" w:hAnsi="times new roman;times"/>
          <w:b/>
          <w:i w:val="false"/>
          <w:caps w:val="false"/>
          <w:smallCaps w:val="false"/>
          <w:color w:val="000000"/>
          <w:spacing w:val="0"/>
          <w:sz w:val="20"/>
        </w:rPr>
        <w:t>ELECTROCORE, INC. AND SUBSIDIARIES</w:t>
        <w:br/>
      </w:r>
      <w:hyperlink r:id="rId100">
        <w:bookmarkStart w:id="101" w:name="BConsolidated_Statements_of_Cash_Flows_4"/>
        <w:bookmarkEnd w:id="101"/>
        <w:r>
          <w:rPr>
            <w:rStyle w:val="InternetLink"/>
            <w:rFonts w:ascii="times new roman;times" w:hAnsi="times new roman;times"/>
            <w:b/>
            <w:strike w:val="false"/>
            <w:dstrike w:val="false"/>
            <w:color w:val="000000"/>
            <w:sz w:val="20"/>
            <w:u w:val="none"/>
            <w:effect w:val="none"/>
          </w:rPr>
          <w:t>Consolidated Statements of Cash Flows</w:t>
        </w:r>
      </w:hyperlink>
      <w:r>
        <w:rPr>
          <w:rFonts w:ascii="times new roman;times" w:hAnsi="times new roman;times"/>
          <w:sz w:val="20"/>
        </w:rPr>
        <w:br/>
      </w:r>
      <w:r>
        <w:rPr>
          <w:rFonts w:ascii="Times New Roman" w:hAnsi="Times New Roman"/>
          <w:b/>
          <w:sz w:val="20"/>
        </w:rPr>
        <w:t>(in thousands)</w:t>
      </w:r>
      <w:r>
        <w:rPr>
          <w:rFonts w:ascii="times new roman;times" w:hAnsi="times new roman;times"/>
          <w:sz w:val="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576"/>
        <w:gridCol w:w="129"/>
        <w:gridCol w:w="236"/>
        <w:gridCol w:w="765"/>
        <w:gridCol w:w="212"/>
        <w:gridCol w:w="140"/>
        <w:gridCol w:w="236"/>
        <w:gridCol w:w="765"/>
        <w:gridCol w:w="146"/>
      </w:tblGrid>
      <w:tr>
        <w:trPr/>
        <w:tc>
          <w:tcPr>
            <w:tcW w:w="7576" w:type="dxa"/>
            <w:tcBorders/>
            <w:shd w:fill="FFFFFF" w:val="clear"/>
            <w:vAlign w:val="center"/>
          </w:tcPr>
          <w:p>
            <w:pPr>
              <w:pStyle w:val="TableContents"/>
              <w:bidi w:val="0"/>
              <w:spacing w:before="0" w:after="0"/>
              <w:ind w:left="0" w:right="0" w:hanging="0"/>
              <w:jc w:val="center"/>
              <w:rPr/>
            </w:pPr>
            <w:r>
              <w:rPr/>
              <w:t xml:space="preserve">    </w:t>
            </w:r>
          </w:p>
        </w:tc>
        <w:tc>
          <w:tcPr>
            <w:tcW w:w="129" w:type="dxa"/>
            <w:tcBorders/>
            <w:shd w:fill="FFFFFF" w:val="clear"/>
            <w:vAlign w:val="center"/>
          </w:tcPr>
          <w:p>
            <w:pPr>
              <w:pStyle w:val="TableContents"/>
              <w:bidi w:val="0"/>
              <w:spacing w:before="0" w:after="283"/>
              <w:jc w:val="left"/>
              <w:rPr/>
            </w:pPr>
            <w:r>
              <w:rPr/>
            </w:r>
          </w:p>
        </w:tc>
        <w:tc>
          <w:tcPr>
            <w:tcW w:w="2354"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 ended December 31,</w:t>
            </w:r>
          </w:p>
        </w:tc>
        <w:tc>
          <w:tcPr>
            <w:tcW w:w="146" w:type="dxa"/>
            <w:tcBorders/>
            <w:shd w:fill="FFFFFF" w:val="clear"/>
            <w:vAlign w:val="center"/>
          </w:tcPr>
          <w:p>
            <w:pPr>
              <w:pStyle w:val="TableContents"/>
              <w:bidi w:val="0"/>
              <w:spacing w:before="0" w:after="283"/>
              <w:jc w:val="left"/>
              <w:rPr/>
            </w:pPr>
            <w:r>
              <w:rPr/>
            </w:r>
          </w:p>
        </w:tc>
      </w:tr>
      <w:tr>
        <w:trPr/>
        <w:tc>
          <w:tcPr>
            <w:tcW w:w="7576" w:type="dxa"/>
            <w:tcBorders/>
            <w:shd w:fill="FFFFFF" w:val="clear"/>
            <w:vAlign w:val="center"/>
          </w:tcPr>
          <w:p>
            <w:pPr>
              <w:pStyle w:val="TableContents"/>
              <w:bidi w:val="0"/>
              <w:spacing w:before="0" w:after="0"/>
              <w:ind w:left="0" w:right="0" w:hanging="0"/>
              <w:jc w:val="center"/>
              <w:rPr/>
            </w:pPr>
            <w:r>
              <w:rPr/>
              <w:t xml:space="preserve">  </w:t>
            </w:r>
          </w:p>
        </w:tc>
        <w:tc>
          <w:tcPr>
            <w:tcW w:w="129" w:type="dxa"/>
            <w:tcBorders/>
            <w:shd w:fill="FFFFFF" w:val="clear"/>
            <w:vAlign w:val="center"/>
          </w:tcPr>
          <w:p>
            <w:pPr>
              <w:pStyle w:val="TableContents"/>
              <w:bidi w:val="0"/>
              <w:spacing w:before="0" w:after="283"/>
              <w:jc w:val="left"/>
              <w:rPr/>
            </w:pPr>
            <w:r>
              <w:rPr/>
            </w:r>
          </w:p>
        </w:tc>
        <w:tc>
          <w:tcPr>
            <w:tcW w:w="1001"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2024 </w:t>
            </w:r>
          </w:p>
        </w:tc>
        <w:tc>
          <w:tcPr>
            <w:tcW w:w="212" w:type="dxa"/>
            <w:tcBorders/>
            <w:shd w:fill="FFFFFF" w:val="clear"/>
            <w:vAlign w:val="center"/>
          </w:tcPr>
          <w:p>
            <w:pPr>
              <w:pStyle w:val="TableContents"/>
              <w:bidi w:val="0"/>
              <w:spacing w:before="0" w:after="0"/>
              <w:ind w:left="0" w:right="0" w:hanging="0"/>
              <w:jc w:val="left"/>
              <w:rPr/>
            </w:pPr>
            <w:r>
              <w:rPr/>
              <w:t xml:space="preserve">  </w:t>
            </w:r>
          </w:p>
        </w:tc>
        <w:tc>
          <w:tcPr>
            <w:tcW w:w="140" w:type="dxa"/>
            <w:tcBorders/>
            <w:shd w:fill="FFFFFF" w:val="clear"/>
            <w:vAlign w:val="center"/>
          </w:tcPr>
          <w:p>
            <w:pPr>
              <w:pStyle w:val="TableContents"/>
              <w:bidi w:val="0"/>
              <w:spacing w:before="0" w:after="0"/>
              <w:ind w:left="0" w:right="0" w:hanging="0"/>
              <w:jc w:val="center"/>
              <w:rPr/>
            </w:pPr>
            <w:r>
              <w:rPr/>
              <w:t xml:space="preserve">  </w:t>
            </w:r>
          </w:p>
        </w:tc>
        <w:tc>
          <w:tcPr>
            <w:tcW w:w="1001"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146" w:type="dxa"/>
            <w:tcBorders/>
            <w:shd w:fill="FFFFFF" w:val="clear"/>
            <w:vAlign w:val="center"/>
          </w:tcPr>
          <w:p>
            <w:pPr>
              <w:pStyle w:val="TableContents"/>
              <w:bidi w:val="0"/>
              <w:spacing w:before="0" w:after="0"/>
              <w:ind w:left="0" w:right="0" w:hanging="0"/>
              <w:jc w:val="left"/>
              <w:rPr/>
            </w:pPr>
            <w:r>
              <w:rPr/>
              <w:t xml:space="preserve">  </w:t>
            </w:r>
          </w:p>
        </w:tc>
      </w:tr>
      <w:tr>
        <w:trPr/>
        <w:tc>
          <w:tcPr>
            <w:tcW w:w="7576" w:type="dxa"/>
            <w:tcBorders/>
            <w:shd w:fill="CCEEFF" w:val="clear"/>
            <w:vAlign w:val="center"/>
          </w:tcPr>
          <w:p>
            <w:pPr>
              <w:pStyle w:val="TableContents"/>
              <w:bidi w:val="0"/>
              <w:spacing w:before="0" w:after="0"/>
              <w:ind w:left="0" w:right="0" w:hanging="0"/>
              <w:jc w:val="left"/>
              <w:rPr/>
            </w:pPr>
            <w:r>
              <w:rPr/>
              <w:t xml:space="preserve">Cash flows from operating activities: </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bidi w:val="0"/>
              <w:spacing w:before="0" w:after="0"/>
              <w:ind w:left="0" w:right="0" w:hanging="0"/>
              <w:jc w:val="left"/>
              <w:rPr/>
            </w:pPr>
            <w:r>
              <w:rPr/>
              <w:t xml:space="preserve">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274" w:right="0" w:hanging="0"/>
              <w:jc w:val="left"/>
              <w:rPr/>
            </w:pPr>
            <w:r>
              <w:rPr/>
              <w:t xml:space="preserve">Net loss </w:t>
            </w:r>
          </w:p>
        </w:tc>
        <w:tc>
          <w:tcPr>
            <w:tcW w:w="129"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(11,886</w:t>
            </w:r>
          </w:p>
        </w:tc>
        <w:tc>
          <w:tcPr>
            <w:tcW w:w="212"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ind w:left="0" w:right="0" w:hanging="0"/>
              <w:jc w:val="center"/>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(18,834</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274" w:right="0" w:hanging="0"/>
              <w:jc w:val="left"/>
              <w:rPr/>
            </w:pPr>
            <w:r>
              <w:rPr/>
              <w:t xml:space="preserve">Adjustments to reconcile net loss to net cash used in operating activities:   </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pPr>
            <w:r>
              <w:rPr/>
              <w:t xml:space="preserve">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547" w:right="0" w:hanging="0"/>
              <w:jc w:val="left"/>
              <w:rPr/>
            </w:pPr>
            <w:r>
              <w:rPr/>
              <w:t xml:space="preserve">Stock based compensation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1,870 </w:t>
            </w:r>
          </w:p>
        </w:tc>
        <w:tc>
          <w:tcPr>
            <w:tcW w:w="212"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1,698 </w:t>
            </w:r>
          </w:p>
        </w:tc>
        <w:tc>
          <w:tcPr>
            <w:tcW w:w="146" w:type="dxa"/>
            <w:tcBorders/>
            <w:vAlign w:val="center"/>
          </w:tcPr>
          <w:p>
            <w:pPr>
              <w:pStyle w:val="TableContents"/>
              <w:bidi w:val="0"/>
              <w:spacing w:before="0" w:after="0"/>
              <w:ind w:left="0" w:right="0" w:hanging="0"/>
              <w:jc w:val="left"/>
              <w:rPr/>
            </w:pPr>
            <w:r>
              <w:rPr/>
              <w:t xml:space="preserve">  </w:t>
            </w:r>
          </w:p>
        </w:tc>
      </w:tr>
      <w:tr>
        <w:trPr/>
        <w:tc>
          <w:tcPr>
            <w:tcW w:w="7576" w:type="dxa"/>
            <w:tcBorders/>
            <w:shd w:fill="CCEEFF" w:val="clear"/>
            <w:vAlign w:val="center"/>
          </w:tcPr>
          <w:p>
            <w:pPr>
              <w:pStyle w:val="TableContents"/>
              <w:bidi w:val="0"/>
              <w:spacing w:before="0" w:after="0"/>
              <w:ind w:left="547" w:right="0" w:hanging="0"/>
              <w:jc w:val="left"/>
              <w:rPr/>
            </w:pPr>
            <w:r>
              <w:rPr/>
              <w:t xml:space="preserve">Depreciation and amortization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760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962</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547" w:right="0" w:hanging="0"/>
              <w:jc w:val="left"/>
              <w:rPr/>
            </w:pPr>
            <w:r>
              <w:rPr/>
              <w:t>Amortization of right of use assets</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498</w:t>
            </w:r>
          </w:p>
        </w:tc>
        <w:tc>
          <w:tcPr>
            <w:tcW w:w="2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63</w:t>
            </w:r>
          </w:p>
        </w:tc>
        <w:tc>
          <w:tcPr>
            <w:tcW w:w="146" w:type="dxa"/>
            <w:tcBorders/>
            <w:vAlign w:val="center"/>
          </w:tcPr>
          <w:p>
            <w:pPr>
              <w:pStyle w:val="TableContents"/>
              <w:bidi w:val="0"/>
              <w:spacing w:before="0" w:after="0"/>
              <w:ind w:left="0" w:right="0" w:hanging="0"/>
              <w:jc w:val="left"/>
              <w:rPr/>
            </w:pPr>
            <w:r>
              <w:rPr/>
              <w:t xml:space="preserve">  </w:t>
            </w:r>
          </w:p>
        </w:tc>
      </w:tr>
      <w:tr>
        <w:trPr/>
        <w:tc>
          <w:tcPr>
            <w:tcW w:w="7576" w:type="dxa"/>
            <w:tcBorders/>
            <w:shd w:fill="CCEEFF" w:val="clear"/>
            <w:vAlign w:val="center"/>
          </w:tcPr>
          <w:p>
            <w:pPr>
              <w:pStyle w:val="TableContents"/>
              <w:bidi w:val="0"/>
              <w:spacing w:before="0" w:after="283"/>
              <w:jc w:val="left"/>
              <w:rPr/>
            </w:pPr>
            <w:r>
              <w:rPr/>
              <w:t>           </w:t>
            </w:r>
            <w:r>
              <w:rPr/>
              <w:t>Inventory reserve charge</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w:t>
            </w:r>
          </w:p>
        </w:tc>
        <w:tc>
          <w:tcPr>
            <w:tcW w:w="212"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682</w:t>
            </w:r>
          </w:p>
        </w:tc>
        <w:tc>
          <w:tcPr>
            <w:tcW w:w="146" w:type="dxa"/>
            <w:tcBorders/>
            <w:shd w:fill="CCEEFF" w:val="clear"/>
            <w:vAlign w:val="center"/>
          </w:tcPr>
          <w:p>
            <w:pPr>
              <w:pStyle w:val="TableContents"/>
              <w:bidi w:val="0"/>
              <w:spacing w:before="0" w:after="283"/>
              <w:jc w:val="left"/>
              <w:rPr/>
            </w:pPr>
            <w:r>
              <w:rPr/>
            </w:r>
          </w:p>
        </w:tc>
      </w:tr>
      <w:tr>
        <w:trPr/>
        <w:tc>
          <w:tcPr>
            <w:tcW w:w="7576" w:type="dxa"/>
            <w:tcBorders/>
            <w:vAlign w:val="center"/>
          </w:tcPr>
          <w:p>
            <w:pPr>
              <w:pStyle w:val="TableContents"/>
              <w:bidi w:val="0"/>
              <w:spacing w:before="0" w:after="283"/>
              <w:jc w:val="left"/>
              <w:rPr/>
            </w:pPr>
            <w:r>
              <w:rPr/>
              <w:t>           </w:t>
            </w:r>
            <w:r>
              <w:rPr/>
              <w:t>Increase (decrease) in provision for credit losses</w:t>
            </w:r>
          </w:p>
        </w:tc>
        <w:tc>
          <w:tcPr>
            <w:tcW w:w="129"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0"/>
              <w:jc w:val="right"/>
              <w:rPr/>
            </w:pPr>
            <w:r>
              <w:rPr/>
              <w:t>51</w:t>
            </w:r>
          </w:p>
        </w:tc>
        <w:tc>
          <w:tcPr>
            <w:tcW w:w="212"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0"/>
              <w:jc w:val="right"/>
              <w:rPr/>
            </w:pPr>
            <w:r>
              <w:rPr/>
              <w:t>(54</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Changes in operating assets and liabilities: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pPr>
            <w:r>
              <w:rPr/>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pPr>
            <w:r>
              <w:rPr/>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821" w:right="0" w:hanging="0"/>
              <w:jc w:val="left"/>
              <w:rPr/>
            </w:pPr>
            <w:r>
              <w:rPr/>
              <w:t xml:space="preserve">  </w:t>
            </w:r>
            <w:r>
              <w:rPr>
                <w:rFonts w:ascii="times new roman;times" w:hAnsi="times new roman;times"/>
                <w:sz w:val="20"/>
              </w:rPr>
              <w:t xml:space="preserve">Accounts receivable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(710</w:t>
            </w:r>
          </w:p>
        </w:tc>
        <w:tc>
          <w:tcPr>
            <w:tcW w:w="212"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(262</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821" w:right="0" w:hanging="0"/>
              <w:jc w:val="left"/>
              <w:rPr/>
            </w:pPr>
            <w:r>
              <w:rPr/>
              <w:t xml:space="preserve">  </w:t>
            </w:r>
            <w:r>
              <w:rPr>
                <w:rFonts w:ascii="times new roman;times" w:hAnsi="times new roman;times"/>
                <w:sz w:val="20"/>
              </w:rPr>
              <w:t xml:space="preserve">Inventories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713</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96</w:t>
            </w:r>
          </w:p>
        </w:tc>
        <w:tc>
          <w:tcPr>
            <w:tcW w:w="146" w:type="dxa"/>
            <w:tcBorders/>
            <w:shd w:fill="CCEEFF" w:val="clear"/>
            <w:vAlign w:val="bottom"/>
          </w:tcPr>
          <w:p>
            <w:pPr>
              <w:pStyle w:val="TableContents"/>
              <w:bidi w:val="0"/>
              <w:spacing w:before="0" w:after="283"/>
              <w:ind w:left="0" w:right="0" w:hanging="0"/>
              <w:jc w:val="left"/>
              <w:rPr>
                <w:sz w:val="4"/>
                <w:szCs w:val="4"/>
              </w:rPr>
            </w:pPr>
            <w:r>
              <w:rPr>
                <w:sz w:val="4"/>
                <w:szCs w:val="4"/>
              </w:rPr>
            </w:r>
          </w:p>
        </w:tc>
      </w:tr>
      <w:tr>
        <w:trPr/>
        <w:tc>
          <w:tcPr>
            <w:tcW w:w="7576" w:type="dxa"/>
            <w:tcBorders/>
            <w:vAlign w:val="center"/>
          </w:tcPr>
          <w:p>
            <w:pPr>
              <w:pStyle w:val="TableContents"/>
              <w:bidi w:val="0"/>
              <w:spacing w:before="0" w:after="0"/>
              <w:ind w:left="0" w:right="0" w:hanging="0"/>
              <w:jc w:val="left"/>
              <w:rPr/>
            </w:pPr>
            <w:r>
              <w:rPr/>
              <w:t xml:space="preserve">  </w:t>
            </w:r>
            <w:r>
              <w:rPr>
                <w:rFonts w:ascii="times new roman;times" w:hAnsi="times new roman;times"/>
                <w:sz w:val="20"/>
              </w:rPr>
              <w:t xml:space="preserve">Prepaid expenses and other assets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102</w:t>
            </w:r>
          </w:p>
        </w:tc>
        <w:tc>
          <w:tcPr>
            <w:tcW w:w="212"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821" w:right="0" w:hanging="0"/>
              <w:jc w:val="left"/>
              <w:rPr/>
            </w:pPr>
            <w:r>
              <w:rPr/>
              <w:t xml:space="preserve">  </w:t>
            </w:r>
            <w:r>
              <w:rPr>
                <w:rFonts w:ascii="times new roman;times" w:hAnsi="times new roman;times"/>
                <w:sz w:val="20"/>
              </w:rPr>
              <w:t xml:space="preserve">Accounts payable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1,048</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576" w:type="dxa"/>
            <w:tcBorders/>
            <w:vAlign w:val="center"/>
          </w:tcPr>
          <w:p>
            <w:pPr>
              <w:pStyle w:val="TableContents"/>
              <w:bidi w:val="0"/>
              <w:spacing w:before="0" w:after="0"/>
              <w:ind w:left="821" w:right="0" w:hanging="0"/>
              <w:jc w:val="left"/>
              <w:rPr/>
            </w:pPr>
            <w:r>
              <w:rPr/>
              <w:t xml:space="preserve">  </w:t>
            </w:r>
            <w:r>
              <w:rPr>
                <w:rFonts w:ascii="times new roman;times" w:hAnsi="times new roman;times"/>
                <w:sz w:val="20"/>
              </w:rPr>
              <w:t xml:space="preserve">Accrued expense and other current liabilities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831</w:t>
            </w:r>
          </w:p>
        </w:tc>
        <w:tc>
          <w:tcPr>
            <w:tcW w:w="2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center"/>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1,027</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r>
      <w:tr>
        <w:trPr/>
        <w:tc>
          <w:tcPr>
            <w:tcW w:w="7576" w:type="dxa"/>
            <w:tcBorders/>
            <w:shd w:fill="CCEEFF" w:val="clear"/>
            <w:vAlign w:val="bottom"/>
          </w:tcPr>
          <w:p>
            <w:pPr>
              <w:pStyle w:val="TableContents"/>
              <w:pBdr/>
              <w:bidi w:val="0"/>
              <w:spacing w:before="0" w:after="0"/>
              <w:ind w:left="0" w:right="0" w:hanging="0"/>
              <w:jc w:val="left"/>
              <w:rPr/>
            </w:pPr>
            <w:r>
              <w:rPr/>
              <w:t>Operating lease liabilities</w:t>
            </w:r>
          </w:p>
        </w:tc>
        <w:tc>
          <w:tcPr>
            <w:tcW w:w="129" w:type="dxa"/>
            <w:tcBorders/>
            <w:shd w:fill="CCEEFF" w:val="clear"/>
            <w:vAlign w:val="center"/>
          </w:tcPr>
          <w:p>
            <w:pPr>
              <w:pStyle w:val="TableContents"/>
              <w:bidi w:val="0"/>
              <w:spacing w:before="0" w:after="0"/>
              <w:jc w:val="left"/>
              <w:rPr/>
            </w:pPr>
            <w:r>
              <w:rPr/>
              <w:t> </w:t>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(225</w:t>
            </w:r>
          </w:p>
        </w:tc>
        <w:tc>
          <w:tcPr>
            <w:tcW w:w="212"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(73</w:t>
            </w:r>
          </w:p>
        </w:tc>
        <w:tc>
          <w:tcPr>
            <w:tcW w:w="146" w:type="dxa"/>
            <w:tcBorders/>
            <w:shd w:fill="CCEEFF" w:val="clear"/>
            <w:vAlign w:val="center"/>
          </w:tcPr>
          <w:p>
            <w:pPr>
              <w:pStyle w:val="TableContents"/>
              <w:bidi w:val="0"/>
              <w:spacing w:before="0" w:after="283"/>
              <w:jc w:val="left"/>
              <w:rPr/>
            </w:pPr>
            <w:r>
              <w:rPr/>
              <w:t>)</w:t>
            </w:r>
          </w:p>
        </w:tc>
      </w:tr>
      <w:tr>
        <w:trPr/>
        <w:tc>
          <w:tcPr>
            <w:tcW w:w="7576" w:type="dxa"/>
            <w:tcBorders/>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cash used in operating activities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(6,948</w:t>
            </w:r>
          </w:p>
        </w:tc>
        <w:tc>
          <w:tcPr>
            <w:tcW w:w="212"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(14,668</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flows from investing activities: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pPr>
            <w:r>
              <w:rPr/>
              <w:t xml:space="preserve">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Purchase of property and equipment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pPr>
            <w:r>
              <w:rPr/>
              <w:t>—</w:t>
            </w:r>
          </w:p>
        </w:tc>
        <w:tc>
          <w:tcPr>
            <w:tcW w:w="2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bottom"/>
          </w:tcPr>
          <w:p>
            <w:pPr>
              <w:pStyle w:val="TableContents"/>
              <w:bidi w:val="0"/>
              <w:spacing w:before="0" w:after="283"/>
              <w:jc w:val="left"/>
              <w:rPr/>
            </w:pPr>
            <w:r>
              <w:rPr>
                <w:rFonts w:ascii="Times New Roman;serif" w:hAnsi="Times New Roman;serif"/>
                <w:color w:val="000000"/>
                <w:sz w:val="20"/>
              </w:rPr>
              <w:t>P</w:t>
            </w:r>
            <w:r>
              <w:rPr>
                <w:rFonts w:ascii="Times New Roman;serif" w:hAnsi="Times New Roman;serif"/>
                <w:sz w:val="20"/>
              </w:rPr>
              <w:t>urchase of marketable securities</w:t>
            </w:r>
            <w:r>
              <w:rPr/>
              <w:t xml:space="preserve"> </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(8,519</w:t>
            </w:r>
          </w:p>
        </w:tc>
        <w:tc>
          <w:tcPr>
            <w:tcW w:w="212"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w:t>
            </w:r>
          </w:p>
        </w:tc>
        <w:tc>
          <w:tcPr>
            <w:tcW w:w="146" w:type="dxa"/>
            <w:tcBorders/>
            <w:shd w:fill="CCEEFF" w:val="clear"/>
            <w:vAlign w:val="center"/>
          </w:tcPr>
          <w:p>
            <w:pPr>
              <w:pStyle w:val="TableContents"/>
              <w:bidi w:val="0"/>
              <w:spacing w:before="0" w:after="283"/>
              <w:jc w:val="left"/>
              <w:rPr/>
            </w:pPr>
            <w:r>
              <w:rPr/>
            </w:r>
          </w:p>
        </w:tc>
      </w:tr>
      <w:tr>
        <w:trPr/>
        <w:tc>
          <w:tcPr>
            <w:tcW w:w="7576" w:type="dxa"/>
            <w:tcBorders/>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cash used in investing activities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(8,519</w:t>
            </w:r>
          </w:p>
        </w:tc>
        <w:tc>
          <w:tcPr>
            <w:tcW w:w="212"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146" w:type="dxa"/>
            <w:tcBorders/>
            <w:vAlign w:val="center"/>
          </w:tcPr>
          <w:p>
            <w:pPr>
              <w:pStyle w:val="TableContents"/>
              <w:bidi w:val="0"/>
              <w:spacing w:before="0" w:after="283"/>
              <w:jc w:val="left"/>
              <w:rPr/>
            </w:pPr>
            <w:r>
              <w:rPr/>
              <w:t>)</w:t>
            </w:r>
          </w:p>
        </w:tc>
      </w:tr>
      <w:tr>
        <w:trPr/>
        <w:tc>
          <w:tcPr>
            <w:tcW w:w="757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flows from financing activities: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pPr>
            <w:r>
              <w:rPr/>
              <w:t xml:space="preserve">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bottom"/>
          </w:tcPr>
          <w:p>
            <w:pPr>
              <w:pStyle w:val="TableContents"/>
              <w:bidi w:val="0"/>
              <w:spacing w:before="0" w:after="283"/>
              <w:jc w:val="left"/>
              <w:rPr>
                <w:rFonts w:ascii="times new roman;times" w:hAnsi="times new roman;times"/>
              </w:rPr>
            </w:pPr>
            <w:r>
              <w:rPr>
                <w:rFonts w:ascii="times new roman;times" w:hAnsi="times new roman;times"/>
              </w:rPr>
              <w:t>Sale of common stock and warrants</w:t>
            </w:r>
          </w:p>
        </w:tc>
        <w:tc>
          <w:tcPr>
            <w:tcW w:w="129"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pBdr/>
              <w:bidi w:val="0"/>
              <w:spacing w:before="0" w:after="0"/>
              <w:ind w:left="0" w:right="0" w:hanging="0"/>
              <w:jc w:val="right"/>
              <w:rPr/>
            </w:pPr>
            <w:r>
              <w:rPr/>
              <w:t> </w:t>
            </w:r>
            <w:r>
              <w:rPr/>
              <w:t>8,300</w:t>
            </w:r>
          </w:p>
        </w:tc>
        <w:tc>
          <w:tcPr>
            <w:tcW w:w="212"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0"/>
              <w:jc w:val="right"/>
              <w:rPr/>
            </w:pPr>
            <w:r>
              <w:rPr/>
              <w:t>8,144</w:t>
            </w:r>
          </w:p>
        </w:tc>
        <w:tc>
          <w:tcPr>
            <w:tcW w:w="146" w:type="dxa"/>
            <w:tcBorders/>
            <w:vAlign w:val="center"/>
          </w:tcPr>
          <w:p>
            <w:pPr>
              <w:pStyle w:val="TableContents"/>
              <w:bidi w:val="0"/>
              <w:spacing w:before="0" w:after="283"/>
              <w:jc w:val="left"/>
              <w:rPr/>
            </w:pPr>
            <w:r>
              <w:rPr/>
            </w:r>
          </w:p>
        </w:tc>
      </w:tr>
      <w:tr>
        <w:trPr/>
        <w:tc>
          <w:tcPr>
            <w:tcW w:w="7576" w:type="dxa"/>
            <w:tcBorders/>
            <w:shd w:fill="CCEEFF" w:val="clear"/>
            <w:vAlign w:val="center"/>
          </w:tcPr>
          <w:p>
            <w:pPr>
              <w:pStyle w:val="TableContents"/>
              <w:bidi w:val="0"/>
              <w:spacing w:before="0" w:after="283"/>
              <w:jc w:val="left"/>
              <w:rPr/>
            </w:pPr>
            <w:r>
              <w:rPr/>
              <w:t xml:space="preserve">      </w:t>
            </w:r>
            <w:r>
              <w:rPr/>
              <w:t>Financing fees</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(232</w:t>
            </w:r>
          </w:p>
        </w:tc>
        <w:tc>
          <w:tcPr>
            <w:tcW w:w="212"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0"/>
              <w:jc w:val="right"/>
              <w:rPr/>
            </w:pPr>
            <w:r>
              <w:rPr/>
              <w:t>(657</w:t>
            </w:r>
          </w:p>
        </w:tc>
        <w:tc>
          <w:tcPr>
            <w:tcW w:w="146" w:type="dxa"/>
            <w:tcBorders/>
            <w:shd w:fill="CCEEFF" w:val="clear"/>
            <w:vAlign w:val="center"/>
          </w:tcPr>
          <w:p>
            <w:pPr>
              <w:pStyle w:val="TableContents"/>
              <w:bidi w:val="0"/>
              <w:spacing w:before="0" w:after="283"/>
              <w:jc w:val="left"/>
              <w:rPr/>
            </w:pPr>
            <w:r>
              <w:rPr/>
              <w:t>)</w:t>
            </w:r>
          </w:p>
        </w:tc>
      </w:tr>
      <w:tr>
        <w:trPr/>
        <w:tc>
          <w:tcPr>
            <w:tcW w:w="7576" w:type="dxa"/>
            <w:tcBorders/>
            <w:vAlign w:val="center"/>
          </w:tcPr>
          <w:p>
            <w:pPr>
              <w:pStyle w:val="TableContents"/>
              <w:bidi w:val="0"/>
              <w:spacing w:before="0" w:after="283"/>
              <w:jc w:val="left"/>
              <w:rPr/>
            </w:pPr>
            <w:r>
              <w:rPr/>
              <w:t xml:space="preserve">      </w:t>
            </w:r>
            <w:r>
              <w:rPr/>
              <w:t>Proceeds from exercise of warrants</w:t>
            </w:r>
          </w:p>
        </w:tc>
        <w:tc>
          <w:tcPr>
            <w:tcW w:w="129"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0"/>
              <w:jc w:val="right"/>
              <w:rPr/>
            </w:pPr>
            <w:r>
              <w:rPr/>
              <w:t>371</w:t>
            </w:r>
          </w:p>
        </w:tc>
        <w:tc>
          <w:tcPr>
            <w:tcW w:w="212"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0"/>
              <w:jc w:val="right"/>
              <w:rPr/>
            </w:pPr>
            <w:r>
              <w:rPr/>
              <w:t>—</w:t>
            </w:r>
          </w:p>
        </w:tc>
        <w:tc>
          <w:tcPr>
            <w:tcW w:w="146" w:type="dxa"/>
            <w:tcBorders/>
            <w:vAlign w:val="center"/>
          </w:tcPr>
          <w:p>
            <w:pPr>
              <w:pStyle w:val="TableContents"/>
              <w:bidi w:val="0"/>
              <w:spacing w:before="0" w:after="283"/>
              <w:jc w:val="left"/>
              <w:rPr/>
            </w:pPr>
            <w:r>
              <w:rPr/>
            </w:r>
          </w:p>
        </w:tc>
      </w:tr>
      <w:tr>
        <w:trPr/>
        <w:tc>
          <w:tcPr>
            <w:tcW w:w="7576" w:type="dxa"/>
            <w:tcBorders/>
            <w:shd w:fill="CCEEFF" w:val="clear"/>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cash provided by financing activities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8,439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7,487 </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Effect of changes in exchange rates on cash and cash equivalents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147</w:t>
            </w:r>
          </w:p>
        </w:tc>
        <w:tc>
          <w:tcPr>
            <w:tcW w:w="2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146" w:type="dxa"/>
            <w:tcBorders/>
            <w:vAlign w:val="center"/>
          </w:tcPr>
          <w:p>
            <w:pPr>
              <w:pStyle w:val="TableContents"/>
              <w:bidi w:val="0"/>
              <w:spacing w:before="0" w:after="283"/>
              <w:jc w:val="left"/>
              <w:rPr>
                <w:sz w:val="4"/>
                <w:szCs w:val="4"/>
              </w:rPr>
            </w:pPr>
            <w:r>
              <w:rPr>
                <w:sz w:val="4"/>
                <w:szCs w:val="4"/>
              </w:rPr>
            </w:r>
          </w:p>
        </w:tc>
      </w:tr>
      <w:tr>
        <w:trPr/>
        <w:tc>
          <w:tcPr>
            <w:tcW w:w="7576" w:type="dxa"/>
            <w:tcBorders/>
            <w:shd w:fill="CCEEFF" w:val="clear"/>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decrease in cash and cash equivalents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(6,881</w:t>
            </w:r>
          </w:p>
        </w:tc>
        <w:tc>
          <w:tcPr>
            <w:tcW w:w="212"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(7,381</w:t>
            </w:r>
          </w:p>
        </w:tc>
        <w:tc>
          <w:tcPr>
            <w:tcW w:w="146" w:type="dxa"/>
            <w:tcBorders/>
            <w:shd w:fill="CCEEFF" w:val="clear"/>
            <w:vAlign w:val="center"/>
          </w:tcPr>
          <w:p>
            <w:pPr>
              <w:pStyle w:val="TableContents"/>
              <w:bidi w:val="0"/>
              <w:spacing w:before="0" w:after="283"/>
              <w:jc w:val="left"/>
              <w:rPr/>
            </w:pPr>
            <w:r>
              <w:rPr/>
              <w:t>)</w:t>
            </w:r>
          </w:p>
        </w:tc>
      </w:tr>
      <w:tr>
        <w:trPr/>
        <w:tc>
          <w:tcPr>
            <w:tcW w:w="757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and restricted cash – beginning of year </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10,581 </w:t>
            </w:r>
          </w:p>
        </w:tc>
        <w:tc>
          <w:tcPr>
            <w:tcW w:w="212"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17,962</w:t>
            </w:r>
            <w:r>
              <w:rPr>
                <w:rFonts w:ascii="times new roman;times" w:hAnsi="times new roman;times"/>
                <w:sz w:val="20"/>
              </w:rPr>
              <w:t xml:space="preserve"> </w:t>
            </w:r>
          </w:p>
        </w:tc>
        <w:tc>
          <w:tcPr>
            <w:tcW w:w="146" w:type="dxa"/>
            <w:tcBorders/>
            <w:vAlign w:val="center"/>
          </w:tcPr>
          <w:p>
            <w:pPr>
              <w:pStyle w:val="TableContents"/>
              <w:bidi w:val="0"/>
              <w:spacing w:before="0" w:after="0"/>
              <w:ind w:left="0" w:right="0" w:hanging="0"/>
              <w:jc w:val="left"/>
              <w:rPr/>
            </w:pPr>
            <w:r>
              <w:rPr/>
              <w:t xml:space="preserve">  </w:t>
            </w:r>
          </w:p>
        </w:tc>
      </w:tr>
      <w:tr>
        <w:trPr/>
        <w:tc>
          <w:tcPr>
            <w:tcW w:w="757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and restricted cash – end of year </w:t>
            </w:r>
          </w:p>
        </w:tc>
        <w:tc>
          <w:tcPr>
            <w:tcW w:w="129" w:type="dxa"/>
            <w:tcBorders/>
            <w:shd w:fill="CCEEFF" w:val="clear"/>
            <w:vAlign w:val="bottom"/>
          </w:tcPr>
          <w:p>
            <w:pPr>
              <w:pStyle w:val="TableContents"/>
              <w:bidi w:val="0"/>
              <w:spacing w:before="0" w:after="0"/>
              <w:ind w:left="0" w:right="0" w:hanging="0"/>
              <w:jc w:val="left"/>
              <w:rPr/>
            </w:pPr>
            <w:r>
              <w:rPr/>
              <w:t xml:space="preserve">  </w:t>
            </w:r>
          </w:p>
        </w:tc>
        <w:tc>
          <w:tcPr>
            <w:tcW w:w="23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3,700</w:t>
            </w:r>
          </w:p>
        </w:tc>
        <w:tc>
          <w:tcPr>
            <w:tcW w:w="212" w:type="dxa"/>
            <w:tcBorders/>
            <w:shd w:fill="CCEEFF" w:val="clear"/>
            <w:vAlign w:val="bottom"/>
          </w:tcPr>
          <w:p>
            <w:pPr>
              <w:pStyle w:val="TableContents"/>
              <w:bidi w:val="0"/>
              <w:spacing w:before="0" w:after="0"/>
              <w:ind w:left="0" w:right="0" w:hanging="0"/>
              <w:jc w:val="left"/>
              <w:rPr/>
            </w:pPr>
            <w:r>
              <w:rPr/>
              <w:t xml:space="preserve">  </w:t>
            </w:r>
          </w:p>
        </w:tc>
        <w:tc>
          <w:tcPr>
            <w:tcW w:w="140" w:type="dxa"/>
            <w:tcBorders/>
            <w:shd w:fill="CCEEFF" w:val="clear"/>
            <w:vAlign w:val="bottom"/>
          </w:tcPr>
          <w:p>
            <w:pPr>
              <w:pStyle w:val="TableContents"/>
              <w:bidi w:val="0"/>
              <w:spacing w:before="0" w:after="0"/>
              <w:ind w:left="0" w:right="0" w:hanging="0"/>
              <w:jc w:val="left"/>
              <w:rPr/>
            </w:pPr>
            <w:r>
              <w:rPr/>
              <w:t xml:space="preserve">  </w:t>
            </w:r>
          </w:p>
        </w:tc>
        <w:tc>
          <w:tcPr>
            <w:tcW w:w="23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10,581 </w:t>
            </w:r>
          </w:p>
        </w:tc>
        <w:tc>
          <w:tcPr>
            <w:tcW w:w="146" w:type="dxa"/>
            <w:tcBorders/>
            <w:shd w:fill="CCEEFF" w:val="clear"/>
            <w:vAlign w:val="bottom"/>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283"/>
              <w:jc w:val="left"/>
              <w:rPr/>
            </w:pPr>
            <w:r>
              <w:rPr/>
            </w:r>
          </w:p>
        </w:tc>
        <w:tc>
          <w:tcPr>
            <w:tcW w:w="212"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pPr>
            <w:r>
              <w:rPr/>
            </w:r>
          </w:p>
        </w:tc>
      </w:tr>
      <w:tr>
        <w:trPr/>
        <w:tc>
          <w:tcPr>
            <w:tcW w:w="7576"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cash flows disclosures:</w:t>
            </w:r>
          </w:p>
        </w:tc>
        <w:tc>
          <w:tcPr>
            <w:tcW w:w="129"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283"/>
              <w:jc w:val="left"/>
              <w:rPr/>
            </w:pPr>
            <w:r>
              <w:rPr/>
            </w:r>
          </w:p>
        </w:tc>
        <w:tc>
          <w:tcPr>
            <w:tcW w:w="212" w:type="dxa"/>
            <w:tcBorders/>
            <w:shd w:fill="CCEEFF" w:val="clear"/>
            <w:vAlign w:val="center"/>
          </w:tcPr>
          <w:p>
            <w:pPr>
              <w:pStyle w:val="TableContents"/>
              <w:bidi w:val="0"/>
              <w:spacing w:before="0" w:after="283"/>
              <w:jc w:val="left"/>
              <w:rPr/>
            </w:pPr>
            <w:r>
              <w:rPr/>
            </w:r>
          </w:p>
        </w:tc>
        <w:tc>
          <w:tcPr>
            <w:tcW w:w="140"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ind w:left="0" w:right="0" w:hanging="0"/>
              <w:jc w:val="left"/>
              <w:rPr/>
            </w:pPr>
            <w:r>
              <w:rPr/>
            </w:r>
          </w:p>
        </w:tc>
        <w:tc>
          <w:tcPr>
            <w:tcW w:w="765" w:type="dxa"/>
            <w:tcBorders/>
            <w:shd w:fill="CCEEFF" w:val="clear"/>
            <w:vAlign w:val="center"/>
          </w:tcPr>
          <w:p>
            <w:pPr>
              <w:pStyle w:val="TableContents"/>
              <w:bidi w:val="0"/>
              <w:spacing w:before="0" w:after="283"/>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r>
      <w:tr>
        <w:trPr/>
        <w:tc>
          <w:tcPr>
            <w:tcW w:w="7576" w:type="dxa"/>
            <w:tcBorders/>
            <w:vAlign w:val="bottom"/>
          </w:tcPr>
          <w:p>
            <w:pPr>
              <w:pStyle w:val="TableContents"/>
              <w:pBdr/>
              <w:bidi w:val="0"/>
              <w:spacing w:before="0" w:after="0"/>
              <w:ind w:left="0" w:right="0" w:hanging="0"/>
              <w:jc w:val="left"/>
              <w:rPr>
                <w:rFonts w:ascii="times new roman;times" w:hAnsi="times new roman;times"/>
              </w:rPr>
            </w:pPr>
            <w:r>
              <w:rPr>
                <w:rFonts w:ascii="times new roman;times" w:hAnsi="times new roman;times"/>
              </w:rPr>
              <w:t>Proceeds from sale of state net operating losses</w:t>
            </w:r>
          </w:p>
        </w:tc>
        <w:tc>
          <w:tcPr>
            <w:tcW w:w="129"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122</w:t>
            </w:r>
          </w:p>
        </w:tc>
        <w:tc>
          <w:tcPr>
            <w:tcW w:w="212"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211 </w:t>
            </w:r>
          </w:p>
        </w:tc>
        <w:tc>
          <w:tcPr>
            <w:tcW w:w="146" w:type="dxa"/>
            <w:tcBorders/>
            <w:vAlign w:val="center"/>
          </w:tcPr>
          <w:p>
            <w:pPr>
              <w:pStyle w:val="TableContents"/>
              <w:bidi w:val="0"/>
              <w:spacing w:before="0" w:after="0"/>
              <w:ind w:left="0" w:right="0" w:hanging="0"/>
              <w:jc w:val="left"/>
              <w:rPr/>
            </w:pPr>
            <w:r>
              <w:rPr/>
              <w:t xml:space="preserve">  </w:t>
            </w:r>
          </w:p>
        </w:tc>
      </w:tr>
      <w:tr>
        <w:trPr/>
        <w:tc>
          <w:tcPr>
            <w:tcW w:w="7576"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Interest paid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13 </w:t>
            </w:r>
          </w:p>
        </w:tc>
        <w:tc>
          <w:tcPr>
            <w:tcW w:w="212" w:type="dxa"/>
            <w:tcBorders/>
            <w:shd w:fill="CCEEFF" w:val="clear"/>
            <w:vAlign w:val="center"/>
          </w:tcPr>
          <w:p>
            <w:pPr>
              <w:pStyle w:val="TableContents"/>
              <w:bidi w:val="0"/>
              <w:spacing w:before="0" w:after="0"/>
              <w:ind w:left="0" w:right="0" w:hanging="0"/>
              <w:jc w:val="left"/>
              <w:rPr/>
            </w:pPr>
            <w:r>
              <w:rPr/>
              <w:t xml:space="preserve">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6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146" w:type="dxa"/>
            <w:tcBorders/>
            <w:shd w:fill="CCEEFF" w:val="clear"/>
            <w:vAlign w:val="center"/>
          </w:tcPr>
          <w:p>
            <w:pPr>
              <w:pStyle w:val="TableContents"/>
              <w:bidi w:val="0"/>
              <w:spacing w:before="0" w:after="0"/>
              <w:ind w:left="0" w:right="0" w:hanging="0"/>
              <w:jc w:val="left"/>
              <w:rPr/>
            </w:pPr>
            <w:r>
              <w:rPr/>
              <w:t xml:space="preserve">  </w:t>
            </w:r>
          </w:p>
        </w:tc>
      </w:tr>
      <w:tr>
        <w:trPr/>
        <w:tc>
          <w:tcPr>
            <w:tcW w:w="7576" w:type="dxa"/>
            <w:tcBorders/>
            <w:vAlign w:val="center"/>
          </w:tcPr>
          <w:p>
            <w:pPr>
              <w:pStyle w:val="TableContents"/>
              <w:bidi w:val="0"/>
              <w:spacing w:before="0" w:after="0"/>
              <w:ind w:left="0" w:right="0" w:hanging="0"/>
              <w:jc w:val="left"/>
              <w:rPr/>
            </w:pPr>
            <w:r>
              <w:rPr/>
              <w:t>Supplemental schedule of noncash activity:</w:t>
            </w:r>
          </w:p>
        </w:tc>
        <w:tc>
          <w:tcPr>
            <w:tcW w:w="129"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283"/>
              <w:ind w:left="0" w:right="0" w:hanging="0"/>
              <w:jc w:val="left"/>
              <w:rPr/>
            </w:pPr>
            <w:r>
              <w:rPr/>
            </w:r>
          </w:p>
        </w:tc>
        <w:tc>
          <w:tcPr>
            <w:tcW w:w="212" w:type="dxa"/>
            <w:tcBorders/>
            <w:vAlign w:val="center"/>
          </w:tcPr>
          <w:p>
            <w:pPr>
              <w:pStyle w:val="TableContents"/>
              <w:bidi w:val="0"/>
              <w:spacing w:before="0" w:after="283"/>
              <w:ind w:left="0" w:right="0" w:hanging="0"/>
              <w:jc w:val="left"/>
              <w:rPr/>
            </w:pPr>
            <w:r>
              <w:rPr/>
            </w:r>
          </w:p>
        </w:tc>
        <w:tc>
          <w:tcPr>
            <w:tcW w:w="140"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283"/>
              <w:ind w:left="0" w:right="0" w:hanging="0"/>
              <w:jc w:val="left"/>
              <w:rPr/>
            </w:pPr>
            <w:r>
              <w:rPr/>
            </w:r>
          </w:p>
        </w:tc>
        <w:tc>
          <w:tcPr>
            <w:tcW w:w="765"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r>
      <w:tr>
        <w:trPr/>
        <w:tc>
          <w:tcPr>
            <w:tcW w:w="7576" w:type="dxa"/>
            <w:tcBorders/>
            <w:shd w:fill="CCEEFF" w:val="clear"/>
            <w:vAlign w:val="center"/>
          </w:tcPr>
          <w:p>
            <w:pPr>
              <w:pStyle w:val="TableContents"/>
              <w:bidi w:val="0"/>
              <w:spacing w:before="0" w:after="0"/>
              <w:ind w:left="0" w:right="0" w:hanging="0"/>
              <w:jc w:val="left"/>
              <w:rPr/>
            </w:pPr>
            <w:r>
              <w:rPr/>
              <w:t xml:space="preserve">      </w:t>
            </w:r>
            <w:r>
              <w:rPr/>
              <w:t>Insurance premium financing</w:t>
            </w:r>
          </w:p>
        </w:tc>
        <w:tc>
          <w:tcPr>
            <w:tcW w:w="129" w:type="dxa"/>
            <w:tcBorders/>
            <w:shd w:fill="CCEEFF" w:val="clear"/>
            <w:vAlign w:val="center"/>
          </w:tcPr>
          <w:p>
            <w:pPr>
              <w:pStyle w:val="TableContents"/>
              <w:bidi w:val="0"/>
              <w:spacing w:before="0" w:after="283"/>
              <w:ind w:left="0" w:right="0" w:hanging="0"/>
              <w:jc w:val="left"/>
              <w:rPr/>
            </w:pPr>
            <w:r>
              <w:rPr/>
            </w:r>
          </w:p>
        </w:tc>
        <w:tc>
          <w:tcPr>
            <w:tcW w:w="23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359</w:t>
            </w:r>
          </w:p>
        </w:tc>
        <w:tc>
          <w:tcPr>
            <w:tcW w:w="212" w:type="dxa"/>
            <w:tcBorders/>
            <w:shd w:fill="CCEEFF" w:val="clear"/>
            <w:vAlign w:val="center"/>
          </w:tcPr>
          <w:p>
            <w:pPr>
              <w:pStyle w:val="TableContents"/>
              <w:bidi w:val="0"/>
              <w:spacing w:before="0" w:after="283"/>
              <w:ind w:left="0" w:right="0" w:hanging="0"/>
              <w:jc w:val="left"/>
              <w:rPr/>
            </w:pPr>
            <w:r>
              <w:rPr/>
            </w:r>
          </w:p>
        </w:tc>
        <w:tc>
          <w:tcPr>
            <w:tcW w:w="140" w:type="dxa"/>
            <w:tcBorders/>
            <w:shd w:fill="CCEEFF" w:val="clear"/>
            <w:vAlign w:val="center"/>
          </w:tcPr>
          <w:p>
            <w:pPr>
              <w:pStyle w:val="TableContents"/>
              <w:bidi w:val="0"/>
              <w:spacing w:before="0" w:after="283"/>
              <w:ind w:left="0" w:right="0" w:hanging="0"/>
              <w:jc w:val="left"/>
              <w:rPr/>
            </w:pPr>
            <w:r>
              <w:rPr/>
            </w:r>
          </w:p>
        </w:tc>
        <w:tc>
          <w:tcPr>
            <w:tcW w:w="23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361</w:t>
            </w:r>
          </w:p>
        </w:tc>
        <w:tc>
          <w:tcPr>
            <w:tcW w:w="146" w:type="dxa"/>
            <w:tcBorders/>
            <w:shd w:fill="CCEEFF" w:val="clear"/>
            <w:vAlign w:val="center"/>
          </w:tcPr>
          <w:p>
            <w:pPr>
              <w:pStyle w:val="TableContents"/>
              <w:bidi w:val="0"/>
              <w:spacing w:before="0" w:after="283"/>
              <w:ind w:left="0" w:right="0" w:hanging="0"/>
              <w:jc w:val="left"/>
              <w:rPr/>
            </w:pPr>
            <w:r>
              <w:rPr/>
            </w:r>
          </w:p>
        </w:tc>
      </w:tr>
      <w:tr>
        <w:trPr/>
        <w:tc>
          <w:tcPr>
            <w:tcW w:w="7576" w:type="dxa"/>
            <w:tcBorders/>
            <w:vAlign w:val="center"/>
          </w:tcPr>
          <w:p>
            <w:pPr>
              <w:pStyle w:val="TableContents"/>
              <w:bidi w:val="0"/>
              <w:spacing w:before="0" w:after="0"/>
              <w:ind w:left="0" w:right="0" w:hanging="0"/>
              <w:jc w:val="left"/>
              <w:rPr/>
            </w:pPr>
            <w:r>
              <w:rPr/>
              <w:t xml:space="preserve">      </w:t>
            </w:r>
            <w:r>
              <w:rPr/>
              <w:t>Accounts payable settled through common stock and warrants</w:t>
            </w:r>
          </w:p>
        </w:tc>
        <w:tc>
          <w:tcPr>
            <w:tcW w:w="129"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1,006</w:t>
            </w:r>
          </w:p>
        </w:tc>
        <w:tc>
          <w:tcPr>
            <w:tcW w:w="212" w:type="dxa"/>
            <w:tcBorders/>
            <w:vAlign w:val="center"/>
          </w:tcPr>
          <w:p>
            <w:pPr>
              <w:pStyle w:val="TableContents"/>
              <w:bidi w:val="0"/>
              <w:spacing w:before="0" w:after="283"/>
              <w:ind w:left="0" w:right="0" w:hanging="0"/>
              <w:jc w:val="left"/>
              <w:rPr/>
            </w:pPr>
            <w:r>
              <w:rPr/>
            </w:r>
          </w:p>
        </w:tc>
        <w:tc>
          <w:tcPr>
            <w:tcW w:w="140"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r>
      <w:tr>
        <w:trPr/>
        <w:tc>
          <w:tcPr>
            <w:tcW w:w="7576" w:type="dxa"/>
            <w:tcBorders/>
            <w:shd w:fill="CCEEFF" w:val="clear"/>
            <w:vAlign w:val="center"/>
          </w:tcPr>
          <w:p>
            <w:pPr>
              <w:pStyle w:val="TableContents"/>
              <w:bidi w:val="0"/>
              <w:spacing w:before="0" w:after="0"/>
              <w:ind w:left="0" w:right="0" w:hanging="0"/>
              <w:jc w:val="left"/>
              <w:rPr/>
            </w:pPr>
            <w:r>
              <w:rPr>
                <w:rFonts w:ascii="Times New Roman;serif" w:hAnsi="Times New Roman;serif"/>
                <w:color w:val="000000"/>
                <w:sz w:val="20"/>
              </w:rPr>
              <w:t>Accounts payable settled through the exercise of warrants</w:t>
            </w:r>
            <w:r>
              <w:rPr/>
              <w:t xml:space="preserve"> </w:t>
            </w:r>
          </w:p>
        </w:tc>
        <w:tc>
          <w:tcPr>
            <w:tcW w:w="129" w:type="dxa"/>
            <w:tcBorders/>
            <w:shd w:fill="CCEEFF" w:val="clear"/>
            <w:vAlign w:val="center"/>
          </w:tcPr>
          <w:p>
            <w:pPr>
              <w:pStyle w:val="TableContents"/>
              <w:bidi w:val="0"/>
              <w:spacing w:before="0" w:after="283"/>
              <w:ind w:left="0" w:right="0" w:hanging="0"/>
              <w:jc w:val="left"/>
              <w:rPr/>
            </w:pPr>
            <w:r>
              <w:rPr/>
            </w:r>
          </w:p>
        </w:tc>
        <w:tc>
          <w:tcPr>
            <w:tcW w:w="23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495</w:t>
            </w:r>
          </w:p>
        </w:tc>
        <w:tc>
          <w:tcPr>
            <w:tcW w:w="212" w:type="dxa"/>
            <w:tcBorders/>
            <w:shd w:fill="CCEEFF" w:val="clear"/>
            <w:vAlign w:val="center"/>
          </w:tcPr>
          <w:p>
            <w:pPr>
              <w:pStyle w:val="TableContents"/>
              <w:bidi w:val="0"/>
              <w:spacing w:before="0" w:after="283"/>
              <w:ind w:left="0" w:right="0" w:hanging="0"/>
              <w:jc w:val="left"/>
              <w:rPr/>
            </w:pPr>
            <w:r>
              <w:rPr/>
            </w:r>
          </w:p>
        </w:tc>
        <w:tc>
          <w:tcPr>
            <w:tcW w:w="140" w:type="dxa"/>
            <w:tcBorders/>
            <w:shd w:fill="CCEEFF" w:val="clear"/>
            <w:vAlign w:val="center"/>
          </w:tcPr>
          <w:p>
            <w:pPr>
              <w:pStyle w:val="TableContents"/>
              <w:bidi w:val="0"/>
              <w:spacing w:before="0" w:after="283"/>
              <w:ind w:left="0" w:right="0" w:hanging="0"/>
              <w:jc w:val="left"/>
              <w:rPr/>
            </w:pPr>
            <w:r>
              <w:rPr/>
            </w:r>
          </w:p>
        </w:tc>
        <w:tc>
          <w:tcPr>
            <w:tcW w:w="23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r>
      <w:tr>
        <w:trPr/>
        <w:tc>
          <w:tcPr>
            <w:tcW w:w="7576" w:type="dxa"/>
            <w:tcBorders/>
            <w:vAlign w:val="center"/>
          </w:tcPr>
          <w:p>
            <w:pPr>
              <w:pStyle w:val="TableContents"/>
              <w:bidi w:val="0"/>
              <w:spacing w:before="0" w:after="0"/>
              <w:ind w:left="0" w:right="0" w:hanging="0"/>
              <w:jc w:val="left"/>
              <w:rPr/>
            </w:pPr>
            <w:r>
              <w:rPr/>
              <w:t xml:space="preserve">      </w:t>
            </w:r>
            <w:r>
              <w:rPr/>
              <w:t>Right-of-use asset and operating lease liability</w:t>
            </w:r>
          </w:p>
        </w:tc>
        <w:tc>
          <w:tcPr>
            <w:tcW w:w="129"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3,316</w:t>
            </w:r>
          </w:p>
        </w:tc>
        <w:tc>
          <w:tcPr>
            <w:tcW w:w="212" w:type="dxa"/>
            <w:tcBorders/>
            <w:vAlign w:val="center"/>
          </w:tcPr>
          <w:p>
            <w:pPr>
              <w:pStyle w:val="TableContents"/>
              <w:bidi w:val="0"/>
              <w:spacing w:before="0" w:after="283"/>
              <w:ind w:left="0" w:right="0" w:hanging="0"/>
              <w:jc w:val="left"/>
              <w:rPr/>
            </w:pPr>
            <w:r>
              <w:rPr/>
            </w:r>
          </w:p>
        </w:tc>
        <w:tc>
          <w:tcPr>
            <w:tcW w:w="140" w:type="dxa"/>
            <w:tcBorders/>
            <w:vAlign w:val="center"/>
          </w:tcPr>
          <w:p>
            <w:pPr>
              <w:pStyle w:val="TableContents"/>
              <w:bidi w:val="0"/>
              <w:spacing w:before="0" w:after="283"/>
              <w:ind w:left="0" w:right="0" w:hanging="0"/>
              <w:jc w:val="left"/>
              <w:rPr/>
            </w:pPr>
            <w:r>
              <w:rPr/>
            </w:r>
          </w:p>
        </w:tc>
        <w:tc>
          <w:tcPr>
            <w:tcW w:w="23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shd w:fill="FFFFFF" w:val="clear"/>
        </w:rPr>
      </w:pPr>
      <w:r>
        <w:rPr>
          <w:rFonts w:ascii="times new roman;times" w:hAnsi="times new roman;times"/>
          <w:sz w:val="20"/>
          <w:shd w:fill="FFFFFF" w:val="clear"/>
        </w:rPr>
        <w:t>See accompanying notes to consolidated financial statements.</w:t>
      </w:r>
    </w:p>
    <w:p>
      <w:pPr>
        <w:pStyle w:val="TextBody"/>
        <w:bidi w:val="0"/>
        <w:spacing w:lineRule="auto" w:line="288" w:before="0" w:after="0"/>
        <w:ind w:left="0" w:right="0" w:hanging="0"/>
        <w:jc w:val="center"/>
        <w:rPr>
          <w:rFonts w:ascii="times new roman;times" w:hAnsi="times new roman;times"/>
          <w:sz w:val="20"/>
          <w:shd w:fill="FFFFFF" w:val="clear"/>
        </w:rPr>
      </w:pPr>
      <w:r>
        <w:rPr>
          <w:rFonts w:ascii="times new roman;times" w:hAnsi="times new roman;times"/>
          <w:sz w:val="20"/>
          <w:shd w:fill="FFFFFF" w:val="clea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r>
        <w:rPr/>
      </w:r>
    </w:p>
    <w:p>
      <w:pPr>
        <w:pStyle w:val="TextBody"/>
        <w:widowControl/>
        <w:bidi w:val="0"/>
        <w:spacing w:before="0" w:after="0"/>
        <w:jc w:val="left"/>
        <w:rPr>
          <w:rFonts w:ascii="Times New Roman" w:hAnsi="Times New Roman"/>
          <w:b w:val="false"/>
          <w:i w:val="false"/>
          <w:caps/>
          <w:color w:val="000000"/>
          <w:spacing w:val="0"/>
          <w:sz w:val="20"/>
        </w:rPr>
      </w:pPr>
      <w:r>
        <w:rPr>
          <w:rFonts w:ascii="Times New Roman" w:hAnsi="Times New Roman"/>
          <w:b w:val="false"/>
          <w:i w:val="false"/>
          <w:caps/>
          <w:color w:val="000000"/>
          <w:spacing w:val="0"/>
          <w:sz w:val="20"/>
        </w:rPr>
        <w:t>ELECTROCORE, INC. ANd SUBSIDIARIES</w:t>
      </w:r>
    </w:p>
    <w:p>
      <w:pPr>
        <w:pStyle w:val="TextBody"/>
        <w:widowControl/>
        <w:bidi w:val="0"/>
        <w:spacing w:before="0" w:after="0"/>
        <w:jc w:val="left"/>
        <w:rPr/>
      </w:pPr>
      <w:hyperlink r:id="rId101">
        <w:bookmarkStart w:id="102" w:name="BNotes_to_Consolidated_Financial_Stateme"/>
        <w:bookmarkEnd w:id="102"/>
        <w:r>
          <w:rPr>
            <w:rStyle w:val="InternetLink"/>
            <w:rFonts w:ascii="Times New Roman" w:hAnsi="Times New Roman"/>
            <w:i w:val="false"/>
            <w:caps w:val="false"/>
            <w:smallCaps w:val="false"/>
            <w:strike w:val="false"/>
            <w:dstrike w:val="false"/>
            <w:color w:val="000000"/>
            <w:spacing w:val="0"/>
            <w:sz w:val="20"/>
            <w:u w:val="none"/>
            <w:effect w:val="none"/>
          </w:rPr>
          <w:t>Notes to Consolidated Financial Statements</w:t>
        </w:r>
      </w:hyperlink>
    </w:p>
    <w:p>
      <w:pPr>
        <w:pStyle w:val="TextBody"/>
        <w:widowControl/>
        <w:bidi w:val="0"/>
        <w:jc w:val="left"/>
        <w:rPr>
          <w:rFonts w:ascii="Times New Roman" w:hAnsi="Times New Roman"/>
          <w:i w:val="false"/>
          <w:caps w:val="false"/>
          <w:smallCaps w:val="false"/>
          <w:color w:val="000000"/>
          <w:spacing w:val="0"/>
        </w:rPr>
      </w:pPr>
      <w:r>
        <w:rPr>
          <w:rFonts w:ascii="Times New Roman" w:hAnsi="Times New Roman"/>
          <w:i w:val="false"/>
          <w:caps w:val="false"/>
          <w:smallCaps w:val="false"/>
          <w:color w:val="000000"/>
          <w:spacing w:val="0"/>
        </w:rPr>
      </w:r>
    </w:p>
    <w:p>
      <w:pPr>
        <w:pStyle w:val="TextBody"/>
        <w:widowControl/>
        <w:bidi w:val="0"/>
        <w:spacing w:lineRule="auto" w:line="288"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Note 1. </w:t>
      </w:r>
      <w:r>
        <w:rPr>
          <w:rFonts w:ascii="Times New Roman" w:hAnsi="Times New Roman"/>
          <w:b/>
          <w:i w:val="false"/>
          <w:caps w:val="false"/>
          <w:smallCaps w:val="false"/>
          <w:color w:val="000000"/>
          <w:spacing w:val="0"/>
          <w:sz w:val="20"/>
          <w:shd w:fill="FFFFFF" w:val="clear"/>
        </w:rPr>
        <w:t>The Company</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 xml:space="preserve">electroCore, Inc. and its subsidiaries (“electroCore” or the “Company”) is a bioelectronic medicine and wellness company dedicated to improving health through its non-invasive vagus nerve stimulation (“nVNS”) technology platform and related product offerings. The Company’s focus is the commercialization of medical devices for the management and treatment of certain medical conditions and consumer product offerings utilizing nVNS to promote general wellness and human performance in the United States and select overseas markets. </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electroCore, headquartered in Rockaway, NJ, has two wholly owned subsidiaries: electroCore UK Ltd and electroCore Germany GmbH. The Company has paused operations in Germany, with sales into the country and the rest of Europe being managed by electroCore UK Ltd.</w:t>
      </w:r>
    </w:p>
    <w:p>
      <w:pPr>
        <w:pStyle w:val="TextBody"/>
        <w:widowControl/>
        <w:bidi w:val="0"/>
        <w:jc w:val="left"/>
        <w:rPr>
          <w:rFonts w:ascii="Times New Roman" w:hAnsi="Times New Roman"/>
          <w:i w:val="false"/>
          <w:caps w:val="false"/>
          <w:smallCaps w:val="false"/>
          <w:color w:val="000000"/>
          <w:spacing w:val="0"/>
        </w:rPr>
      </w:pPr>
      <w:r>
        <w:rPr>
          <w:rFonts w:ascii="Times New Roman" w:hAnsi="Times New Roman"/>
          <w:i w:val="false"/>
          <w:caps w:val="false"/>
          <w:smallCaps w:val="false"/>
          <w:color w:val="000000"/>
          <w:spacing w:val="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(a) Basis of Presentation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accompanying consolidated financial statements were prepared in conformity with accounting principles generally accepted in the United States of America (“U.S. GAAP”), and the rules and the regulations of the Securities and Exchange Commission ("SEC").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At a special stockholders meeting held on February 13, 2023, the Company's stockholders approved an amendment to the Company's certificate of incorporation to effect of a reverse stock split of the Company's common stock at a ratio between 1-for-5 to 1-for-50 in order to achieve a minimum bid price of $1.00 per share for a minimum of 10 consecutive trading days, as required for continuing listing of the common stock on the Nasdaq Capital Market pursuant to Nasdaq Listing Rule 5550(a)(2). The board of directors authorize</w:t>
      </w:r>
      <w:r>
        <w:rPr>
          <w:rFonts w:ascii="Times New Roman;serif" w:hAnsi="Times New Roman;serif"/>
          <w:color w:val="000000"/>
          <w:sz w:val="20"/>
        </w:rPr>
        <w:t>d a 1-for-15 ratio for</w:t>
      </w:r>
      <w:r>
        <w:rPr>
          <w:rFonts w:ascii="Times New Roman;serif" w:hAnsi="Times New Roman;serif"/>
          <w:sz w:val="20"/>
        </w:rPr>
        <w:t xml:space="preserve"> the reverse stock split, which became effectiv</w:t>
      </w:r>
      <w:r>
        <w:rPr>
          <w:rFonts w:ascii="Times New Roman;serif" w:hAnsi="Times New Roman;serif"/>
          <w:color w:val="000000"/>
          <w:sz w:val="20"/>
        </w:rPr>
        <w:t>e on February 15, 2023. T</w:t>
      </w:r>
      <w:r>
        <w:rPr>
          <w:rFonts w:ascii="Times New Roman;serif" w:hAnsi="Times New Roman;serif"/>
          <w:sz w:val="20"/>
        </w:rPr>
        <w:t>he accompanying consolidated financial statements and notes to consolidated financial statements give retroactive effect to the reverse stock split for all periods presented.</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t>(b) Principles of Consolida</w:t>
      </w:r>
      <w:r>
        <w:rPr>
          <w:rFonts w:ascii="Times New Roman" w:hAnsi="Times New Roman"/>
          <w:b/>
          <w:i/>
          <w:color w:val="000000"/>
          <w:spacing w:val="0"/>
          <w:sz w:val="20"/>
        </w:rPr>
        <w:t>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accompanying consolidated financial statements include the accounts of electroCore and its wholly owned subsidiaries. All intercompany balances and transactions have been eliminated in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 Use of Estimates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preparation of financial statements in conformity with U.S.</w:t>
      </w:r>
      <w:r>
        <w:rPr>
          <w:rFonts w:ascii="times new roman;times" w:hAnsi="times new roman;times"/>
          <w:sz w:val="20"/>
        </w:rPr>
        <w:t> </w:t>
      </w:r>
      <w:r>
        <w:rPr>
          <w:rFonts w:ascii="Times New Roman" w:hAnsi="Times New Roman"/>
          <w:sz w:val="20"/>
        </w:rPr>
        <w:t>GAAP</w:t>
      </w:r>
      <w:r>
        <w:rPr>
          <w:rFonts w:ascii="times new roman;times" w:hAnsi="times new roman;times"/>
          <w:sz w:val="20"/>
        </w:rPr>
        <w:t> </w:t>
      </w:r>
      <w:r>
        <w:rPr>
          <w:rFonts w:ascii="Times New Roman" w:hAnsi="Times New Roman"/>
          <w:sz w:val="20"/>
        </w:rPr>
        <w:t>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w:t>
      </w:r>
      <w:r>
        <w:rPr>
          <w:rFonts w:ascii="Times New Roman" w:hAnsi="Times New Roman"/>
          <w:color w:val="000000"/>
          <w:sz w:val="20"/>
        </w:rPr>
        <w:t>hose estimates. Significant items subject to such estimates and assumptions include revenue, licensed products and loss contingencies. </w:t>
      </w:r>
    </w:p>
    <w:p>
      <w:pPr>
        <w:pStyle w:val="TextBody"/>
        <w:bidi w:val="0"/>
        <w:spacing w:lineRule="auto" w:line="288" w:before="0" w:after="0"/>
        <w:ind w:left="0" w:right="0" w:hanging="0"/>
        <w:jc w:val="center"/>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ELECTROCORE, INC. AND SUBSIDIARIES</w:t>
      </w:r>
    </w:p>
    <w:p>
      <w:pPr>
        <w:pStyle w:val="TextBody"/>
        <w:widowControl/>
        <w:bidi w:val="0"/>
        <w:spacing w:lineRule="auto" w:line="288" w:before="0" w:after="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(d) Revenue Recognition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Company accounts for its revenue transactions under Financial Accounting Standards Board (“FASB”) Accounting Standards Codification (“ASC”) Topic 606, </w:t>
      </w:r>
      <w:r>
        <w:rPr>
          <w:rFonts w:ascii="Times New Roman" w:hAnsi="Times New Roman"/>
          <w:i/>
          <w:sz w:val="20"/>
        </w:rPr>
        <w:t>Revenue from Contracts with Customers</w:t>
      </w:r>
      <w:r>
        <w:rPr>
          <w:rFonts w:ascii="Times New Roman" w:hAnsi="Times New Roman"/>
          <w:sz w:val="20"/>
        </w:rPr>
        <w:t>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sz w:val="20"/>
        </w:rPr>
      </w:pPr>
      <w:r>
        <w:rPr>
          <w:rFonts w:ascii="Times New Roman" w:hAnsi="Times New Roman"/>
          <w:sz w:val="20"/>
        </w:rPr>
        <w:t xml:space="preserve">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 </w:t>
      </w:r>
      <w:r>
        <w:rPr>
          <w:rFonts w:ascii="Times New Roman" w:hAnsi="Times New Roman"/>
          <w:b w:val="false"/>
          <w:i w:val="false"/>
          <w:caps w:val="false"/>
          <w:smallCaps w:val="false"/>
          <w:color w:val="000000"/>
          <w:spacing w:val="0"/>
          <w:sz w:val="20"/>
        </w:rPr>
        <w:t>For the years ended December 31, 2024</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and 2023, trade credits and discounts were immaterial.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(e) Cash, Cash Equivalents and Restricted Cash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Cash and cash equivalents include all highly liquid investments with an original maturity of three months or less when purchased. </w:t>
      </w:r>
    </w:p>
    <w:p>
      <w:pPr>
        <w:pStyle w:val="TextBody"/>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br/>
        <w:t>The following table provides a reconciliation of cash, cash equivalents and restricted cash to the balance reflected on the Consolidated Statement of Cash Flow at December 31, 2024:</w:t>
      </w:r>
    </w:p>
    <w:p>
      <w:pPr>
        <w:pStyle w:val="TextBody"/>
        <w:bidi w:val="0"/>
        <w:spacing w:lineRule="auto" w:line="288" w:before="0" w:after="0"/>
        <w:ind w:left="0" w:right="0" w:hanging="0"/>
        <w:jc w:val="left"/>
        <w:rPr/>
      </w:pPr>
      <w:r>
        <w:rPr/>
      </w:r>
    </w:p>
    <w:tbl>
      <w:tblPr>
        <w:tblW w:w="7055" w:type="dxa"/>
        <w:jc w:val="left"/>
        <w:tblInd w:w="0" w:type="dxa"/>
        <w:tblLayout w:type="fixed"/>
        <w:tblCellMar>
          <w:top w:w="28" w:type="dxa"/>
          <w:left w:w="28" w:type="dxa"/>
          <w:bottom w:w="28" w:type="dxa"/>
          <w:right w:w="28" w:type="dxa"/>
        </w:tblCellMar>
      </w:tblPr>
      <w:tblGrid>
        <w:gridCol w:w="4801"/>
        <w:gridCol w:w="543"/>
        <w:gridCol w:w="1557"/>
        <w:gridCol w:w="154"/>
      </w:tblGrid>
      <w:tr>
        <w:trPr/>
        <w:tc>
          <w:tcPr>
            <w:tcW w:w="4801" w:type="dxa"/>
            <w:tcBorders/>
            <w:vAlign w:val="bottom"/>
          </w:tcPr>
          <w:p>
            <w:pPr>
              <w:pStyle w:val="TableContents"/>
              <w:bidi w:val="0"/>
              <w:spacing w:before="0" w:after="283"/>
              <w:jc w:val="left"/>
              <w:rPr/>
            </w:pPr>
            <w:r>
              <w:rPr/>
              <w:t>(in thousands)</w:t>
            </w:r>
          </w:p>
        </w:tc>
        <w:tc>
          <w:tcPr>
            <w:tcW w:w="2100" w:type="dxa"/>
            <w:gridSpan w:val="2"/>
            <w:tcBorders>
              <w:bottom w:val="single" w:sz="8" w:space="0" w:color="000000"/>
            </w:tcBorders>
            <w:tcMar>
              <w:top w:w="0" w:type="dxa"/>
              <w:left w:w="0" w:type="dxa"/>
              <w:right w:w="0" w:type="dxa"/>
            </w:tcMar>
            <w:vAlign w:val="bottom"/>
          </w:tcPr>
          <w:p>
            <w:pPr>
              <w:pStyle w:val="TableContents"/>
              <w:bidi w:val="0"/>
              <w:spacing w:before="0" w:after="283"/>
              <w:jc w:val="center"/>
              <w:rPr/>
            </w:pPr>
            <w:r>
              <w:rPr>
                <w:b/>
              </w:rPr>
              <w:t>December 31, 2024</w:t>
            </w:r>
            <w:r>
              <w:rPr/>
              <w:t xml:space="preserve"> </w:t>
            </w:r>
          </w:p>
        </w:tc>
        <w:tc>
          <w:tcPr>
            <w:tcW w:w="154" w:type="dxa"/>
            <w:tcBorders/>
            <w:vAlign w:val="bottom"/>
          </w:tcPr>
          <w:p>
            <w:pPr>
              <w:pStyle w:val="TableContents"/>
              <w:bidi w:val="0"/>
              <w:spacing w:before="0" w:after="283"/>
              <w:jc w:val="left"/>
              <w:rPr/>
            </w:pPr>
            <w:r>
              <w:rPr/>
            </w:r>
          </w:p>
        </w:tc>
      </w:tr>
      <w:tr>
        <w:trPr/>
        <w:tc>
          <w:tcPr>
            <w:tcW w:w="4801" w:type="dxa"/>
            <w:tcBorders/>
            <w:shd w:fill="CCEEFF" w:val="clear"/>
            <w:vAlign w:val="center"/>
          </w:tcPr>
          <w:p>
            <w:pPr>
              <w:pStyle w:val="TableContents"/>
              <w:bidi w:val="0"/>
              <w:spacing w:before="0" w:after="283"/>
              <w:jc w:val="left"/>
              <w:rPr/>
            </w:pPr>
            <w:r>
              <w:rPr/>
              <w:t>Cash and cash equivalents</w:t>
            </w:r>
          </w:p>
        </w:tc>
        <w:tc>
          <w:tcPr>
            <w:tcW w:w="543" w:type="dxa"/>
            <w:tcBorders/>
            <w:shd w:fill="CCEEFF" w:val="clear"/>
            <w:vAlign w:val="center"/>
          </w:tcPr>
          <w:p>
            <w:pPr>
              <w:pStyle w:val="TableContents"/>
              <w:bidi w:val="0"/>
              <w:spacing w:before="0" w:after="283"/>
              <w:jc w:val="left"/>
              <w:rPr/>
            </w:pPr>
            <w:r>
              <w:rPr/>
              <w:t>$</w:t>
            </w:r>
          </w:p>
        </w:tc>
        <w:tc>
          <w:tcPr>
            <w:tcW w:w="1557" w:type="dxa"/>
            <w:tcBorders/>
            <w:shd w:fill="CCEEFF" w:val="clear"/>
            <w:vAlign w:val="center"/>
          </w:tcPr>
          <w:p>
            <w:pPr>
              <w:pStyle w:val="TableContents"/>
              <w:bidi w:val="0"/>
              <w:spacing w:before="0" w:after="283"/>
              <w:jc w:val="right"/>
              <w:rPr/>
            </w:pPr>
            <w:r>
              <w:rPr/>
              <w:t>3,450</w:t>
            </w:r>
          </w:p>
        </w:tc>
        <w:tc>
          <w:tcPr>
            <w:tcW w:w="154" w:type="dxa"/>
            <w:tcBorders/>
            <w:shd w:fill="CCEEFF" w:val="clear"/>
            <w:vAlign w:val="center"/>
          </w:tcPr>
          <w:p>
            <w:pPr>
              <w:pStyle w:val="TableContents"/>
              <w:bidi w:val="0"/>
              <w:spacing w:before="0" w:after="283"/>
              <w:jc w:val="left"/>
              <w:rPr/>
            </w:pPr>
            <w:r>
              <w:rPr/>
            </w:r>
          </w:p>
        </w:tc>
      </w:tr>
      <w:tr>
        <w:trPr/>
        <w:tc>
          <w:tcPr>
            <w:tcW w:w="4801" w:type="dxa"/>
            <w:tcBorders/>
            <w:vAlign w:val="center"/>
          </w:tcPr>
          <w:p>
            <w:pPr>
              <w:pStyle w:val="TableContents"/>
              <w:bidi w:val="0"/>
              <w:spacing w:before="0" w:after="283"/>
              <w:jc w:val="left"/>
              <w:rPr/>
            </w:pPr>
            <w:r>
              <w:rPr/>
              <w:t>Restricted cash</w:t>
            </w:r>
          </w:p>
        </w:tc>
        <w:tc>
          <w:tcPr>
            <w:tcW w:w="5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250</w:t>
            </w:r>
          </w:p>
        </w:tc>
        <w:tc>
          <w:tcPr>
            <w:tcW w:w="154" w:type="dxa"/>
            <w:tcBorders/>
            <w:vAlign w:val="center"/>
          </w:tcPr>
          <w:p>
            <w:pPr>
              <w:pStyle w:val="TableContents"/>
              <w:bidi w:val="0"/>
              <w:spacing w:before="0" w:after="283"/>
              <w:jc w:val="left"/>
              <w:rPr/>
            </w:pPr>
            <w:r>
              <w:rPr/>
            </w:r>
          </w:p>
        </w:tc>
      </w:tr>
      <w:tr>
        <w:trPr/>
        <w:tc>
          <w:tcPr>
            <w:tcW w:w="4801" w:type="dxa"/>
            <w:tcBorders/>
            <w:shd w:fill="CCEEFF" w:val="clear"/>
            <w:vAlign w:val="center"/>
          </w:tcPr>
          <w:p>
            <w:pPr>
              <w:pStyle w:val="TableContents"/>
              <w:bidi w:val="0"/>
              <w:spacing w:before="0" w:after="283"/>
              <w:jc w:val="left"/>
              <w:rPr/>
            </w:pPr>
            <w:r>
              <w:rPr/>
              <w:t xml:space="preserve">    </w:t>
            </w:r>
            <w:r>
              <w:rPr/>
              <w:t>Total cash, cash equivalents and restricted cash</w:t>
            </w:r>
          </w:p>
        </w:tc>
        <w:tc>
          <w:tcPr>
            <w:tcW w:w="543" w:type="dxa"/>
            <w:tcBorders>
              <w:bottom w:val="double" w:sz="7"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557" w:type="dxa"/>
            <w:tcBorders>
              <w:bottom w:val="double" w:sz="7" w:space="0" w:color="000000"/>
            </w:tcBorders>
            <w:shd w:fill="CCEEFF" w:val="clear"/>
            <w:tcMar>
              <w:top w:w="0" w:type="dxa"/>
              <w:left w:w="0" w:type="dxa"/>
              <w:right w:w="0" w:type="dxa"/>
            </w:tcMar>
            <w:vAlign w:val="center"/>
          </w:tcPr>
          <w:p>
            <w:pPr>
              <w:pStyle w:val="TableContents"/>
              <w:bidi w:val="0"/>
              <w:spacing w:before="0" w:after="283"/>
              <w:jc w:val="right"/>
              <w:rPr/>
            </w:pPr>
            <w:r>
              <w:rPr/>
              <w:t>3,700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2024, </w:t>
      </w:r>
      <w:r>
        <w:rPr>
          <w:rFonts w:ascii="Times New Roman;serif" w:hAnsi="Times New Roman;serif"/>
          <w:sz w:val="20"/>
        </w:rPr>
        <w:t>cash equivalents represented funds held in an interest-bearing demand deposit account, U.S. treasury bills, and a money market account.</w:t>
      </w:r>
      <w:r>
        <w:rPr>
          <w:rFonts w:ascii="Times New Roman" w:hAnsi="Times New Roman"/>
          <w:sz w:val="20"/>
        </w:rPr>
        <w:t> </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restricted cash consists of cash that the Company is contractually obligated to maintain in accordance with the terms of its corporate credit card arrangement with Citibank, 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 Concentration of Credit Risk</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Cash equivalents are financial instruments that potentially subject the Company to concentration of credit risk. As of December 31, 2024, the Company's cash equivalent securities were largely comprised of treasury funds. The Company has established guidelines relative to diversification and maturities that are designed to help ensure safety and liquidity. These guidelines are periodically reviewed to take advantage of trends in yields and interest rates. As of December 31, 2024</w:t>
      </w:r>
      <w:r>
        <w:rPr>
          <w:rFonts w:ascii="times new roman;times" w:hAnsi="times new roman;times"/>
          <w:color w:val="000000"/>
          <w:sz w:val="20"/>
        </w:rPr>
        <w:t>, 89% of the Company’s cas</w:t>
      </w:r>
      <w:r>
        <w:rPr>
          <w:rFonts w:ascii="times new roman;times" w:hAnsi="times new roman;times"/>
          <w:sz w:val="20"/>
        </w:rPr>
        <w:t xml:space="preserve">h and cash equivalents were denominated in U.S. dollars. The balance of the Company's cash is denominated in British pound sterling and is subject to foreign exchange risk. </w:t>
      </w:r>
      <w:r>
        <w:rPr>
          <w:rFonts w:ascii="Times New Roman" w:hAnsi="Times New Roman"/>
          <w:b w:val="false"/>
          <w:i w:val="false"/>
          <w:caps w:val="false"/>
          <w:smallCaps w:val="false"/>
          <w:color w:val="000000"/>
          <w:spacing w:val="0"/>
          <w:sz w:val="20"/>
        </w:rPr>
        <w:t>The Company’s cash accounts are insured by the Federal Deposit Insurance Corporation (“FDIC”) up to $250,000 per financial institution in the United States, and up to £85,000</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by the Financial Services Compensation Scheme (“FSCS”) per financial institution in the United Kingdom. The Company's cash equivalent securities are insured by the Securities Investor Protection Corp. ("SIPC') up to $500,000 per account, with a limit of $250,000 in cash. </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t>(g) Marketable Securities</w:t>
      </w:r>
    </w:p>
    <w:p>
      <w:pPr>
        <w:pStyle w:val="TextBody"/>
        <w:widowControl/>
        <w:bidi w:val="0"/>
        <w:spacing w:lineRule="auto" w:line="288"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widowControl/>
        <w:bidi w:val="0"/>
        <w:spacing w:lineRule="auto" w:line="288" w:before="0" w:after="0"/>
        <w:ind w:left="0" w:right="0" w:hanging="0"/>
        <w:jc w:val="left"/>
        <w:rPr>
          <w:rFonts w:ascii="Times New Roman;serif" w:hAnsi="Times New Roman;serif"/>
          <w:b w:val="false"/>
          <w:color w:val="000000"/>
          <w:spacing w:val="0"/>
          <w:sz w:val="20"/>
        </w:rPr>
      </w:pPr>
      <w:r>
        <w:rPr>
          <w:rFonts w:ascii="Times New Roman;serif" w:hAnsi="Times New Roman;serif"/>
          <w:b w:val="false"/>
          <w:color w:val="000000"/>
          <w:spacing w:val="0"/>
          <w:sz w:val="20"/>
        </w:rPr>
        <w:t>Marketable securities are carried at fair value, with unrealized gains and losses reported as accumulated other comprehensive income, except for losses from impairments which are determined to be other than 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 As of December 31, 2024, marketable securities amounted to $8.5 million and consist of U.S. treasury bills. Unrealized gains or losses during 2024 were not material. The Company held no marketable securities at December 31, 2023.</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(h) Accounts Receivable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Accounts receivable are recorded at the invoiced amount and do not bear interest. The Company maintains an allowance for credit losses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During the years ended December 31, 2024 and 2023, the Company's allowance for credit losses was immaterial. The Company does not have any off balance sheet credit exposure related to its customers.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 Inventories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Inventory, which consists of raw materials, work-in-process and finished product, is stated at the lower of cost or net realizable value. Inventory is valued on a first-in first-out basis. Net realizable value is the estimated selling prices in the ordinary course of business, less reasonably predictable costs of completion, disposal, and transportation. </w:t>
      </w:r>
    </w:p>
    <w:p>
      <w:pPr>
        <w:pStyle w:val="TextBody"/>
        <w:bidi w:val="0"/>
        <w:spacing w:lineRule="auto" w:line="288" w:before="0" w:after="0"/>
        <w:ind w:left="0" w:right="0" w:hanging="0"/>
        <w:jc w:val="left"/>
        <w:rPr/>
      </w:pPr>
      <w:r>
        <w:rPr/>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Inventories, noncurrent.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goods sold to write down such unmarketable inventory to zero.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(j) Property and Equipment</w:t>
      </w:r>
    </w:p>
    <w:p>
      <w:pPr>
        <w:pStyle w:val="TextBody"/>
        <w:bidi w:val="0"/>
        <w:spacing w:lineRule="auto" w:line="288"/>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Property and equipment are stated at historical cost.</w:t>
      </w:r>
      <w:r>
        <w:rPr>
          <w:rFonts w:ascii="times new roman;times" w:hAnsi="times new roman;times"/>
          <w:sz w:val="20"/>
        </w:rPr>
        <w:t>  </w:t>
      </w:r>
      <w:r>
        <w:rPr>
          <w:rFonts w:ascii="Times New Roman" w:hAnsi="Times New Roman"/>
          <w:sz w:val="20"/>
        </w:rPr>
        <w:t>Depreciation is computed by the straight-line method based on the estimated useful lives of the respective assets, as discussed below.  Amounts expended for maintenance and repairs are charged to expense as incurred.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Depreciation and leasehold improvement amortization is computed using the following estimated useful lives: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3278"/>
        <w:gridCol w:w="177"/>
        <w:gridCol w:w="6750"/>
      </w:tblGrid>
      <w:tr>
        <w:trPr/>
        <w:tc>
          <w:tcPr>
            <w:tcW w:w="32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Machinery and equipment </w:t>
            </w:r>
          </w:p>
        </w:tc>
        <w:tc>
          <w:tcPr>
            <w:tcW w:w="177" w:type="dxa"/>
            <w:tcBorders/>
            <w:shd w:fill="CCEEFF" w:val="clear"/>
            <w:vAlign w:val="center"/>
          </w:tcPr>
          <w:p>
            <w:pPr>
              <w:pStyle w:val="TableContents"/>
              <w:bidi w:val="0"/>
              <w:spacing w:before="0" w:after="0"/>
              <w:ind w:left="0" w:right="0" w:hanging="0"/>
              <w:jc w:val="left"/>
              <w:rPr/>
            </w:pPr>
            <w:r>
              <w:rPr/>
              <w:t xml:space="preserve">  </w:t>
            </w:r>
          </w:p>
        </w:tc>
        <w:tc>
          <w:tcPr>
            <w:tcW w:w="67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3–15 years </w:t>
            </w:r>
          </w:p>
        </w:tc>
      </w:tr>
      <w:tr>
        <w:trPr/>
        <w:tc>
          <w:tcPr>
            <w:tcW w:w="3278"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Leasehold improvements </w:t>
            </w:r>
          </w:p>
        </w:tc>
        <w:tc>
          <w:tcPr>
            <w:tcW w:w="177" w:type="dxa"/>
            <w:tcBorders/>
            <w:vAlign w:val="center"/>
          </w:tcPr>
          <w:p>
            <w:pPr>
              <w:pStyle w:val="TableContents"/>
              <w:bidi w:val="0"/>
              <w:spacing w:before="0" w:after="0"/>
              <w:ind w:left="0" w:right="0" w:hanging="0"/>
              <w:jc w:val="left"/>
              <w:rPr/>
            </w:pPr>
            <w:r>
              <w:rPr/>
              <w:t xml:space="preserve">  </w:t>
            </w:r>
          </w:p>
        </w:tc>
        <w:tc>
          <w:tcPr>
            <w:tcW w:w="67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Lesser of estimated useful life or remaining term of lease</w:t>
            </w:r>
          </w:p>
        </w:tc>
      </w:tr>
      <w:tr>
        <w:trPr/>
        <w:tc>
          <w:tcPr>
            <w:tcW w:w="32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Furniture and fixtures </w:t>
            </w:r>
          </w:p>
        </w:tc>
        <w:tc>
          <w:tcPr>
            <w:tcW w:w="177" w:type="dxa"/>
            <w:tcBorders/>
            <w:shd w:fill="CCEEFF" w:val="clear"/>
            <w:vAlign w:val="center"/>
          </w:tcPr>
          <w:p>
            <w:pPr>
              <w:pStyle w:val="TableContents"/>
              <w:bidi w:val="0"/>
              <w:spacing w:before="0" w:after="0"/>
              <w:ind w:left="0" w:right="0" w:hanging="0"/>
              <w:jc w:val="left"/>
              <w:rPr/>
            </w:pPr>
            <w:r>
              <w:rPr/>
              <w:t xml:space="preserve">  </w:t>
            </w:r>
          </w:p>
        </w:tc>
        <w:tc>
          <w:tcPr>
            <w:tcW w:w="67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5–10 years </w:t>
            </w:r>
          </w:p>
        </w:tc>
      </w:tr>
      <w:tr>
        <w:trPr/>
        <w:tc>
          <w:tcPr>
            <w:tcW w:w="32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Computer equipment </w:t>
            </w:r>
          </w:p>
        </w:tc>
        <w:tc>
          <w:tcPr>
            <w:tcW w:w="177" w:type="dxa"/>
            <w:tcBorders/>
            <w:vAlign w:val="center"/>
          </w:tcPr>
          <w:p>
            <w:pPr>
              <w:pStyle w:val="TableContents"/>
              <w:bidi w:val="0"/>
              <w:spacing w:before="0" w:after="0"/>
              <w:ind w:left="0" w:right="0" w:hanging="0"/>
              <w:jc w:val="left"/>
              <w:rPr/>
            </w:pPr>
            <w:r>
              <w:rPr/>
              <w:t xml:space="preserve">  </w:t>
            </w:r>
          </w:p>
        </w:tc>
        <w:tc>
          <w:tcPr>
            <w:tcW w:w="67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 years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(k) Leases</w:t>
      </w:r>
    </w:p>
    <w:p>
      <w:pPr>
        <w:pStyle w:val="TextBody"/>
        <w:bidi w:val="0"/>
        <w:spacing w:lineRule="auto" w:line="288" w:before="0" w:after="0"/>
        <w:ind w:left="0" w:right="0" w:hanging="0"/>
        <w:jc w:val="left"/>
        <w:rPr/>
      </w:pPr>
      <w:r>
        <w:rPr/>
      </w:r>
    </w:p>
    <w:p>
      <w:pPr>
        <w:pStyle w:val="TextBody"/>
        <w:bidi w:val="0"/>
        <w:spacing w:lineRule="auto" w:line="264" w:before="0" w:after="0"/>
        <w:ind w:left="0" w:right="0" w:hanging="0"/>
        <w:jc w:val="left"/>
        <w:rPr>
          <w:rFonts w:ascii="times new roman;times" w:hAnsi="times new roman;times"/>
          <w:sz w:val="20"/>
        </w:rPr>
      </w:pPr>
      <w:r>
        <w:rPr>
          <w:rFonts w:ascii="times new roman;times" w:hAnsi="times new roman;times"/>
          <w:sz w:val="20"/>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lease terms greater than one year are included in operating lease right-of-use (“ROU”) assets and current and long-term operating lease liabilities in the Company’s consolidated balance sheets.</w:t>
      </w:r>
    </w:p>
    <w:p>
      <w:pPr>
        <w:pStyle w:val="TextBody"/>
        <w:bidi w:val="0"/>
        <w:spacing w:lineRule="auto" w:line="264" w:before="0" w:after="0"/>
        <w:ind w:left="0" w:right="0" w:hanging="0"/>
        <w:jc w:val="left"/>
        <w:rPr/>
      </w:pPr>
      <w:r>
        <w:rPr/>
      </w:r>
    </w:p>
    <w:p>
      <w:pPr>
        <w:pStyle w:val="TextBody"/>
        <w:bidi w:val="0"/>
        <w:spacing w:lineRule="auto" w:line="264" w:before="0" w:after="0"/>
        <w:ind w:left="0" w:right="0" w:hanging="0"/>
        <w:jc w:val="left"/>
        <w:rPr>
          <w:rFonts w:ascii="Times New Roman" w:hAnsi="Times New Roman"/>
          <w:sz w:val="20"/>
        </w:rPr>
      </w:pPr>
      <w:r>
        <w:rPr>
          <w:rFonts w:ascii="Times New Roman" w:hAnsi="Times New Roman"/>
          <w:sz w:val="20"/>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 </w:t>
      </w:r>
    </w:p>
    <w:p>
      <w:pPr>
        <w:pStyle w:val="TextBody"/>
        <w:bidi w:val="0"/>
        <w:spacing w:lineRule="auto" w:line="264"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(l) Licensed Products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Company licenses a portion of its devices through its cash pay channels. The cost of these licensed devices is capitalized and included in Other Assets in the accompanying Consolidated Balance Sheets at December 31, 2024 and December 31, 2023, and is being recognized as cost of goods sold on the straight-line method over the estimated 12-36 month useful life of the devices. If certain licensed devices are returned and no longer meet quality specifications or the carrying amount of certain licensed devices are no longer deemed to be recoverable, the Company records a charge to cost of goods sold to write down such licensed devices to zero. The net book value of these licensed devices at December 31, 2024 and December 31, 2023 was $220,000 and $494,000, respectively. Changes in the value of these licensed devices in Other Assets is captured on the Statement of Cash Flows with inventories.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(m) Impairment of Long-Lived Assets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Long 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(n) Stock-based Compensation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Company accounts for stock-based compensation in accordance with the ASC Topic 718, </w:t>
      </w:r>
      <w:r>
        <w:rPr>
          <w:rFonts w:ascii="times new roman;times" w:hAnsi="times new roman;times"/>
          <w:i/>
          <w:sz w:val="20"/>
        </w:rPr>
        <w:t>Compensation – Stock Compensation</w:t>
      </w:r>
      <w:r>
        <w:rPr>
          <w:rFonts w:ascii="times new roman;times" w:hAnsi="times new roman;times"/>
          <w:sz w:val="20"/>
        </w:rPr>
        <w:t>. The Company estimates the fair value of stock option awards using the Black-Scholes option pricing model on the date of the grant. Restricted stock unit a</w:t>
      </w:r>
      <w:r>
        <w:rPr>
          <w:rFonts w:ascii="times new roman;times" w:hAnsi="times new roman;times"/>
          <w:color w:val="000000"/>
          <w:sz w:val="20"/>
        </w:rPr>
        <w:t>wards and restricted stock awards withou</w:t>
      </w:r>
      <w:r>
        <w:rPr>
          <w:rFonts w:ascii="times new roman;times" w:hAnsi="times new roman;times"/>
          <w:sz w:val="20"/>
        </w:rPr>
        <w:t>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F-11</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(o) Income Taxes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serif" w:hAnsi="Times New Roman;serif"/>
          <w:sz w:val="20"/>
        </w:rPr>
        <w:t>ASC 740</w:t>
      </w:r>
      <w:r>
        <w:rPr>
          <w:rFonts w:ascii="Times New Roman" w:hAnsi="Times New Roman"/>
          <w:sz w:val="20"/>
        </w:rPr>
        <w:t xml:space="preserve"> </w:t>
      </w:r>
      <w:r>
        <w:rPr>
          <w:rFonts w:ascii="Times New Roman;serif" w:hAnsi="Times New Roman;serif"/>
          <w:sz w:val="20"/>
        </w:rPr>
        <w:t>prescribes a recognition threshold and a measurement attribute for the financial statement recognition and measurement of tax provisions taken or expected to be taken in a tax return. For those benefits to be recognized, a tax position must be more likely than not to be sustained upon examination by taxing authorities. The Company is currently not aware of any issues under review that could result in significant payments, accruals or deviation from its position during the next twelve</w:t>
      </w:r>
      <w:r>
        <w:rPr>
          <w:rFonts w:ascii="Times New Roman" w:hAnsi="Times New Roman"/>
          <w:sz w:val="20"/>
        </w:rPr>
        <w:t xml:space="preserve"> </w:t>
      </w:r>
      <w:r>
        <w:rPr>
          <w:rFonts w:ascii="Times New Roman;serif" w:hAnsi="Times New Roman;serif"/>
          <w:sz w:val="20"/>
        </w:rPr>
        <w:t>months.</w:t>
      </w:r>
      <w:r>
        <w:rPr>
          <w:rFonts w:ascii="Times New Roman" w:hAnsi="Times New Roman"/>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 Research and Development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Research and development costs are expensed as incurred. These costs include, but are not limited to, costs related to clinical trials, and compensation and related overhead for employees and consultants involved in research and development activities.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(q) Foreign Currency Translation and Transactions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 Segment Information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 Medical Devices.</w:t>
      </w:r>
    </w:p>
    <w:p>
      <w:pPr>
        <w:pStyle w:val="TextBody"/>
        <w:bidi w:val="0"/>
        <w:spacing w:lineRule="auto" w:line="288" w:before="0" w:after="0"/>
        <w:ind w:left="0" w:right="0" w:hanging="0"/>
        <w:jc w:val="left"/>
        <w:rPr/>
      </w:pPr>
      <w:r>
        <w:rPr/>
      </w:r>
    </w:p>
    <w:p>
      <w:pPr>
        <w:pStyle w:val="TextBody"/>
        <w:bidi w:val="0"/>
        <w:spacing w:lineRule="auto" w:line="312" w:before="0" w:after="0"/>
        <w:ind w:left="0" w:right="0" w:hanging="0"/>
        <w:jc w:val="left"/>
        <w:rPr>
          <w:rFonts w:ascii="Times New Roman" w:hAnsi="Times New Roman"/>
          <w:b/>
          <w:i/>
          <w:sz w:val="20"/>
        </w:rPr>
      </w:pPr>
      <w:r>
        <w:rPr>
          <w:rFonts w:ascii="Times New Roman" w:hAnsi="Times New Roman"/>
          <w:b/>
          <w:i/>
          <w:sz w:val="20"/>
        </w:rPr>
        <w:t>(s) Recently Accounting Standards </w:t>
      </w:r>
      <w:r>
        <w:rPr>
          <w:rFonts w:ascii="Times New Roman;serif" w:hAnsi="Times New Roman;serif"/>
          <w:b/>
          <w:i/>
          <w:sz w:val="20"/>
        </w:rPr>
        <w:t>Pronouncements</w:t>
      </w:r>
      <w:r>
        <w:rPr>
          <w:rFonts w:ascii="Times New Roman" w:hAnsi="Times New Roman"/>
          <w:b/>
          <w:i/>
          <w:sz w:val="20"/>
        </w:rPr>
        <w:t xml:space="preserve"> </w:t>
      </w:r>
    </w:p>
    <w:p>
      <w:pPr>
        <w:pStyle w:val="TextBody"/>
        <w:bidi w:val="0"/>
        <w:spacing w:lineRule="auto" w:line="312"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In November 2023, the FASB issued Accounting Standards Update (ASU) No. 2023-07, Segment Reporting (Topic 280), Improvements to Reportable Segment Disclosures which will require companies to disclose significant segment expenses that are regularly provided to the chief operating decision maker ("CODM"). The pronouncement is effective for annual filings for the year ended December 31, 2024. The Company's adoption of this standard did not have a material impact on its results of operations, financial position or cash flows. See Note 14. Segment Reporting.</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sz w:val="20"/>
        </w:rPr>
      </w:pPr>
      <w:r>
        <w:rPr>
          <w:rFonts w:ascii="Times New Roman;serif" w:hAnsi="Times New Roman;serif"/>
          <w:color w:val="000000"/>
          <w:sz w:val="20"/>
        </w:rPr>
        <w:t>In December 2023, the FASB issued Accounting</w:t>
      </w:r>
      <w:r>
        <w:rPr>
          <w:rFonts w:ascii="times new roman" w:hAnsi="times new roman"/>
          <w:color w:val="000000"/>
          <w:sz w:val="20"/>
        </w:rPr>
        <w:t> </w:t>
      </w:r>
      <w:r>
        <w:rPr>
          <w:rFonts w:ascii="Times New Roman;serif" w:hAnsi="Times New Roman;serif"/>
          <w:color w:val="000000"/>
          <w:sz w:val="20"/>
        </w:rPr>
        <w:t xml:space="preserve">Standards Update (ASU) No. 2023-09, </w:t>
      </w:r>
      <w:r>
        <w:rPr>
          <w:rFonts w:ascii="Times New Roman;serif" w:hAnsi="Times New Roman;serif"/>
          <w:i/>
          <w:color w:val="000000"/>
          <w:sz w:val="20"/>
        </w:rPr>
        <w:t>Income Taxes (Topic 740)</w:t>
      </w:r>
      <w:r>
        <w:rPr>
          <w:rFonts w:ascii="Times New Roman;serif" w:hAnsi="Times New Roman;serif"/>
          <w:color w:val="000000"/>
          <w:sz w:val="20"/>
        </w:rPr>
        <w:t>, </w:t>
      </w:r>
      <w:r>
        <w:rPr>
          <w:rFonts w:ascii="Times New Roman;serif" w:hAnsi="Times New Roman;serif"/>
          <w:i/>
          <w:color w:val="000000"/>
          <w:sz w:val="20"/>
        </w:rPr>
        <w:t>Improvements to Income Tax Disclosures</w:t>
      </w:r>
      <w:r>
        <w:rPr>
          <w:rFonts w:ascii="Times New Roman;serif" w:hAnsi="Times New Roman;serif"/>
          <w:color w:val="000000"/>
          <w:sz w:val="20"/>
        </w:rPr>
        <w:t> which will require companies to make additional income tax disclosures. The pronouncement is effective for annual filings for the year ended December 31, 2025. The Company </w:t>
      </w:r>
      <w:r>
        <w:rPr>
          <w:rFonts w:ascii="Times New Roman;serif" w:hAnsi="Times New Roman;serif"/>
          <w:b w:val="false"/>
          <w:i w:val="false"/>
          <w:caps w:val="false"/>
          <w:smallCaps w:val="false"/>
          <w:color w:val="000000"/>
          <w:spacing w:val="0"/>
          <w:sz w:val="20"/>
        </w:rPr>
        <w:t>is still assessing the impact of the adoption of this standard but does not expect it to have a material impact on its results of operations, financial position or cash flows.</w:t>
      </w:r>
    </w:p>
    <w:p>
      <w:pPr>
        <w:pStyle w:val="TextBody"/>
        <w:bidi w:val="0"/>
        <w:spacing w:lineRule="auto" w:line="288" w:before="0" w:after="0"/>
        <w:ind w:left="0" w:right="0" w:hanging="0"/>
        <w:jc w:val="left"/>
        <w:rPr/>
      </w:pPr>
      <w:r>
        <w:rPr/>
      </w:r>
    </w:p>
    <w:p>
      <w:pPr>
        <w:pStyle w:val="TextBody"/>
        <w:widowControl/>
        <w:bidi w:val="0"/>
        <w:spacing w:lineRule="atLeast" w:line="240" w:before="0" w:after="0"/>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On November 2024, the FASB issued Accounting Standards Update (ASU) No. 2024-03, </w:t>
      </w:r>
      <w:r>
        <w:rPr>
          <w:rFonts w:ascii="Times New Roman;serif" w:hAnsi="Times New Roman;serif"/>
          <w:b w:val="false"/>
          <w:i/>
          <w:caps w:val="false"/>
          <w:smallCaps w:val="false"/>
          <w:color w:val="000000"/>
          <w:spacing w:val="0"/>
          <w:sz w:val="20"/>
        </w:rPr>
        <w:t>Income Statement (Topic 220): Reporting Comprehensive Income - Expense Disaggregation Disclosures, Disaggregation of Income Statement Expenses</w:t>
      </w:r>
      <w:r>
        <w:rPr>
          <w:rFonts w:ascii="Times New Roman;serif" w:hAnsi="Times New Roman;serif"/>
          <w:b w:val="false"/>
          <w:i w:val="false"/>
          <w:caps w:val="false"/>
          <w:smallCaps w:val="false"/>
          <w:color w:val="000000"/>
          <w:spacing w:val="0"/>
          <w:sz w:val="20"/>
        </w:rPr>
        <w:t>, which requires public companies to disclose, in interim and annual reporting periods, additional information about certain expenses in the financial statements. The amendments in this pronouncement will be effective for annual periods beginning after December 15, 2026, and interim reporting periods beginning after December 15, 2027. Early adoption is permitted and is effective on either a prospective basis or retrospective basis. The Company is currently assessing the potential impacts of adoption on its consolidated financial statements and related disclosures.</w:t>
      </w:r>
      <w:r>
        <w:rPr>
          <w:rFonts w:ascii="Times New Roman;serif" w:hAnsi="Times New Roman;serif"/>
          <w:b w:val="false"/>
          <w:i w:val="false"/>
          <w:caps w:val="false"/>
          <w:smallCaps w:val="false"/>
          <w:color w:val="000000"/>
          <w:spacing w:val="0"/>
          <w:sz w:val="20"/>
        </w:rPr>
        <w:t xml:space="preserve">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widowControl/>
        <w:bidi w:val="0"/>
        <w:spacing w:lineRule="auto" w:line="288"/>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ELECTROCORE, INC. AND SUBSIDIARIES</w:t>
      </w:r>
    </w:p>
    <w:p>
      <w:pPr>
        <w:pStyle w:val="TextBody"/>
        <w:widowControl/>
        <w:bidi w:val="0"/>
        <w:spacing w:lineRule="auto" w:line="288"/>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3. Liquidity and Certain Risks</w:t>
      </w:r>
    </w:p>
    <w:p>
      <w:pPr>
        <w:pStyle w:val="TextBody"/>
        <w:bidi w:val="0"/>
        <w:spacing w:lineRule="atLeast" w:line="240" w:before="120" w:after="0"/>
        <w:ind w:left="0" w:right="0" w:hanging="0"/>
        <w:jc w:val="both"/>
        <w:rPr>
          <w:rFonts w:ascii="Times New Roman;serif" w:hAnsi="Times New Roman;serif"/>
          <w:color w:val="000000"/>
          <w:sz w:val="20"/>
        </w:rPr>
      </w:pPr>
      <w:r>
        <w:rPr>
          <w:rFonts w:ascii="Times New Roman;serif" w:hAnsi="Times New Roman;serif"/>
          <w:color w:val="000000"/>
          <w:sz w:val="20"/>
        </w:rPr>
        <w:t>The Company has experienced significant net losses, and it expects to continue to incur net losses for the near future as it works to increase market acceptance of its gammaCore therapy and general wellness and human performance products. The Company has never been profitable and has incurred net losses and negative cash used in operations each year since its inception. The Company incurred net losses of $11.9 million and $18.8 million and used cash in its operations of $6.9 million and $14.7 million for the years ended December 31, 2024 and 2023, respectively.</w:t>
      </w:r>
    </w:p>
    <w:p>
      <w:pPr>
        <w:pStyle w:val="TextBody"/>
        <w:bidi w:val="0"/>
        <w:spacing w:lineRule="atLeast" w:line="240" w:before="240" w:after="0"/>
        <w:ind w:left="0" w:right="0" w:hanging="0"/>
        <w:jc w:val="both"/>
        <w:rPr>
          <w:rFonts w:ascii="Times New Roman;serif" w:hAnsi="Times New Roman;serif"/>
          <w:color w:val="000000"/>
          <w:sz w:val="20"/>
        </w:rPr>
      </w:pPr>
      <w:r>
        <w:rPr>
          <w:rFonts w:ascii="Times New Roman;serif" w:hAnsi="Times New Roman;serif"/>
          <w:color w:val="000000"/>
          <w:sz w:val="20"/>
        </w:rPr>
        <w:t>The Company has historically funded its operations from the sale of its securities. During the years ended December 31, 2024, the Company received net proceeds of approximately $9.0 million from such sales and as of December 31, 2024, the Company’s cash, cash equivalents and marketable securities totaled $12.2 million (“Cash Position”).</w:t>
      </w:r>
    </w:p>
    <w:p>
      <w:pPr>
        <w:pStyle w:val="TextBody"/>
        <w:bidi w:val="0"/>
        <w:spacing w:lineRule="atLeast" w:line="240" w:before="240" w:after="0"/>
        <w:ind w:left="0" w:right="0" w:hanging="0"/>
        <w:jc w:val="both"/>
        <w:rPr>
          <w:rFonts w:ascii="times new roman;times" w:hAnsi="times new roman;times"/>
          <w:color w:val="000000"/>
          <w:sz w:val="20"/>
        </w:rPr>
      </w:pPr>
      <w:r>
        <w:rPr>
          <w:rFonts w:ascii="times new roman;times" w:hAnsi="times new roman;times"/>
          <w:color w:val="000000"/>
          <w:sz w:val="20"/>
        </w:rPr>
        <w:t>Based on its current assessment, the Company believes its Cash Position will enable it to fund its operating expenses and capital expenditure requirements, as currently planned, for at least the next 12 months from the date the accompanying financial statements are issued. There remain significant risks and uncertainties regarding the Company's business, financial condition and results of operations. The Company’s future capital requirements are difficult to forecast and will depend on many factors that are out of its control. If the Company is unable to achieve its planned operating results or maintain sufficient financial resources, including through potential positive cash flow from operations or supplemental access to third-party debt, equity or hybrid capital, its business, financial condition and results of operations may be materially and adversely affected.</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The Company’s expected cash requirements for the next 12 months from the date these financial statements are issued and beyond are largely based on the commercial success of its products. The Company believes its cash and cash equivalents and anticipated revenue will enable it to fund its operating expenses, working capital, and capital expenditure requirements, as currently planned, through 12 months from the date of the accompanying financial statements.</w:t>
      </w:r>
    </w:p>
    <w:p>
      <w:pPr>
        <w:pStyle w:val="TextBody"/>
        <w:bidi w:val="0"/>
        <w:spacing w:lineRule="auto" w:line="288" w:before="200" w:after="0"/>
        <w:ind w:left="0" w:right="0" w:hanging="0"/>
        <w:jc w:val="left"/>
        <w:rPr>
          <w:rFonts w:ascii="times new roman;times" w:hAnsi="times new roman;times"/>
          <w:i/>
          <w:sz w:val="20"/>
        </w:rPr>
      </w:pPr>
      <w:r>
        <w:rPr>
          <w:rFonts w:ascii="times new roman;times" w:hAnsi="times new roman;times"/>
          <w:i/>
          <w:sz w:val="20"/>
        </w:rPr>
        <w:t>Concentration of Revenue Risks</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color w:val="000000"/>
          <w:sz w:val="20"/>
        </w:rPr>
        <w:t>The Company earns a significant amount of its revenue in the United States from the VA channel pursuant to its qualifying contract under the Federal Supply Schedule, or FSS, and open market sales to individual VA facilities. For the years ended December 31, 2024 and 2023,</w:t>
      </w:r>
      <w:r>
        <w:rPr>
          <w:rFonts w:ascii="times new roman;times" w:hAnsi="times new roman;times"/>
          <w:sz w:val="20"/>
        </w:rPr>
        <w:t> the VA accounted for 70.6% and 60.1% of net sales, respectively.</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For the year ended December 31, 2024, </w:t>
      </w:r>
      <w:r>
        <w:rPr>
          <w:rFonts w:ascii="times new roman;times" w:hAnsi="times new roman;times"/>
          <w:color w:val="000000"/>
          <w:sz w:val="20"/>
        </w:rPr>
        <w:t>Lovell and North Las Vegas VAMC each accounted for more than 10% of our VA net sales</w:t>
      </w:r>
      <w:r>
        <w:rPr>
          <w:rFonts w:ascii="times new roman;times" w:hAnsi="times new roman;times"/>
          <w:sz w:val="20"/>
        </w:rPr>
        <w:t>. During the year ended December 31, 2024, sales associated with one facility accounted for more than 10% of the total VA net sales and two facilities each accounted for more than 10% of the total VA net sales in the year ended December 31, 2023. Sales through our TAC-STIM revenue channel accounted for 10.9% of our net sales in the year ended December 31, 2023.</w:t>
      </w:r>
    </w:p>
    <w:p>
      <w:pPr>
        <w:pStyle w:val="TextBody"/>
        <w:bidi w:val="0"/>
        <w:spacing w:lineRule="auto" w:line="288" w:before="200" w:after="0"/>
        <w:ind w:left="0" w:right="0" w:hanging="0"/>
        <w:jc w:val="left"/>
        <w:rPr>
          <w:rFonts w:ascii="times new roman;times" w:hAnsi="times new roman;times"/>
          <w:i/>
          <w:sz w:val="20"/>
        </w:rPr>
      </w:pPr>
      <w:r>
        <w:rPr>
          <w:rFonts w:ascii="times new roman;times" w:hAnsi="times new roman;times"/>
          <w:i/>
          <w:sz w:val="20"/>
        </w:rPr>
        <w:t>Foreign Currency Exchange</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Company has foreign currency exchange risks related to revenue and operating expenses in currencies other than the local currencies in which it operates. The Company is exposed to currency risk from the potential changes in the functional currency values of its assets, liabilities, and cash flows denominated in foreign currencies. </w:t>
      </w:r>
    </w:p>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ELECTROCORE, INC. AND SUBSIDIARIES</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Notes to Consolidated Financial Statements — Continued</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4. Revenue</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tables represent product net sales disaggregated by Channel and Geographic Market (in thousands):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244"/>
        <w:gridCol w:w="97"/>
        <w:gridCol w:w="335"/>
        <w:gridCol w:w="1403"/>
        <w:gridCol w:w="104"/>
        <w:gridCol w:w="104"/>
        <w:gridCol w:w="335"/>
        <w:gridCol w:w="1403"/>
        <w:gridCol w:w="180"/>
      </w:tblGrid>
      <w:tr>
        <w:trPr/>
        <w:tc>
          <w:tcPr>
            <w:tcW w:w="6244" w:type="dxa"/>
            <w:tcBorders/>
            <w:vAlign w:val="bottom"/>
          </w:tcPr>
          <w:p>
            <w:pPr>
              <w:pStyle w:val="TableContents"/>
              <w:pBdr/>
              <w:bidi w:val="0"/>
              <w:spacing w:before="0" w:after="0"/>
              <w:ind w:left="0" w:right="0" w:hanging="0"/>
              <w:jc w:val="left"/>
              <w:rPr/>
            </w:pPr>
            <w:r>
              <w:rPr/>
            </w:r>
          </w:p>
        </w:tc>
        <w:tc>
          <w:tcPr>
            <w:tcW w:w="97" w:type="dxa"/>
            <w:tcBorders/>
            <w:vAlign w:val="center"/>
          </w:tcPr>
          <w:p>
            <w:pPr>
              <w:pStyle w:val="TableContents"/>
              <w:bidi w:val="0"/>
              <w:spacing w:before="0" w:after="283"/>
              <w:ind w:left="0" w:right="0" w:hanging="0"/>
              <w:jc w:val="left"/>
              <w:rPr/>
            </w:pPr>
            <w:r>
              <w:rPr/>
            </w:r>
          </w:p>
        </w:tc>
        <w:tc>
          <w:tcPr>
            <w:tcW w:w="3684" w:type="dxa"/>
            <w:gridSpan w:val="6"/>
            <w:tcBorders/>
            <w:vAlign w:val="bottom"/>
          </w:tcPr>
          <w:p>
            <w:pPr>
              <w:pStyle w:val="TableContents"/>
              <w:pBdr/>
              <w:bidi w:val="0"/>
              <w:spacing w:before="0" w:after="0"/>
              <w:ind w:left="0" w:right="0" w:hanging="0"/>
              <w:jc w:val="center"/>
              <w:rPr>
                <w:b/>
                <w:sz w:val="16"/>
              </w:rPr>
            </w:pPr>
            <w:r>
              <w:rPr>
                <w:b/>
                <w:sz w:val="16"/>
              </w:rPr>
              <w:t xml:space="preserve">Years ended December 31, </w:t>
            </w:r>
          </w:p>
        </w:tc>
        <w:tc>
          <w:tcPr>
            <w:tcW w:w="180" w:type="dxa"/>
            <w:tcBorders/>
            <w:vAlign w:val="bottom"/>
          </w:tcPr>
          <w:p>
            <w:pPr>
              <w:pStyle w:val="TableContents"/>
              <w:bidi w:val="0"/>
              <w:spacing w:before="0" w:after="283"/>
              <w:ind w:left="0" w:right="0" w:hanging="0"/>
              <w:jc w:val="left"/>
              <w:rPr/>
            </w:pPr>
            <w:r>
              <w:rPr/>
            </w:r>
          </w:p>
        </w:tc>
      </w:tr>
      <w:tr>
        <w:trPr/>
        <w:tc>
          <w:tcPr>
            <w:tcW w:w="6244" w:type="dxa"/>
            <w:tcBorders/>
            <w:shd w:fill="FFFFFF" w:val="clear"/>
            <w:vAlign w:val="bottom"/>
          </w:tcPr>
          <w:p>
            <w:pPr>
              <w:pStyle w:val="TableContents"/>
              <w:bidi w:val="0"/>
              <w:spacing w:before="0" w:after="0"/>
              <w:ind w:left="0" w:right="0" w:hanging="0"/>
              <w:jc w:val="left"/>
              <w:rPr>
                <w:b/>
              </w:rPr>
            </w:pPr>
            <w:r>
              <w:rPr>
                <w:b/>
                <w:u w:val="single"/>
              </w:rPr>
              <w:t>Channel</w:t>
            </w:r>
            <w:r>
              <w:rPr>
                <w:b/>
              </w:rPr>
              <w:t>:</w:t>
            </w:r>
          </w:p>
        </w:tc>
        <w:tc>
          <w:tcPr>
            <w:tcW w:w="97" w:type="dxa"/>
            <w:tcBorders/>
            <w:shd w:fill="FFFFFF" w:val="clear"/>
            <w:vAlign w:val="center"/>
          </w:tcPr>
          <w:p>
            <w:pPr>
              <w:pStyle w:val="TableContents"/>
              <w:bidi w:val="0"/>
              <w:spacing w:before="0" w:after="283"/>
              <w:ind w:left="0" w:right="0" w:hanging="0"/>
              <w:jc w:val="left"/>
              <w:rPr/>
            </w:pPr>
            <w:r>
              <w:rPr/>
            </w:r>
          </w:p>
        </w:tc>
        <w:tc>
          <w:tcPr>
            <w:tcW w:w="335" w:type="dxa"/>
            <w:tcBorders/>
            <w:shd w:fill="FFFFFF" w:val="clear"/>
            <w:vAlign w:val="bottom"/>
          </w:tcPr>
          <w:p>
            <w:pPr>
              <w:pStyle w:val="TableContents"/>
              <w:bidi w:val="0"/>
              <w:spacing w:before="0" w:after="283"/>
              <w:ind w:left="0" w:right="0" w:hanging="0"/>
              <w:jc w:val="left"/>
              <w:rPr/>
            </w:pPr>
            <w:r>
              <w:rPr/>
            </w:r>
          </w:p>
        </w:tc>
        <w:tc>
          <w:tcPr>
            <w:tcW w:w="1403" w:type="dxa"/>
            <w:tcBorders/>
            <w:shd w:fill="FFFFFF" w:val="clear"/>
            <w:vAlign w:val="bottom"/>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16"/>
              </w:rPr>
            </w:pPr>
            <w:r>
              <w:rPr>
                <w:rFonts w:ascii="times new roman" w:hAnsi="times new roman"/>
                <w:b/>
                <w:i w:val="false"/>
                <w:caps w:val="false"/>
                <w:smallCaps w:val="false"/>
                <w:color w:val="000000"/>
                <w:spacing w:val="0"/>
                <w:sz w:val="16"/>
              </w:rPr>
              <w:t>2024</w:t>
            </w:r>
          </w:p>
        </w:tc>
        <w:tc>
          <w:tcPr>
            <w:tcW w:w="104" w:type="dxa"/>
            <w:tcBorders/>
            <w:shd w:fill="FFFFFF" w:val="clear"/>
            <w:vAlign w:val="bottom"/>
          </w:tcPr>
          <w:p>
            <w:pPr>
              <w:pStyle w:val="TableContents"/>
              <w:bidi w:val="0"/>
              <w:spacing w:before="0" w:after="283"/>
              <w:ind w:left="0" w:right="0" w:hanging="0"/>
              <w:jc w:val="left"/>
              <w:rPr/>
            </w:pPr>
            <w:r>
              <w:rPr/>
            </w:r>
          </w:p>
        </w:tc>
        <w:tc>
          <w:tcPr>
            <w:tcW w:w="104" w:type="dxa"/>
            <w:tcBorders/>
            <w:shd w:fill="FFFFFF" w:val="clear"/>
            <w:vAlign w:val="bottom"/>
          </w:tcPr>
          <w:p>
            <w:pPr>
              <w:pStyle w:val="TableContents"/>
              <w:bidi w:val="0"/>
              <w:spacing w:before="0" w:after="283"/>
              <w:ind w:left="0" w:right="0" w:hanging="0"/>
              <w:jc w:val="left"/>
              <w:rPr/>
            </w:pPr>
            <w:r>
              <w:rPr/>
            </w:r>
          </w:p>
        </w:tc>
        <w:tc>
          <w:tcPr>
            <w:tcW w:w="335" w:type="dxa"/>
            <w:tcBorders/>
            <w:shd w:fill="FFFFFF" w:val="clear"/>
            <w:vAlign w:val="bottom"/>
          </w:tcPr>
          <w:p>
            <w:pPr>
              <w:pStyle w:val="TableContents"/>
              <w:bidi w:val="0"/>
              <w:spacing w:before="0" w:after="283"/>
              <w:jc w:val="left"/>
              <w:rPr/>
            </w:pPr>
            <w:r>
              <w:rPr/>
            </w:r>
          </w:p>
        </w:tc>
        <w:tc>
          <w:tcPr>
            <w:tcW w:w="1403" w:type="dxa"/>
            <w:tcBorders/>
            <w:shd w:fill="FFFFFF" w:val="clear"/>
            <w:vAlign w:val="bottom"/>
          </w:tcPr>
          <w:p>
            <w:pPr>
              <w:pStyle w:val="TableContents"/>
              <w:bidi w:val="0"/>
              <w:spacing w:before="0" w:after="283"/>
              <w:ind w:left="0" w:right="0" w:hanging="0"/>
              <w:jc w:val="center"/>
              <w:rPr>
                <w:b/>
                <w:sz w:val="16"/>
              </w:rPr>
            </w:pPr>
            <w:r>
              <w:rPr>
                <w:b/>
                <w:sz w:val="16"/>
              </w:rPr>
              <w:t>2023</w:t>
            </w:r>
          </w:p>
        </w:tc>
        <w:tc>
          <w:tcPr>
            <w:tcW w:w="180" w:type="dxa"/>
            <w:tcBorders/>
            <w:shd w:fill="FFFFFF" w:val="clear"/>
            <w:vAlign w:val="bottom"/>
          </w:tcPr>
          <w:p>
            <w:pPr>
              <w:pStyle w:val="TableContents"/>
              <w:bidi w:val="0"/>
              <w:spacing w:before="0" w:after="283"/>
              <w:ind w:left="0" w:right="0" w:hanging="0"/>
              <w:jc w:val="left"/>
              <w:rPr/>
            </w:pPr>
            <w:r>
              <w:rPr/>
            </w:r>
          </w:p>
        </w:tc>
      </w:tr>
      <w:tr>
        <w:trPr/>
        <w:tc>
          <w:tcPr>
            <w:tcW w:w="6244" w:type="dxa"/>
            <w:tcBorders/>
            <w:shd w:fill="CCEEFC" w:val="clear"/>
            <w:vAlign w:val="bottom"/>
          </w:tcPr>
          <w:p>
            <w:pPr>
              <w:pStyle w:val="TableContents"/>
              <w:bidi w:val="0"/>
              <w:spacing w:before="0" w:after="0"/>
              <w:ind w:left="0" w:right="0" w:hanging="0"/>
              <w:jc w:val="left"/>
              <w:rPr/>
            </w:pPr>
            <w:r>
              <w:rPr/>
              <w:t>Rx gammaCore - VA</w:t>
            </w:r>
          </w:p>
        </w:tc>
        <w:tc>
          <w:tcPr>
            <w:tcW w:w="97" w:type="dxa"/>
            <w:tcBorders/>
            <w:shd w:fill="CCEEFC" w:val="clear"/>
            <w:vAlign w:val="center"/>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03" w:type="dxa"/>
            <w:tcBorders/>
            <w:shd w:fill="CCEEFC" w:val="clear"/>
            <w:vAlign w:val="bottom"/>
          </w:tcPr>
          <w:p>
            <w:pPr>
              <w:pStyle w:val="TableContents"/>
              <w:bidi w:val="0"/>
              <w:spacing w:before="0" w:after="0"/>
              <w:ind w:left="0" w:right="0" w:hanging="0"/>
              <w:jc w:val="right"/>
              <w:rPr/>
            </w:pPr>
            <w:r>
              <w:rPr/>
              <w:t>17,788</w:t>
            </w:r>
          </w:p>
        </w:tc>
        <w:tc>
          <w:tcPr>
            <w:tcW w:w="104" w:type="dxa"/>
            <w:tcBorders/>
            <w:shd w:fill="CCEEFC" w:val="clear"/>
            <w:vAlign w:val="bottom"/>
          </w:tcPr>
          <w:p>
            <w:pPr>
              <w:pStyle w:val="TableContents"/>
              <w:bidi w:val="0"/>
              <w:spacing w:before="0" w:after="283"/>
              <w:ind w:left="0" w:right="0" w:hanging="0"/>
              <w:jc w:val="left"/>
              <w:rPr/>
            </w:pPr>
            <w:r>
              <w:rPr/>
            </w:r>
          </w:p>
        </w:tc>
        <w:tc>
          <w:tcPr>
            <w:tcW w:w="104" w:type="dxa"/>
            <w:tcBorders/>
            <w:shd w:fill="CCEEFC" w:val="clear"/>
            <w:vAlign w:val="bottom"/>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03" w:type="dxa"/>
            <w:tcBorders/>
            <w:shd w:fill="CCEEFC" w:val="clear"/>
            <w:vAlign w:val="bottom"/>
          </w:tcPr>
          <w:p>
            <w:pPr>
              <w:pStyle w:val="TableContents"/>
              <w:bidi w:val="0"/>
              <w:spacing w:before="0" w:after="0"/>
              <w:ind w:left="0" w:right="0" w:hanging="0"/>
              <w:jc w:val="right"/>
              <w:rPr/>
            </w:pPr>
            <w:r>
              <w:rPr/>
              <w:t>9,636</w:t>
            </w:r>
          </w:p>
        </w:tc>
        <w:tc>
          <w:tcPr>
            <w:tcW w:w="180" w:type="dxa"/>
            <w:tcBorders/>
            <w:shd w:fill="CCEEFC" w:val="clear"/>
            <w:vAlign w:val="bottom"/>
          </w:tcPr>
          <w:p>
            <w:pPr>
              <w:pStyle w:val="TableContents"/>
              <w:bidi w:val="0"/>
              <w:spacing w:before="0" w:after="283"/>
              <w:ind w:left="0" w:right="0" w:hanging="0"/>
              <w:jc w:val="left"/>
              <w:rPr/>
            </w:pPr>
            <w:r>
              <w:rPr/>
            </w:r>
          </w:p>
        </w:tc>
      </w:tr>
      <w:tr>
        <w:trPr/>
        <w:tc>
          <w:tcPr>
            <w:tcW w:w="6244" w:type="dxa"/>
            <w:tcBorders/>
            <w:vAlign w:val="bottom"/>
          </w:tcPr>
          <w:p>
            <w:pPr>
              <w:pStyle w:val="TableContents"/>
              <w:bidi w:val="0"/>
              <w:spacing w:before="0" w:after="0"/>
              <w:ind w:left="0" w:right="0" w:hanging="0"/>
              <w:jc w:val="left"/>
              <w:rPr/>
            </w:pPr>
            <w:r>
              <w:rPr/>
              <w:t>Rx gammaCore - U.S. Commercial</w:t>
            </w:r>
          </w:p>
        </w:tc>
        <w:tc>
          <w:tcPr>
            <w:tcW w:w="97" w:type="dxa"/>
            <w:tcBorders/>
            <w:vAlign w:val="center"/>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283"/>
              <w:ind w:left="0" w:right="0" w:hanging="0"/>
              <w:jc w:val="left"/>
              <w:rPr/>
            </w:pPr>
            <w:r>
              <w:rPr/>
            </w:r>
          </w:p>
        </w:tc>
        <w:tc>
          <w:tcPr>
            <w:tcW w:w="1403" w:type="dxa"/>
            <w:tcBorders/>
            <w:vAlign w:val="bottom"/>
          </w:tcPr>
          <w:p>
            <w:pPr>
              <w:pStyle w:val="TableContents"/>
              <w:bidi w:val="0"/>
              <w:spacing w:before="0" w:after="0"/>
              <w:ind w:left="0" w:right="0" w:hanging="0"/>
              <w:jc w:val="right"/>
              <w:rPr/>
            </w:pPr>
            <w:r>
              <w:rPr/>
              <w:t>1,536</w:t>
            </w:r>
          </w:p>
        </w:tc>
        <w:tc>
          <w:tcPr>
            <w:tcW w:w="104" w:type="dxa"/>
            <w:tcBorders/>
            <w:vAlign w:val="bottom"/>
          </w:tcPr>
          <w:p>
            <w:pPr>
              <w:pStyle w:val="TableContents"/>
              <w:bidi w:val="0"/>
              <w:spacing w:before="0" w:after="283"/>
              <w:ind w:left="0" w:right="0" w:hanging="0"/>
              <w:jc w:val="left"/>
              <w:rPr/>
            </w:pPr>
            <w:r>
              <w:rPr/>
            </w:r>
          </w:p>
        </w:tc>
        <w:tc>
          <w:tcPr>
            <w:tcW w:w="104" w:type="dxa"/>
            <w:tcBorders/>
            <w:vAlign w:val="bottom"/>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283"/>
              <w:ind w:left="0" w:right="0" w:hanging="0"/>
              <w:jc w:val="left"/>
              <w:rPr/>
            </w:pPr>
            <w:r>
              <w:rPr/>
            </w:r>
          </w:p>
        </w:tc>
        <w:tc>
          <w:tcPr>
            <w:tcW w:w="1403" w:type="dxa"/>
            <w:tcBorders/>
            <w:vAlign w:val="bottom"/>
          </w:tcPr>
          <w:p>
            <w:pPr>
              <w:pStyle w:val="TableContents"/>
              <w:bidi w:val="0"/>
              <w:spacing w:before="0" w:after="0"/>
              <w:ind w:left="0" w:right="0" w:hanging="0"/>
              <w:jc w:val="right"/>
              <w:rPr/>
            </w:pPr>
            <w:r>
              <w:rPr/>
              <w:t>1,797</w:t>
            </w:r>
          </w:p>
        </w:tc>
        <w:tc>
          <w:tcPr>
            <w:tcW w:w="180" w:type="dxa"/>
            <w:tcBorders/>
            <w:vAlign w:val="bottom"/>
          </w:tcPr>
          <w:p>
            <w:pPr>
              <w:pStyle w:val="TableContents"/>
              <w:bidi w:val="0"/>
              <w:spacing w:before="0" w:after="283"/>
              <w:ind w:left="0" w:right="0" w:hanging="0"/>
              <w:jc w:val="left"/>
              <w:rPr/>
            </w:pPr>
            <w:r>
              <w:rPr/>
            </w:r>
          </w:p>
        </w:tc>
      </w:tr>
      <w:tr>
        <w:trPr/>
        <w:tc>
          <w:tcPr>
            <w:tcW w:w="6244" w:type="dxa"/>
            <w:tcBorders/>
            <w:shd w:fill="CCEEFC" w:val="clear"/>
            <w:vAlign w:val="bottom"/>
          </w:tcPr>
          <w:p>
            <w:pPr>
              <w:pStyle w:val="TableContents"/>
              <w:bidi w:val="0"/>
              <w:spacing w:before="0" w:after="0"/>
              <w:ind w:left="0" w:right="0" w:hanging="0"/>
              <w:jc w:val="left"/>
              <w:rPr/>
            </w:pPr>
            <w:r>
              <w:rPr/>
              <w:t>Outside the United States</w:t>
            </w:r>
          </w:p>
        </w:tc>
        <w:tc>
          <w:tcPr>
            <w:tcW w:w="97" w:type="dxa"/>
            <w:tcBorders/>
            <w:shd w:fill="CCEEFC" w:val="clear"/>
            <w:vAlign w:val="center"/>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bidi w:val="0"/>
              <w:spacing w:before="0" w:after="283"/>
              <w:ind w:left="0" w:right="0" w:hanging="0"/>
              <w:jc w:val="left"/>
              <w:rPr/>
            </w:pPr>
            <w:r>
              <w:rPr/>
            </w:r>
          </w:p>
        </w:tc>
        <w:tc>
          <w:tcPr>
            <w:tcW w:w="1403" w:type="dxa"/>
            <w:tcBorders/>
            <w:shd w:fill="CCEEFC" w:val="clear"/>
            <w:vAlign w:val="bottom"/>
          </w:tcPr>
          <w:p>
            <w:pPr>
              <w:pStyle w:val="TableContents"/>
              <w:bidi w:val="0"/>
              <w:spacing w:before="0" w:after="0"/>
              <w:ind w:left="0" w:right="0" w:hanging="0"/>
              <w:jc w:val="right"/>
              <w:rPr/>
            </w:pPr>
            <w:r>
              <w:rPr/>
              <w:t>1,850</w:t>
            </w:r>
          </w:p>
        </w:tc>
        <w:tc>
          <w:tcPr>
            <w:tcW w:w="104" w:type="dxa"/>
            <w:tcBorders/>
            <w:shd w:fill="CCEEFC" w:val="clear"/>
            <w:vAlign w:val="bottom"/>
          </w:tcPr>
          <w:p>
            <w:pPr>
              <w:pStyle w:val="TableContents"/>
              <w:bidi w:val="0"/>
              <w:spacing w:before="0" w:after="283"/>
              <w:ind w:left="0" w:right="0" w:hanging="0"/>
              <w:jc w:val="left"/>
              <w:rPr/>
            </w:pPr>
            <w:r>
              <w:rPr/>
            </w:r>
          </w:p>
        </w:tc>
        <w:tc>
          <w:tcPr>
            <w:tcW w:w="104" w:type="dxa"/>
            <w:tcBorders/>
            <w:shd w:fill="CCEEFC" w:val="clear"/>
            <w:vAlign w:val="bottom"/>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bidi w:val="0"/>
              <w:spacing w:before="0" w:after="283"/>
              <w:ind w:left="0" w:right="0" w:hanging="0"/>
              <w:jc w:val="left"/>
              <w:rPr/>
            </w:pPr>
            <w:r>
              <w:rPr/>
            </w:r>
          </w:p>
        </w:tc>
        <w:tc>
          <w:tcPr>
            <w:tcW w:w="1403" w:type="dxa"/>
            <w:tcBorders/>
            <w:shd w:fill="CCEEFC" w:val="clear"/>
            <w:vAlign w:val="bottom"/>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1,821</w:t>
            </w:r>
          </w:p>
        </w:tc>
        <w:tc>
          <w:tcPr>
            <w:tcW w:w="180" w:type="dxa"/>
            <w:tcBorders/>
            <w:shd w:fill="CCEEFC" w:val="clear"/>
            <w:vAlign w:val="bottom"/>
          </w:tcPr>
          <w:p>
            <w:pPr>
              <w:pStyle w:val="TableContents"/>
              <w:bidi w:val="0"/>
              <w:spacing w:before="0" w:after="283"/>
              <w:ind w:left="0" w:right="0" w:hanging="0"/>
              <w:jc w:val="left"/>
              <w:rPr/>
            </w:pPr>
            <w:r>
              <w:rPr/>
            </w:r>
          </w:p>
        </w:tc>
      </w:tr>
      <w:tr>
        <w:trPr/>
        <w:tc>
          <w:tcPr>
            <w:tcW w:w="6244" w:type="dxa"/>
            <w:tcBorders/>
            <w:vAlign w:val="bottom"/>
          </w:tcPr>
          <w:p>
            <w:pPr>
              <w:pStyle w:val="TableContents"/>
              <w:bidi w:val="0"/>
              <w:spacing w:before="0" w:after="0"/>
              <w:ind w:left="0" w:right="0" w:hanging="0"/>
              <w:jc w:val="left"/>
              <w:rPr/>
            </w:pPr>
            <w:r>
              <w:rPr/>
              <w:t>Truvaga</w:t>
            </w:r>
          </w:p>
        </w:tc>
        <w:tc>
          <w:tcPr>
            <w:tcW w:w="97" w:type="dxa"/>
            <w:tcBorders/>
            <w:vAlign w:val="center"/>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283"/>
              <w:ind w:left="0" w:right="0" w:hanging="0"/>
              <w:jc w:val="left"/>
              <w:rPr/>
            </w:pPr>
            <w:r>
              <w:rPr/>
            </w:r>
          </w:p>
        </w:tc>
        <w:tc>
          <w:tcPr>
            <w:tcW w:w="1403" w:type="dxa"/>
            <w:tcBorders/>
            <w:vAlign w:val="bottom"/>
          </w:tcPr>
          <w:p>
            <w:pPr>
              <w:pStyle w:val="TableContents"/>
              <w:bidi w:val="0"/>
              <w:spacing w:before="0" w:after="0"/>
              <w:ind w:left="0" w:right="0" w:hanging="0"/>
              <w:jc w:val="right"/>
              <w:rPr/>
            </w:pPr>
            <w:r>
              <w:rPr/>
              <w:t>2,811</w:t>
            </w:r>
          </w:p>
        </w:tc>
        <w:tc>
          <w:tcPr>
            <w:tcW w:w="104" w:type="dxa"/>
            <w:tcBorders/>
            <w:vAlign w:val="bottom"/>
          </w:tcPr>
          <w:p>
            <w:pPr>
              <w:pStyle w:val="TableContents"/>
              <w:bidi w:val="0"/>
              <w:spacing w:before="0" w:after="283"/>
              <w:ind w:left="0" w:right="0" w:hanging="0"/>
              <w:jc w:val="left"/>
              <w:rPr/>
            </w:pPr>
            <w:r>
              <w:rPr/>
            </w:r>
          </w:p>
        </w:tc>
        <w:tc>
          <w:tcPr>
            <w:tcW w:w="104" w:type="dxa"/>
            <w:tcBorders/>
            <w:vAlign w:val="bottom"/>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283"/>
              <w:ind w:left="0" w:right="0" w:hanging="0"/>
              <w:jc w:val="left"/>
              <w:rPr/>
            </w:pPr>
            <w:r>
              <w:rPr/>
            </w:r>
          </w:p>
        </w:tc>
        <w:tc>
          <w:tcPr>
            <w:tcW w:w="1403"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1F1F1F"/>
                <w:spacing w:val="0"/>
                <w:sz w:val="18"/>
              </w:rPr>
            </w:pPr>
            <w:r>
              <w:rPr>
                <w:rFonts w:ascii="times new roman;times" w:hAnsi="times new roman;times"/>
                <w:b w:val="false"/>
                <w:i w:val="false"/>
                <w:caps w:val="false"/>
                <w:smallCaps w:val="false"/>
                <w:color w:val="1F1F1F"/>
                <w:spacing w:val="0"/>
                <w:sz w:val="18"/>
              </w:rPr>
              <w:t>1,027</w:t>
            </w:r>
          </w:p>
        </w:tc>
        <w:tc>
          <w:tcPr>
            <w:tcW w:w="180" w:type="dxa"/>
            <w:tcBorders/>
            <w:vAlign w:val="bottom"/>
          </w:tcPr>
          <w:p>
            <w:pPr>
              <w:pStyle w:val="TableContents"/>
              <w:bidi w:val="0"/>
              <w:spacing w:before="0" w:after="283"/>
              <w:ind w:left="0" w:right="0" w:hanging="0"/>
              <w:jc w:val="left"/>
              <w:rPr/>
            </w:pPr>
            <w:r>
              <w:rPr/>
            </w:r>
          </w:p>
        </w:tc>
      </w:tr>
      <w:tr>
        <w:trPr/>
        <w:tc>
          <w:tcPr>
            <w:tcW w:w="6244" w:type="dxa"/>
            <w:tcBorders/>
            <w:shd w:fill="CCEEFC" w:val="clear"/>
            <w:vAlign w:val="bottom"/>
          </w:tcPr>
          <w:p>
            <w:pPr>
              <w:pStyle w:val="TableContents"/>
              <w:bidi w:val="0"/>
              <w:spacing w:before="0" w:after="0"/>
              <w:ind w:left="0" w:right="0" w:hanging="0"/>
              <w:jc w:val="left"/>
              <w:rPr/>
            </w:pPr>
            <w:r>
              <w:rPr/>
              <w:t>TAC-STIM</w:t>
            </w:r>
          </w:p>
        </w:tc>
        <w:tc>
          <w:tcPr>
            <w:tcW w:w="97" w:type="dxa"/>
            <w:tcBorders/>
            <w:shd w:fill="CCEEFC" w:val="clear"/>
            <w:vAlign w:val="center"/>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bidi w:val="0"/>
              <w:spacing w:before="0" w:after="283"/>
              <w:ind w:left="0" w:right="0" w:hanging="0"/>
              <w:jc w:val="left"/>
              <w:rPr/>
            </w:pPr>
            <w:r>
              <w:rPr/>
            </w:r>
          </w:p>
        </w:tc>
        <w:tc>
          <w:tcPr>
            <w:tcW w:w="1403" w:type="dxa"/>
            <w:tcBorders/>
            <w:shd w:fill="CCEEFC" w:val="clear"/>
            <w:vAlign w:val="bottom"/>
          </w:tcPr>
          <w:p>
            <w:pPr>
              <w:pStyle w:val="TableContents"/>
              <w:bidi w:val="0"/>
              <w:spacing w:before="0" w:after="0"/>
              <w:ind w:left="0" w:right="0" w:hanging="0"/>
              <w:jc w:val="right"/>
              <w:rPr/>
            </w:pPr>
            <w:r>
              <w:rPr/>
              <w:t>1,197</w:t>
            </w:r>
          </w:p>
        </w:tc>
        <w:tc>
          <w:tcPr>
            <w:tcW w:w="104" w:type="dxa"/>
            <w:tcBorders/>
            <w:shd w:fill="CCEEFC" w:val="clear"/>
            <w:vAlign w:val="bottom"/>
          </w:tcPr>
          <w:p>
            <w:pPr>
              <w:pStyle w:val="TableContents"/>
              <w:bidi w:val="0"/>
              <w:spacing w:before="0" w:after="283"/>
              <w:ind w:left="0" w:right="0" w:hanging="0"/>
              <w:jc w:val="left"/>
              <w:rPr/>
            </w:pPr>
            <w:r>
              <w:rPr/>
            </w:r>
          </w:p>
        </w:tc>
        <w:tc>
          <w:tcPr>
            <w:tcW w:w="104" w:type="dxa"/>
            <w:tcBorders/>
            <w:shd w:fill="CCEEFC" w:val="clear"/>
            <w:vAlign w:val="bottom"/>
          </w:tcPr>
          <w:p>
            <w:pPr>
              <w:pStyle w:val="TableContents"/>
              <w:bidi w:val="0"/>
              <w:spacing w:before="0" w:after="283"/>
              <w:ind w:left="0" w:right="0" w:hanging="0"/>
              <w:jc w:val="left"/>
              <w:rPr/>
            </w:pPr>
            <w:r>
              <w:rPr/>
            </w:r>
          </w:p>
        </w:tc>
        <w:tc>
          <w:tcPr>
            <w:tcW w:w="335" w:type="dxa"/>
            <w:tcBorders/>
            <w:shd w:fill="CCEEFC" w:val="clear"/>
            <w:vAlign w:val="bottom"/>
          </w:tcPr>
          <w:p>
            <w:pPr>
              <w:pStyle w:val="TableContents"/>
              <w:bidi w:val="0"/>
              <w:spacing w:before="0" w:after="283"/>
              <w:ind w:left="0" w:right="0" w:hanging="0"/>
              <w:jc w:val="left"/>
              <w:rPr/>
            </w:pPr>
            <w:r>
              <w:rPr/>
            </w:r>
          </w:p>
        </w:tc>
        <w:tc>
          <w:tcPr>
            <w:tcW w:w="1403" w:type="dxa"/>
            <w:tcBorders/>
            <w:shd w:fill="CCEEFC"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1F1F1F"/>
                <w:spacing w:val="0"/>
                <w:sz w:val="18"/>
              </w:rPr>
            </w:pPr>
            <w:r>
              <w:rPr>
                <w:rFonts w:ascii="times new roman;times" w:hAnsi="times new roman;times"/>
                <w:b w:val="false"/>
                <w:i w:val="false"/>
                <w:caps w:val="false"/>
                <w:smallCaps w:val="false"/>
                <w:color w:val="1F1F1F"/>
                <w:spacing w:val="0"/>
                <w:sz w:val="18"/>
              </w:rPr>
              <w:t>1,749</w:t>
            </w:r>
          </w:p>
        </w:tc>
        <w:tc>
          <w:tcPr>
            <w:tcW w:w="180" w:type="dxa"/>
            <w:tcBorders/>
            <w:shd w:fill="CCEEFC" w:val="clear"/>
            <w:vAlign w:val="bottom"/>
          </w:tcPr>
          <w:p>
            <w:pPr>
              <w:pStyle w:val="TableContents"/>
              <w:bidi w:val="0"/>
              <w:spacing w:before="0" w:after="283"/>
              <w:ind w:left="0" w:right="0" w:hanging="0"/>
              <w:jc w:val="left"/>
              <w:rPr/>
            </w:pPr>
            <w:r>
              <w:rPr/>
            </w:r>
          </w:p>
        </w:tc>
      </w:tr>
      <w:tr>
        <w:trPr/>
        <w:tc>
          <w:tcPr>
            <w:tcW w:w="6244" w:type="dxa"/>
            <w:tcBorders/>
            <w:vAlign w:val="bottom"/>
          </w:tcPr>
          <w:p>
            <w:pPr>
              <w:pStyle w:val="TableContents"/>
              <w:bidi w:val="0"/>
              <w:spacing w:before="0" w:after="0"/>
              <w:ind w:left="0" w:right="0" w:hanging="0"/>
              <w:jc w:val="left"/>
              <w:rPr/>
            </w:pPr>
            <w:r>
              <w:rPr/>
              <w:t>Total Net Sales</w:t>
            </w:r>
          </w:p>
        </w:tc>
        <w:tc>
          <w:tcPr>
            <w:tcW w:w="97" w:type="dxa"/>
            <w:tcBorders/>
            <w:vAlign w:val="center"/>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0"/>
              <w:ind w:left="0" w:right="0" w:hanging="0"/>
              <w:jc w:val="left"/>
              <w:rPr/>
            </w:pPr>
            <w:r>
              <w:rPr/>
              <w:t>$</w:t>
            </w:r>
          </w:p>
        </w:tc>
        <w:tc>
          <w:tcPr>
            <w:tcW w:w="1403" w:type="dxa"/>
            <w:tcBorders/>
            <w:vAlign w:val="bottom"/>
          </w:tcPr>
          <w:p>
            <w:pPr>
              <w:pStyle w:val="TableContents"/>
              <w:bidi w:val="0"/>
              <w:spacing w:before="0" w:after="0"/>
              <w:ind w:left="0" w:right="0" w:hanging="0"/>
              <w:jc w:val="right"/>
              <w:rPr/>
            </w:pPr>
            <w:r>
              <w:rPr/>
              <w:t>25,182</w:t>
            </w:r>
          </w:p>
        </w:tc>
        <w:tc>
          <w:tcPr>
            <w:tcW w:w="104" w:type="dxa"/>
            <w:tcBorders/>
            <w:vAlign w:val="bottom"/>
          </w:tcPr>
          <w:p>
            <w:pPr>
              <w:pStyle w:val="TableContents"/>
              <w:bidi w:val="0"/>
              <w:spacing w:before="0" w:after="283"/>
              <w:ind w:left="0" w:right="0" w:hanging="0"/>
              <w:jc w:val="left"/>
              <w:rPr/>
            </w:pPr>
            <w:r>
              <w:rPr/>
            </w:r>
          </w:p>
        </w:tc>
        <w:tc>
          <w:tcPr>
            <w:tcW w:w="104" w:type="dxa"/>
            <w:tcBorders/>
            <w:vAlign w:val="bottom"/>
          </w:tcPr>
          <w:p>
            <w:pPr>
              <w:pStyle w:val="TableContents"/>
              <w:bidi w:val="0"/>
              <w:spacing w:before="0" w:after="283"/>
              <w:ind w:left="0" w:right="0" w:hanging="0"/>
              <w:jc w:val="left"/>
              <w:rPr/>
            </w:pPr>
            <w:r>
              <w:rPr/>
            </w:r>
          </w:p>
        </w:tc>
        <w:tc>
          <w:tcPr>
            <w:tcW w:w="335" w:type="dxa"/>
            <w:tcBorders/>
            <w:vAlign w:val="bottom"/>
          </w:tcPr>
          <w:p>
            <w:pPr>
              <w:pStyle w:val="TableContents"/>
              <w:bidi w:val="0"/>
              <w:spacing w:before="0" w:after="0"/>
              <w:ind w:left="0" w:right="0" w:hanging="0"/>
              <w:jc w:val="left"/>
              <w:rPr/>
            </w:pPr>
            <w:r>
              <w:rPr/>
              <w:t>$</w:t>
            </w:r>
          </w:p>
        </w:tc>
        <w:tc>
          <w:tcPr>
            <w:tcW w:w="1403" w:type="dxa"/>
            <w:tcBorders/>
            <w:vAlign w:val="bottom"/>
          </w:tcPr>
          <w:p>
            <w:pPr>
              <w:pStyle w:val="TableContents"/>
              <w:bidi w:val="0"/>
              <w:spacing w:before="0" w:after="0"/>
              <w:ind w:left="0" w:right="0" w:hanging="0"/>
              <w:jc w:val="right"/>
              <w:rPr/>
            </w:pPr>
            <w:r>
              <w:rPr/>
              <w:t>16,030</w:t>
            </w:r>
          </w:p>
        </w:tc>
        <w:tc>
          <w:tcPr>
            <w:tcW w:w="180" w:type="dxa"/>
            <w:tcBorders/>
            <w:vAlign w:val="bottom"/>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u w:val="single"/>
        </w:rPr>
        <w:t>Geographical Market</w:t>
      </w:r>
      <w:r>
        <w:rPr>
          <w:rFonts w:ascii="Times New Roman" w:hAnsi="Times New Roman"/>
          <w:b/>
          <w:sz w:val="20"/>
        </w:rPr>
        <w:t>:</w:t>
      </w:r>
    </w:p>
    <w:tbl>
      <w:tblPr>
        <w:tblW w:w="5000" w:type="pct"/>
        <w:jc w:val="left"/>
        <w:tblInd w:w="0" w:type="dxa"/>
        <w:tblLayout w:type="fixed"/>
        <w:tblCellMar>
          <w:top w:w="0" w:type="dxa"/>
          <w:left w:w="0" w:type="dxa"/>
          <w:bottom w:w="0" w:type="dxa"/>
          <w:right w:w="0" w:type="dxa"/>
        </w:tblCellMar>
      </w:tblPr>
      <w:tblGrid>
        <w:gridCol w:w="4140"/>
        <w:gridCol w:w="343"/>
        <w:gridCol w:w="502"/>
        <w:gridCol w:w="1742"/>
        <w:gridCol w:w="352"/>
        <w:gridCol w:w="352"/>
        <w:gridCol w:w="502"/>
        <w:gridCol w:w="1873"/>
        <w:gridCol w:w="399"/>
      </w:tblGrid>
      <w:tr>
        <w:trPr/>
        <w:tc>
          <w:tcPr>
            <w:tcW w:w="4140" w:type="dxa"/>
            <w:tcBorders/>
            <w:vAlign w:val="center"/>
          </w:tcPr>
          <w:p>
            <w:pPr>
              <w:pStyle w:val="TableContents"/>
              <w:pBdr/>
              <w:bidi w:val="0"/>
              <w:spacing w:before="0" w:after="0"/>
              <w:ind w:left="0" w:right="0" w:hanging="0"/>
              <w:jc w:val="center"/>
              <w:rPr/>
            </w:pPr>
            <w:r>
              <w:rPr/>
              <w:t xml:space="preserve">  </w:t>
            </w:r>
          </w:p>
        </w:tc>
        <w:tc>
          <w:tcPr>
            <w:tcW w:w="343" w:type="dxa"/>
            <w:tcBorders/>
            <w:vAlign w:val="center"/>
          </w:tcPr>
          <w:p>
            <w:pPr>
              <w:pStyle w:val="TableContents"/>
              <w:pBdr/>
              <w:bidi w:val="0"/>
              <w:spacing w:before="0" w:after="0"/>
              <w:ind w:left="0" w:right="0" w:hanging="0"/>
              <w:jc w:val="center"/>
              <w:rPr/>
            </w:pPr>
            <w:r>
              <w:rPr/>
              <w:t xml:space="preserve">  </w:t>
            </w:r>
          </w:p>
        </w:tc>
        <w:tc>
          <w:tcPr>
            <w:tcW w:w="5722" w:type="dxa"/>
            <w:gridSpan w:val="7"/>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r>
      <w:tr>
        <w:trPr/>
        <w:tc>
          <w:tcPr>
            <w:tcW w:w="4140" w:type="dxa"/>
            <w:tcBorders/>
            <w:vAlign w:val="center"/>
          </w:tcPr>
          <w:p>
            <w:pPr>
              <w:pStyle w:val="TableContents"/>
              <w:pBdr/>
              <w:bidi w:val="0"/>
              <w:spacing w:before="0" w:after="0"/>
              <w:ind w:left="0" w:right="0" w:hanging="0"/>
              <w:jc w:val="left"/>
              <w:rPr>
                <w:b/>
                <w:i/>
                <w:sz w:val="16"/>
              </w:rPr>
            </w:pPr>
            <w:r>
              <w:rPr>
                <w:b/>
                <w:i/>
                <w:sz w:val="16"/>
              </w:rPr>
              <w:t>(in thousands)</w:t>
            </w:r>
          </w:p>
        </w:tc>
        <w:tc>
          <w:tcPr>
            <w:tcW w:w="343" w:type="dxa"/>
            <w:tcBorders/>
            <w:vAlign w:val="center"/>
          </w:tcPr>
          <w:p>
            <w:pPr>
              <w:pStyle w:val="TableContents"/>
              <w:pBdr/>
              <w:bidi w:val="0"/>
              <w:spacing w:before="0" w:after="0"/>
              <w:ind w:left="0" w:right="0" w:hanging="0"/>
              <w:jc w:val="center"/>
              <w:rPr/>
            </w:pPr>
            <w:r>
              <w:rPr/>
              <w:t xml:space="preserve">  </w:t>
            </w:r>
          </w:p>
        </w:tc>
        <w:tc>
          <w:tcPr>
            <w:tcW w:w="502" w:type="dxa"/>
            <w:tcBorders/>
            <w:vAlign w:val="center"/>
          </w:tcPr>
          <w:p>
            <w:pPr>
              <w:pStyle w:val="TableContents"/>
              <w:bidi w:val="0"/>
              <w:spacing w:before="0" w:after="283"/>
              <w:ind w:left="0" w:right="0" w:hanging="0"/>
              <w:jc w:val="left"/>
              <w:rPr>
                <w:sz w:val="4"/>
                <w:szCs w:val="4"/>
              </w:rPr>
            </w:pPr>
            <w:r>
              <w:rPr>
                <w:sz w:val="4"/>
                <w:szCs w:val="4"/>
              </w:rPr>
            </w:r>
          </w:p>
        </w:tc>
        <w:tc>
          <w:tcPr>
            <w:tcW w:w="1742"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352" w:type="dxa"/>
            <w:tcBorders/>
            <w:vAlign w:val="center"/>
          </w:tcPr>
          <w:p>
            <w:pPr>
              <w:pStyle w:val="TableContents"/>
              <w:pBdr/>
              <w:bidi w:val="0"/>
              <w:spacing w:before="0" w:after="0"/>
              <w:ind w:left="0" w:right="0" w:hanging="0"/>
              <w:jc w:val="left"/>
              <w:rPr/>
            </w:pPr>
            <w:r>
              <w:rPr/>
              <w:t xml:space="preserve">  </w:t>
            </w:r>
          </w:p>
        </w:tc>
        <w:tc>
          <w:tcPr>
            <w:tcW w:w="352" w:type="dxa"/>
            <w:tcBorders/>
            <w:vAlign w:val="center"/>
          </w:tcPr>
          <w:p>
            <w:pPr>
              <w:pStyle w:val="TableContents"/>
              <w:pBdr/>
              <w:bidi w:val="0"/>
              <w:spacing w:before="0" w:after="0"/>
              <w:ind w:left="0" w:right="0" w:hanging="0"/>
              <w:jc w:val="center"/>
              <w:rPr/>
            </w:pPr>
            <w:r>
              <w:rPr/>
              <w:t xml:space="preserve">  </w:t>
            </w:r>
          </w:p>
        </w:tc>
        <w:tc>
          <w:tcPr>
            <w:tcW w:w="502" w:type="dxa"/>
            <w:tcBorders/>
            <w:vAlign w:val="center"/>
          </w:tcPr>
          <w:p>
            <w:pPr>
              <w:pStyle w:val="TableContents"/>
              <w:bidi w:val="0"/>
              <w:spacing w:before="0" w:after="283"/>
              <w:ind w:left="0" w:right="0" w:hanging="0"/>
              <w:jc w:val="left"/>
              <w:rPr>
                <w:sz w:val="4"/>
                <w:szCs w:val="4"/>
              </w:rPr>
            </w:pPr>
            <w:r>
              <w:rPr>
                <w:sz w:val="4"/>
                <w:szCs w:val="4"/>
              </w:rPr>
            </w:r>
          </w:p>
        </w:tc>
        <w:tc>
          <w:tcPr>
            <w:tcW w:w="1873"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399" w:type="dxa"/>
            <w:tcBorders/>
            <w:vAlign w:val="center"/>
          </w:tcPr>
          <w:p>
            <w:pPr>
              <w:pStyle w:val="TableContents"/>
              <w:pBdr/>
              <w:bidi w:val="0"/>
              <w:spacing w:before="0" w:after="0"/>
              <w:ind w:left="0" w:right="0" w:hanging="0"/>
              <w:jc w:val="left"/>
              <w:rPr/>
            </w:pPr>
            <w:r>
              <w:rPr/>
              <w:t xml:space="preserve">  </w:t>
            </w:r>
          </w:p>
        </w:tc>
      </w:tr>
      <w:tr>
        <w:trPr/>
        <w:tc>
          <w:tcPr>
            <w:tcW w:w="4140" w:type="dxa"/>
            <w:tcBorders/>
            <w:shd w:fill="CCEEFF" w:val="clear"/>
            <w:vAlign w:val="center"/>
          </w:tcPr>
          <w:p>
            <w:pPr>
              <w:pStyle w:val="TableContents"/>
              <w:bidi w:val="0"/>
              <w:spacing w:before="0" w:after="0"/>
              <w:ind w:left="0" w:right="0" w:hanging="0"/>
              <w:jc w:val="left"/>
              <w:rPr>
                <w:b/>
                <w:sz w:val="18"/>
              </w:rPr>
            </w:pPr>
            <w:r>
              <w:rPr>
                <w:b/>
                <w:sz w:val="18"/>
              </w:rPr>
              <w:t>Product revenue</w:t>
            </w:r>
          </w:p>
        </w:tc>
        <w:tc>
          <w:tcPr>
            <w:tcW w:w="343"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742" w:type="dxa"/>
            <w:tcBorders/>
            <w:shd w:fill="CCEEFF" w:val="clear"/>
            <w:vAlign w:val="center"/>
          </w:tcPr>
          <w:p>
            <w:pPr>
              <w:pStyle w:val="TableContents"/>
              <w:bidi w:val="0"/>
              <w:spacing w:before="0" w:after="0"/>
              <w:ind w:left="0" w:right="0" w:hanging="0"/>
              <w:jc w:val="center"/>
              <w:rPr/>
            </w:pPr>
            <w:r>
              <w:rPr/>
              <w:t xml:space="preserve">  </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873" w:type="dxa"/>
            <w:tcBorders/>
            <w:shd w:fill="CCEEFF" w:val="clear"/>
            <w:vAlign w:val="center"/>
          </w:tcPr>
          <w:p>
            <w:pPr>
              <w:pStyle w:val="TableContents"/>
              <w:bidi w:val="0"/>
              <w:spacing w:before="0" w:after="0"/>
              <w:ind w:left="0" w:right="0" w:hanging="0"/>
              <w:jc w:val="left"/>
              <w:rPr/>
            </w:pPr>
            <w:r>
              <w:rPr/>
              <w:t xml:space="preserve">  </w:t>
            </w:r>
          </w:p>
        </w:tc>
        <w:tc>
          <w:tcPr>
            <w:tcW w:w="399" w:type="dxa"/>
            <w:tcBorders/>
            <w:shd w:fill="CCEEFF" w:val="clear"/>
            <w:vAlign w:val="center"/>
          </w:tcPr>
          <w:p>
            <w:pPr>
              <w:pStyle w:val="TableContents"/>
              <w:bidi w:val="0"/>
              <w:spacing w:before="0" w:after="0"/>
              <w:ind w:left="0" w:right="0" w:hanging="0"/>
              <w:jc w:val="left"/>
              <w:rPr/>
            </w:pPr>
            <w:r>
              <w:rPr/>
              <w:t xml:space="preserve">  </w:t>
            </w:r>
          </w:p>
        </w:tc>
      </w:tr>
      <w:tr>
        <w:trPr/>
        <w:tc>
          <w:tcPr>
            <w:tcW w:w="41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United States </w:t>
            </w:r>
          </w:p>
        </w:tc>
        <w:tc>
          <w:tcPr>
            <w:tcW w:w="343" w:type="dxa"/>
            <w:tcBorders/>
            <w:vAlign w:val="center"/>
          </w:tcPr>
          <w:p>
            <w:pPr>
              <w:pStyle w:val="TableContents"/>
              <w:bidi w:val="0"/>
              <w:spacing w:before="0" w:after="0"/>
              <w:ind w:left="0" w:right="0" w:hanging="0"/>
              <w:jc w:val="left"/>
              <w:rPr/>
            </w:pPr>
            <w:r>
              <w:rPr/>
              <w:t xml:space="preserve">  </w:t>
            </w:r>
          </w:p>
        </w:tc>
        <w:tc>
          <w:tcPr>
            <w:tcW w:w="5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4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23,332</w:t>
            </w:r>
          </w:p>
        </w:tc>
        <w:tc>
          <w:tcPr>
            <w:tcW w:w="352" w:type="dxa"/>
            <w:tcBorders/>
            <w:vAlign w:val="center"/>
          </w:tcPr>
          <w:p>
            <w:pPr>
              <w:pStyle w:val="TableContents"/>
              <w:bidi w:val="0"/>
              <w:spacing w:before="0" w:after="0"/>
              <w:ind w:left="0" w:right="0" w:hanging="0"/>
              <w:jc w:val="left"/>
              <w:rPr/>
            </w:pPr>
            <w:r>
              <w:rPr/>
              <w:t xml:space="preserve">  </w:t>
            </w:r>
          </w:p>
        </w:tc>
        <w:tc>
          <w:tcPr>
            <w:tcW w:w="352" w:type="dxa"/>
            <w:tcBorders/>
            <w:vAlign w:val="center"/>
          </w:tcPr>
          <w:p>
            <w:pPr>
              <w:pStyle w:val="TableContents"/>
              <w:bidi w:val="0"/>
              <w:spacing w:before="0" w:after="0"/>
              <w:ind w:left="0" w:right="0" w:hanging="0"/>
              <w:jc w:val="left"/>
              <w:rPr/>
            </w:pPr>
            <w:r>
              <w:rPr/>
              <w:t xml:space="preserve">  </w:t>
            </w:r>
          </w:p>
        </w:tc>
        <w:tc>
          <w:tcPr>
            <w:tcW w:w="5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87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14,209 </w:t>
            </w:r>
          </w:p>
        </w:tc>
        <w:tc>
          <w:tcPr>
            <w:tcW w:w="399" w:type="dxa"/>
            <w:tcBorders/>
            <w:vAlign w:val="center"/>
          </w:tcPr>
          <w:p>
            <w:pPr>
              <w:pStyle w:val="TableContents"/>
              <w:bidi w:val="0"/>
              <w:spacing w:before="0" w:after="0"/>
              <w:ind w:left="0" w:right="0" w:hanging="0"/>
              <w:jc w:val="left"/>
              <w:rPr/>
            </w:pPr>
            <w:r>
              <w:rPr/>
              <w:t xml:space="preserve">  </w:t>
            </w:r>
          </w:p>
        </w:tc>
      </w:tr>
      <w:tr>
        <w:trPr/>
        <w:tc>
          <w:tcPr>
            <w:tcW w:w="4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United Kingdom </w:t>
            </w:r>
          </w:p>
        </w:tc>
        <w:tc>
          <w:tcPr>
            <w:tcW w:w="343"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74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1,666</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8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1,571 </w:t>
            </w:r>
          </w:p>
        </w:tc>
        <w:tc>
          <w:tcPr>
            <w:tcW w:w="399" w:type="dxa"/>
            <w:tcBorders/>
            <w:shd w:fill="CCEEFF" w:val="clear"/>
            <w:vAlign w:val="center"/>
          </w:tcPr>
          <w:p>
            <w:pPr>
              <w:pStyle w:val="TableContents"/>
              <w:bidi w:val="0"/>
              <w:spacing w:before="0" w:after="0"/>
              <w:ind w:left="0" w:right="0" w:hanging="0"/>
              <w:jc w:val="left"/>
              <w:rPr/>
            </w:pPr>
            <w:r>
              <w:rPr/>
              <w:t xml:space="preserve">  </w:t>
            </w:r>
          </w:p>
        </w:tc>
      </w:tr>
      <w:tr>
        <w:trPr/>
        <w:tc>
          <w:tcPr>
            <w:tcW w:w="41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343" w:type="dxa"/>
            <w:tcBorders/>
            <w:vAlign w:val="center"/>
          </w:tcPr>
          <w:p>
            <w:pPr>
              <w:pStyle w:val="TableContents"/>
              <w:bidi w:val="0"/>
              <w:spacing w:before="0" w:after="0"/>
              <w:ind w:left="0" w:right="0" w:hanging="0"/>
              <w:jc w:val="left"/>
              <w:rPr/>
            </w:pPr>
            <w:r>
              <w:rPr/>
              <w:t xml:space="preserve">  </w:t>
            </w:r>
          </w:p>
        </w:tc>
        <w:tc>
          <w:tcPr>
            <w:tcW w:w="502" w:type="dxa"/>
            <w:tcBorders/>
            <w:vAlign w:val="center"/>
          </w:tcPr>
          <w:p>
            <w:pPr>
              <w:pStyle w:val="TableContents"/>
              <w:bidi w:val="0"/>
              <w:spacing w:before="0" w:after="0"/>
              <w:ind w:left="0" w:right="0" w:hanging="0"/>
              <w:jc w:val="left"/>
              <w:rPr/>
            </w:pPr>
            <w:r>
              <w:rPr/>
              <w:t xml:space="preserve">  </w:t>
            </w:r>
          </w:p>
        </w:tc>
        <w:tc>
          <w:tcPr>
            <w:tcW w:w="1742" w:type="dxa"/>
            <w:tcBorders/>
            <w:vAlign w:val="center"/>
          </w:tcPr>
          <w:p>
            <w:pPr>
              <w:pStyle w:val="TableContents"/>
              <w:pBdr/>
              <w:bidi w:val="0"/>
              <w:spacing w:before="0" w:after="0"/>
              <w:ind w:left="0" w:right="0" w:hanging="0"/>
              <w:jc w:val="right"/>
              <w:rPr/>
            </w:pPr>
            <w:r>
              <w:rPr/>
              <w:t>119</w:t>
            </w:r>
          </w:p>
        </w:tc>
        <w:tc>
          <w:tcPr>
            <w:tcW w:w="352" w:type="dxa"/>
            <w:tcBorders/>
            <w:vAlign w:val="center"/>
          </w:tcPr>
          <w:p>
            <w:pPr>
              <w:pStyle w:val="TableContents"/>
              <w:bidi w:val="0"/>
              <w:spacing w:before="0" w:after="0"/>
              <w:ind w:left="0" w:right="0" w:hanging="0"/>
              <w:jc w:val="left"/>
              <w:rPr/>
            </w:pPr>
            <w:r>
              <w:rPr/>
              <w:t xml:space="preserve">  </w:t>
            </w:r>
          </w:p>
        </w:tc>
        <w:tc>
          <w:tcPr>
            <w:tcW w:w="352" w:type="dxa"/>
            <w:tcBorders/>
            <w:vAlign w:val="center"/>
          </w:tcPr>
          <w:p>
            <w:pPr>
              <w:pStyle w:val="TableContents"/>
              <w:bidi w:val="0"/>
              <w:spacing w:before="0" w:after="0"/>
              <w:ind w:left="0" w:right="0" w:hanging="0"/>
              <w:jc w:val="left"/>
              <w:rPr/>
            </w:pPr>
            <w:r>
              <w:rPr/>
              <w:t xml:space="preserve">  </w:t>
            </w:r>
          </w:p>
        </w:tc>
        <w:tc>
          <w:tcPr>
            <w:tcW w:w="502" w:type="dxa"/>
            <w:tcBorders/>
            <w:vAlign w:val="center"/>
          </w:tcPr>
          <w:p>
            <w:pPr>
              <w:pStyle w:val="TableContents"/>
              <w:bidi w:val="0"/>
              <w:spacing w:before="0" w:after="0"/>
              <w:ind w:left="0" w:right="0" w:hanging="0"/>
              <w:jc w:val="left"/>
              <w:rPr/>
            </w:pPr>
            <w:r>
              <w:rPr/>
              <w:t xml:space="preserve">  </w:t>
            </w:r>
          </w:p>
        </w:tc>
        <w:tc>
          <w:tcPr>
            <w:tcW w:w="187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148</w:t>
            </w:r>
          </w:p>
        </w:tc>
        <w:tc>
          <w:tcPr>
            <w:tcW w:w="399" w:type="dxa"/>
            <w:tcBorders/>
            <w:vAlign w:val="center"/>
          </w:tcPr>
          <w:p>
            <w:pPr>
              <w:pStyle w:val="TableContents"/>
              <w:bidi w:val="0"/>
              <w:spacing w:before="0" w:after="0"/>
              <w:ind w:left="0" w:right="0" w:hanging="0"/>
              <w:jc w:val="left"/>
              <w:rPr/>
            </w:pPr>
            <w:r>
              <w:rPr/>
              <w:t xml:space="preserve">  </w:t>
            </w:r>
          </w:p>
        </w:tc>
      </w:tr>
      <w:tr>
        <w:trPr/>
        <w:tc>
          <w:tcPr>
            <w:tcW w:w="414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License revenue </w:t>
            </w:r>
          </w:p>
        </w:tc>
        <w:tc>
          <w:tcPr>
            <w:tcW w:w="343"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742" w:type="dxa"/>
            <w:tcBorders/>
            <w:shd w:fill="CCEEFF" w:val="clear"/>
            <w:vAlign w:val="center"/>
          </w:tcPr>
          <w:p>
            <w:pPr>
              <w:pStyle w:val="TableContents"/>
              <w:pBdr/>
              <w:bidi w:val="0"/>
              <w:spacing w:before="0" w:after="0"/>
              <w:ind w:left="0" w:right="0" w:hanging="0"/>
              <w:jc w:val="right"/>
              <w:rPr/>
            </w:pPr>
            <w:r>
              <w:rPr/>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873" w:type="dxa"/>
            <w:tcBorders/>
            <w:shd w:fill="CCEEFF" w:val="clear"/>
            <w:vAlign w:val="center"/>
          </w:tcPr>
          <w:p>
            <w:pPr>
              <w:pStyle w:val="TableContents"/>
              <w:pBdr/>
              <w:bidi w:val="0"/>
              <w:spacing w:before="0" w:after="0"/>
              <w:ind w:left="0" w:right="0" w:hanging="0"/>
              <w:jc w:val="right"/>
              <w:rPr/>
            </w:pPr>
            <w:r>
              <w:rPr/>
            </w:r>
          </w:p>
        </w:tc>
        <w:tc>
          <w:tcPr>
            <w:tcW w:w="399" w:type="dxa"/>
            <w:tcBorders/>
            <w:shd w:fill="CCEEFF" w:val="clear"/>
            <w:vAlign w:val="center"/>
          </w:tcPr>
          <w:p>
            <w:pPr>
              <w:pStyle w:val="TableContents"/>
              <w:bidi w:val="0"/>
              <w:spacing w:before="0" w:after="0"/>
              <w:ind w:left="0" w:right="0" w:hanging="0"/>
              <w:jc w:val="left"/>
              <w:rPr/>
            </w:pPr>
            <w:r>
              <w:rPr/>
              <w:t xml:space="preserve">  </w:t>
            </w:r>
          </w:p>
        </w:tc>
      </w:tr>
      <w:tr>
        <w:trPr/>
        <w:tc>
          <w:tcPr>
            <w:tcW w:w="4140" w:type="dxa"/>
            <w:tcBorders/>
            <w:vAlign w:val="center"/>
          </w:tcPr>
          <w:p>
            <w:pPr>
              <w:pStyle w:val="TableContents"/>
              <w:bidi w:val="0"/>
              <w:spacing w:before="0" w:after="283"/>
              <w:jc w:val="left"/>
              <w:rPr/>
            </w:pPr>
            <w:r>
              <w:rPr/>
              <w:t>Japan</w:t>
            </w:r>
          </w:p>
        </w:tc>
        <w:tc>
          <w:tcPr>
            <w:tcW w:w="343" w:type="dxa"/>
            <w:tcBorders/>
            <w:vAlign w:val="center"/>
          </w:tcPr>
          <w:p>
            <w:pPr>
              <w:pStyle w:val="TableContents"/>
              <w:bidi w:val="0"/>
              <w:spacing w:before="0" w:after="283"/>
              <w:jc w:val="left"/>
              <w:rPr/>
            </w:pPr>
            <w:r>
              <w:rPr/>
            </w:r>
          </w:p>
        </w:tc>
        <w:tc>
          <w:tcPr>
            <w:tcW w:w="502" w:type="dxa"/>
            <w:tcBorders/>
            <w:vAlign w:val="center"/>
          </w:tcPr>
          <w:p>
            <w:pPr>
              <w:pStyle w:val="TableContents"/>
              <w:bidi w:val="0"/>
              <w:spacing w:before="0" w:after="283"/>
              <w:ind w:left="0" w:right="0" w:hanging="0"/>
              <w:jc w:val="left"/>
              <w:rPr/>
            </w:pPr>
            <w:r>
              <w:rPr/>
            </w:r>
          </w:p>
        </w:tc>
        <w:tc>
          <w:tcPr>
            <w:tcW w:w="1742" w:type="dxa"/>
            <w:tcBorders/>
            <w:vAlign w:val="center"/>
          </w:tcPr>
          <w:p>
            <w:pPr>
              <w:pStyle w:val="TableContents"/>
              <w:bidi w:val="0"/>
              <w:spacing w:before="0" w:after="0"/>
              <w:jc w:val="right"/>
              <w:rPr/>
            </w:pPr>
            <w:r>
              <w:rPr/>
              <w:t>65</w:t>
            </w:r>
          </w:p>
        </w:tc>
        <w:tc>
          <w:tcPr>
            <w:tcW w:w="352" w:type="dxa"/>
            <w:tcBorders/>
            <w:vAlign w:val="center"/>
          </w:tcPr>
          <w:p>
            <w:pPr>
              <w:pStyle w:val="TableContents"/>
              <w:bidi w:val="0"/>
              <w:spacing w:before="0" w:after="283"/>
              <w:jc w:val="left"/>
              <w:rPr/>
            </w:pPr>
            <w:r>
              <w:rPr/>
            </w:r>
          </w:p>
        </w:tc>
        <w:tc>
          <w:tcPr>
            <w:tcW w:w="352" w:type="dxa"/>
            <w:tcBorders/>
            <w:vAlign w:val="center"/>
          </w:tcPr>
          <w:p>
            <w:pPr>
              <w:pStyle w:val="TableContents"/>
              <w:bidi w:val="0"/>
              <w:spacing w:before="0" w:after="283"/>
              <w:jc w:val="left"/>
              <w:rPr/>
            </w:pPr>
            <w:r>
              <w:rPr/>
            </w:r>
          </w:p>
        </w:tc>
        <w:tc>
          <w:tcPr>
            <w:tcW w:w="502" w:type="dxa"/>
            <w:tcBorders/>
            <w:vAlign w:val="center"/>
          </w:tcPr>
          <w:p>
            <w:pPr>
              <w:pStyle w:val="TableContents"/>
              <w:bidi w:val="0"/>
              <w:spacing w:before="0" w:after="283"/>
              <w:ind w:left="0" w:right="0" w:hanging="0"/>
              <w:jc w:val="left"/>
              <w:rPr/>
            </w:pPr>
            <w:r>
              <w:rPr/>
            </w:r>
          </w:p>
        </w:tc>
        <w:tc>
          <w:tcPr>
            <w:tcW w:w="1873" w:type="dxa"/>
            <w:tcBorders/>
            <w:vAlign w:val="center"/>
          </w:tcPr>
          <w:p>
            <w:pPr>
              <w:pStyle w:val="TableContents"/>
              <w:bidi w:val="0"/>
              <w:spacing w:before="0" w:after="0"/>
              <w:jc w:val="right"/>
              <w:rPr/>
            </w:pPr>
            <w:r>
              <w:rPr/>
              <w:t>102</w:t>
            </w:r>
          </w:p>
        </w:tc>
        <w:tc>
          <w:tcPr>
            <w:tcW w:w="399" w:type="dxa"/>
            <w:tcBorders/>
            <w:vAlign w:val="center"/>
          </w:tcPr>
          <w:p>
            <w:pPr>
              <w:pStyle w:val="TableContents"/>
              <w:bidi w:val="0"/>
              <w:spacing w:before="0" w:after="283"/>
              <w:jc w:val="left"/>
              <w:rPr/>
            </w:pPr>
            <w:r>
              <w:rPr/>
            </w:r>
          </w:p>
        </w:tc>
      </w:tr>
      <w:tr>
        <w:trPr/>
        <w:tc>
          <w:tcPr>
            <w:tcW w:w="4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Net Sales </w:t>
            </w:r>
          </w:p>
        </w:tc>
        <w:tc>
          <w:tcPr>
            <w:tcW w:w="343"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4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25,182</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352"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8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16,030 </w:t>
            </w:r>
          </w:p>
        </w:tc>
        <w:tc>
          <w:tcPr>
            <w:tcW w:w="399"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The Company generally invoices the customer and recognizes revenue once its performance obligations are satisfied, at which point payment is unconditional. Agreed upon payment terms with customers are within 30 days of shipment. Accordingly, contracts with customers do not include a significant financing component.</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Note 5. Cash, Cash Equivalents, Restricted Cash and Marketable Securities</w:t>
      </w:r>
    </w:p>
    <w:p>
      <w:pPr>
        <w:pStyle w:val="TextBody"/>
        <w:bidi w:val="0"/>
        <w:spacing w:before="120" w:after="0"/>
        <w:ind w:left="0" w:right="0" w:hanging="0"/>
        <w:jc w:val="left"/>
        <w:rPr>
          <w:rFonts w:ascii="times new roman;times" w:hAnsi="times new roman;times"/>
          <w:sz w:val="20"/>
        </w:rPr>
      </w:pPr>
      <w:r>
        <w:rPr>
          <w:rFonts w:ascii="Times New Roman" w:hAnsi="Times New Roman"/>
          <w:sz w:val="20"/>
        </w:rPr>
        <w:t xml:space="preserve">The following tables summarize the Company’s cash, cash equivalents and marketable securities as of </w:t>
      </w:r>
      <w:r>
        <w:rPr>
          <w:rFonts w:ascii="times new roman;times" w:hAnsi="times new roman;times"/>
          <w:sz w:val="20"/>
        </w:rPr>
        <w:t>December 31, 2024 </w:t>
      </w:r>
      <w:r>
        <w:rPr>
          <w:rFonts w:ascii="Times New Roman" w:hAnsi="Times New Roman"/>
          <w:sz w:val="20"/>
        </w:rPr>
        <w:t>and December 31, 2023.</w:t>
      </w:r>
      <w:r>
        <w:rPr>
          <w:rFonts w:ascii="times new roman;times" w:hAnsi="times new roman;times"/>
          <w:sz w:val="20"/>
        </w:rPr>
        <w:t>  </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4939"/>
        <w:gridCol w:w="110"/>
        <w:gridCol w:w="240"/>
        <w:gridCol w:w="894"/>
        <w:gridCol w:w="110"/>
        <w:gridCol w:w="110"/>
        <w:gridCol w:w="379"/>
        <w:gridCol w:w="794"/>
        <w:gridCol w:w="110"/>
        <w:gridCol w:w="110"/>
        <w:gridCol w:w="399"/>
        <w:gridCol w:w="837"/>
        <w:gridCol w:w="110"/>
        <w:gridCol w:w="110"/>
        <w:gridCol w:w="168"/>
        <w:gridCol w:w="653"/>
        <w:gridCol w:w="132"/>
      </w:tblGrid>
      <w:tr>
        <w:trPr/>
        <w:tc>
          <w:tcPr>
            <w:tcW w:w="10073" w:type="dxa"/>
            <w:gridSpan w:val="16"/>
            <w:tcBorders/>
            <w:shd w:fill="FFFF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As of December 31, 2024</w:t>
            </w:r>
          </w:p>
        </w:tc>
        <w:tc>
          <w:tcPr>
            <w:tcW w:w="132" w:type="dxa"/>
            <w:tcBorders/>
            <w:shd w:fill="FFFFFF" w:val="clear"/>
            <w:vAlign w:val="center"/>
          </w:tcPr>
          <w:p>
            <w:pPr>
              <w:pStyle w:val="TableContents"/>
              <w:bidi w:val="0"/>
              <w:spacing w:before="0" w:after="0"/>
              <w:ind w:left="0" w:right="0" w:hanging="0"/>
              <w:jc w:val="left"/>
              <w:rPr/>
            </w:pPr>
            <w:r>
              <w:rPr/>
              <w:t xml:space="preserve">  </w:t>
            </w:r>
          </w:p>
        </w:tc>
      </w:tr>
      <w:tr>
        <w:trPr/>
        <w:tc>
          <w:tcPr>
            <w:tcW w:w="4939" w:type="dxa"/>
            <w:tcBorders/>
            <w:shd w:fill="FFFFFF" w:val="clear"/>
            <w:vAlign w:val="center"/>
          </w:tcPr>
          <w:p>
            <w:pPr>
              <w:pStyle w:val="TableContents"/>
              <w:bidi w:val="0"/>
              <w:spacing w:before="0" w:after="0"/>
              <w:ind w:left="0" w:right="0" w:hanging="0"/>
              <w:jc w:val="center"/>
              <w:rPr/>
            </w:pPr>
            <w:r>
              <w:rPr/>
              <w:t xml:space="preserve">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134"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Amortized Cost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173"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Unrealized Gain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236"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Unrealized (Loss)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110" w:type="dxa"/>
            <w:tcBorders/>
            <w:shd w:fill="FFFFFF" w:val="clear"/>
            <w:vAlign w:val="center"/>
          </w:tcPr>
          <w:p>
            <w:pPr>
              <w:pStyle w:val="TableContents"/>
              <w:bidi w:val="0"/>
              <w:spacing w:before="0" w:after="0"/>
              <w:ind w:left="0" w:right="0" w:hanging="0"/>
              <w:jc w:val="left"/>
              <w:rPr/>
            </w:pPr>
            <w:r>
              <w:rPr/>
              <w:t xml:space="preserve">  </w:t>
            </w:r>
          </w:p>
        </w:tc>
        <w:tc>
          <w:tcPr>
            <w:tcW w:w="821"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Fair Value </w:t>
            </w:r>
          </w:p>
        </w:tc>
        <w:tc>
          <w:tcPr>
            <w:tcW w:w="132" w:type="dxa"/>
            <w:tcBorders/>
            <w:shd w:fill="FFFFFF" w:val="clear"/>
            <w:vAlign w:val="center"/>
          </w:tcPr>
          <w:p>
            <w:pPr>
              <w:pStyle w:val="TableContents"/>
              <w:bidi w:val="0"/>
              <w:spacing w:before="0" w:after="0"/>
              <w:ind w:left="0" w:right="0" w:hanging="0"/>
              <w:jc w:val="left"/>
              <w:rPr/>
            </w:pPr>
            <w:r>
              <w:rPr/>
              <w:t xml:space="preserve">  </w:t>
            </w:r>
          </w:p>
        </w:tc>
      </w:tr>
      <w:tr>
        <w:trPr/>
        <w:tc>
          <w:tcPr>
            <w:tcW w:w="49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cash equivalents and restricted cash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4" w:type="dxa"/>
            <w:tcBorders>
              <w:top w:val="single" w:sz="6" w:space="0" w:color="000000"/>
              <w:bottom w:val="single" w:sz="6"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3,700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79"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4" w:type="dxa"/>
            <w:tcBorders>
              <w:top w:val="single" w:sz="6" w:space="0" w:color="000000"/>
              <w:bottom w:val="sing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99"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37" w:type="dxa"/>
            <w:tcBorders>
              <w:top w:val="single" w:sz="6" w:space="0" w:color="000000"/>
              <w:bottom w:val="sing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68"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53" w:type="dxa"/>
            <w:tcBorders>
              <w:top w:val="single" w:sz="6" w:space="0" w:color="000000"/>
              <w:bottom w:val="single" w:sz="6"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3,700 </w:t>
            </w:r>
          </w:p>
        </w:tc>
        <w:tc>
          <w:tcPr>
            <w:tcW w:w="132" w:type="dxa"/>
            <w:tcBorders/>
            <w:shd w:fill="CCEEFF" w:val="clear"/>
            <w:vAlign w:val="center"/>
          </w:tcPr>
          <w:p>
            <w:pPr>
              <w:pStyle w:val="TableContents"/>
              <w:bidi w:val="0"/>
              <w:spacing w:before="0" w:after="0"/>
              <w:ind w:left="0" w:right="0" w:hanging="0"/>
              <w:jc w:val="left"/>
              <w:rPr/>
            </w:pPr>
            <w:r>
              <w:rPr/>
              <w:t xml:space="preserve">  </w:t>
            </w:r>
          </w:p>
        </w:tc>
      </w:tr>
      <w:tr>
        <w:trPr/>
        <w:tc>
          <w:tcPr>
            <w:tcW w:w="4939"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40"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894" w:type="dxa"/>
            <w:tcBorders>
              <w:top w:val="single" w:sz="6" w:space="0" w:color="000000"/>
            </w:tcBorders>
            <w:tcMar>
              <w:top w:w="28" w:type="dxa"/>
            </w:tcMar>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79"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794" w:type="dxa"/>
            <w:tcBorders>
              <w:top w:val="single" w:sz="6" w:space="0" w:color="000000"/>
            </w:tcBorders>
            <w:tcMar>
              <w:top w:w="28" w:type="dxa"/>
            </w:tcMar>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99"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837" w:type="dxa"/>
            <w:tcBorders>
              <w:top w:val="single" w:sz="6" w:space="0" w:color="000000"/>
            </w:tcBorders>
            <w:tcMar>
              <w:top w:w="28" w:type="dxa"/>
            </w:tcMar>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68"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653" w:type="dxa"/>
            <w:tcBorders>
              <w:top w:val="single" w:sz="6" w:space="0" w:color="000000"/>
            </w:tcBorders>
            <w:tcMar>
              <w:top w:w="28" w:type="dxa"/>
            </w:tcMar>
            <w:vAlign w:val="center"/>
          </w:tcPr>
          <w:p>
            <w:pPr>
              <w:pStyle w:val="TableContents"/>
              <w:pBdr/>
              <w:bidi w:val="0"/>
              <w:spacing w:before="0" w:after="0"/>
              <w:ind w:left="0" w:right="0" w:hanging="0"/>
              <w:jc w:val="right"/>
              <w:rPr/>
            </w:pPr>
            <w:r>
              <w:rPr/>
              <w:t xml:space="preserve">  </w:t>
            </w:r>
          </w:p>
        </w:tc>
        <w:tc>
          <w:tcPr>
            <w:tcW w:w="132" w:type="dxa"/>
            <w:tcBorders/>
            <w:vAlign w:val="center"/>
          </w:tcPr>
          <w:p>
            <w:pPr>
              <w:pStyle w:val="TableContents"/>
              <w:bidi w:val="0"/>
              <w:spacing w:before="0" w:after="0"/>
              <w:ind w:left="0" w:right="0" w:hanging="0"/>
              <w:jc w:val="left"/>
              <w:rPr/>
            </w:pPr>
            <w:r>
              <w:rPr/>
              <w:t xml:space="preserve">  </w:t>
            </w:r>
          </w:p>
        </w:tc>
      </w:tr>
      <w:tr>
        <w:trPr/>
        <w:tc>
          <w:tcPr>
            <w:tcW w:w="4939" w:type="dxa"/>
            <w:tcBorders/>
            <w:shd w:fill="CCEEFF" w:val="clear"/>
            <w:vAlign w:val="center"/>
          </w:tcPr>
          <w:p>
            <w:pPr>
              <w:pStyle w:val="TableContents"/>
              <w:bidi w:val="0"/>
              <w:spacing w:before="0" w:after="283"/>
              <w:jc w:val="left"/>
              <w:rPr/>
            </w:pPr>
            <w:r>
              <w:rPr/>
              <w:t>Marketable Securities:</w:t>
            </w:r>
          </w:p>
        </w:tc>
        <w:tc>
          <w:tcPr>
            <w:tcW w:w="110" w:type="dxa"/>
            <w:tcBorders/>
            <w:shd w:fill="CCEEFF" w:val="clear"/>
            <w:vAlign w:val="center"/>
          </w:tcPr>
          <w:p>
            <w:pPr>
              <w:pStyle w:val="TableContents"/>
              <w:bidi w:val="0"/>
              <w:spacing w:before="0" w:after="283"/>
              <w:jc w:val="left"/>
              <w:rPr/>
            </w:pPr>
            <w:r>
              <w:rPr/>
            </w:r>
          </w:p>
        </w:tc>
        <w:tc>
          <w:tcPr>
            <w:tcW w:w="240" w:type="dxa"/>
            <w:tcBorders/>
            <w:shd w:fill="CCEEFF" w:val="clear"/>
            <w:vAlign w:val="center"/>
          </w:tcPr>
          <w:p>
            <w:pPr>
              <w:pStyle w:val="TableContents"/>
              <w:bidi w:val="0"/>
              <w:spacing w:before="0" w:after="283"/>
              <w:ind w:left="0" w:right="0" w:hanging="0"/>
              <w:jc w:val="left"/>
              <w:rPr/>
            </w:pPr>
            <w:r>
              <w:rPr/>
            </w:r>
          </w:p>
        </w:tc>
        <w:tc>
          <w:tcPr>
            <w:tcW w:w="894"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379" w:type="dxa"/>
            <w:tcBorders/>
            <w:shd w:fill="CCEEFF" w:val="clear"/>
            <w:vAlign w:val="center"/>
          </w:tcPr>
          <w:p>
            <w:pPr>
              <w:pStyle w:val="TableContents"/>
              <w:bidi w:val="0"/>
              <w:spacing w:before="0" w:after="283"/>
              <w:ind w:left="0" w:right="0" w:hanging="0"/>
              <w:jc w:val="left"/>
              <w:rPr/>
            </w:pPr>
            <w:r>
              <w:rPr/>
            </w:r>
          </w:p>
        </w:tc>
        <w:tc>
          <w:tcPr>
            <w:tcW w:w="794"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399" w:type="dxa"/>
            <w:tcBorders/>
            <w:shd w:fill="CCEEFF" w:val="clear"/>
            <w:vAlign w:val="center"/>
          </w:tcPr>
          <w:p>
            <w:pPr>
              <w:pStyle w:val="TableContents"/>
              <w:bidi w:val="0"/>
              <w:spacing w:before="0" w:after="283"/>
              <w:ind w:left="0" w:right="0" w:hanging="0"/>
              <w:jc w:val="left"/>
              <w:rPr/>
            </w:pPr>
            <w:r>
              <w:rPr/>
            </w:r>
          </w:p>
        </w:tc>
        <w:tc>
          <w:tcPr>
            <w:tcW w:w="837"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168" w:type="dxa"/>
            <w:tcBorders/>
            <w:shd w:fill="CCEEFF" w:val="clear"/>
            <w:vAlign w:val="center"/>
          </w:tcPr>
          <w:p>
            <w:pPr>
              <w:pStyle w:val="TableContents"/>
              <w:bidi w:val="0"/>
              <w:spacing w:before="0" w:after="283"/>
              <w:ind w:left="0" w:right="0" w:hanging="0"/>
              <w:jc w:val="left"/>
              <w:rPr/>
            </w:pPr>
            <w:r>
              <w:rPr/>
            </w:r>
          </w:p>
        </w:tc>
        <w:tc>
          <w:tcPr>
            <w:tcW w:w="653" w:type="dxa"/>
            <w:tcBorders/>
            <w:shd w:fill="CCEEFF" w:val="clear"/>
            <w:vAlign w:val="center"/>
          </w:tcPr>
          <w:p>
            <w:pPr>
              <w:pStyle w:val="TableContents"/>
              <w:bidi w:val="0"/>
              <w:spacing w:before="0" w:after="283"/>
              <w:jc w:val="left"/>
              <w:rPr/>
            </w:pPr>
            <w:r>
              <w:rPr/>
            </w:r>
          </w:p>
        </w:tc>
        <w:tc>
          <w:tcPr>
            <w:tcW w:w="132" w:type="dxa"/>
            <w:tcBorders/>
            <w:shd w:fill="CCEEFF" w:val="clear"/>
            <w:vAlign w:val="center"/>
          </w:tcPr>
          <w:p>
            <w:pPr>
              <w:pStyle w:val="TableContents"/>
              <w:bidi w:val="0"/>
              <w:spacing w:before="0" w:after="283"/>
              <w:jc w:val="left"/>
              <w:rPr/>
            </w:pPr>
            <w:r>
              <w:rPr/>
            </w:r>
          </w:p>
        </w:tc>
      </w:tr>
      <w:tr>
        <w:trPr/>
        <w:tc>
          <w:tcPr>
            <w:tcW w:w="49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U.S. Treasury Bills </w:t>
            </w:r>
          </w:p>
        </w:tc>
        <w:tc>
          <w:tcPr>
            <w:tcW w:w="110" w:type="dxa"/>
            <w:tcBorders/>
            <w:vAlign w:val="center"/>
          </w:tcPr>
          <w:p>
            <w:pPr>
              <w:pStyle w:val="TableContents"/>
              <w:bidi w:val="0"/>
              <w:spacing w:before="0" w:after="0"/>
              <w:ind w:left="0" w:right="0" w:hanging="0"/>
              <w:jc w:val="left"/>
              <w:rPr/>
            </w:pPr>
            <w:r>
              <w:rPr/>
              <w:t xml:space="preserve">  </w:t>
            </w:r>
          </w:p>
        </w:tc>
        <w:tc>
          <w:tcPr>
            <w:tcW w:w="240" w:type="dxa"/>
            <w:tcBorders>
              <w:bottom w:val="single" w:sz="8" w:space="0" w:color="000000"/>
            </w:tcBorders>
            <w:tcMar>
              <w:bottom w:w="28" w:type="dxa"/>
            </w:tcMar>
            <w:vAlign w:val="center"/>
          </w:tcPr>
          <w:p>
            <w:pPr>
              <w:pStyle w:val="TableContents"/>
              <w:bidi w:val="0"/>
              <w:spacing w:before="0" w:after="0"/>
              <w:ind w:left="0" w:right="0" w:hanging="0"/>
              <w:jc w:val="left"/>
              <w:rPr/>
            </w:pPr>
            <w:r>
              <w:rPr/>
              <w:t xml:space="preserve">  </w:t>
            </w:r>
          </w:p>
        </w:tc>
        <w:tc>
          <w:tcPr>
            <w:tcW w:w="894" w:type="dxa"/>
            <w:tcBorders>
              <w:bottom w:val="single" w:sz="8"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79" w:type="dxa"/>
            <w:tcBorders>
              <w:bottom w:val="single" w:sz="8" w:space="0" w:color="000000"/>
            </w:tcBorders>
            <w:tcMar>
              <w:bottom w:w="28" w:type="dxa"/>
            </w:tcMar>
            <w:vAlign w:val="center"/>
          </w:tcPr>
          <w:p>
            <w:pPr>
              <w:pStyle w:val="TableContents"/>
              <w:bidi w:val="0"/>
              <w:spacing w:before="0" w:after="0"/>
              <w:ind w:left="0" w:right="0" w:hanging="0"/>
              <w:jc w:val="left"/>
              <w:rPr/>
            </w:pPr>
            <w:r>
              <w:rPr/>
              <w:t xml:space="preserve">  </w:t>
            </w:r>
          </w:p>
        </w:tc>
        <w:tc>
          <w:tcPr>
            <w:tcW w:w="794" w:type="dxa"/>
            <w:tcBorders>
              <w:bottom w:val="single" w:sz="8" w:space="0" w:color="000000"/>
            </w:tcBorders>
            <w:tcMar>
              <w:bottom w:w="28" w:type="dxa"/>
            </w:tcMar>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99" w:type="dxa"/>
            <w:tcBorders>
              <w:bottom w:val="single" w:sz="8" w:space="0" w:color="000000"/>
            </w:tcBorders>
            <w:tcMar>
              <w:bottom w:w="28" w:type="dxa"/>
            </w:tcMar>
            <w:vAlign w:val="center"/>
          </w:tcPr>
          <w:p>
            <w:pPr>
              <w:pStyle w:val="TableContents"/>
              <w:bidi w:val="0"/>
              <w:spacing w:before="0" w:after="0"/>
              <w:ind w:left="0" w:right="0" w:hanging="0"/>
              <w:jc w:val="left"/>
              <w:rPr/>
            </w:pPr>
            <w:r>
              <w:rPr/>
              <w:t xml:space="preserve">  </w:t>
            </w:r>
          </w:p>
        </w:tc>
        <w:tc>
          <w:tcPr>
            <w:tcW w:w="837" w:type="dxa"/>
            <w:tcBorders>
              <w:bottom w:val="single" w:sz="8" w:space="0" w:color="000000"/>
            </w:tcBorders>
            <w:tcMar>
              <w:bottom w:w="28" w:type="dxa"/>
            </w:tcMar>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ind w:left="0" w:right="0" w:hanging="0"/>
              <w:jc w:val="left"/>
              <w:rPr/>
            </w:pPr>
            <w:r>
              <w:rPr/>
              <w:t xml:space="preserve">  </w:t>
            </w:r>
          </w:p>
        </w:tc>
        <w:tc>
          <w:tcPr>
            <w:tcW w:w="168" w:type="dxa"/>
            <w:tcBorders>
              <w:bottom w:val="single" w:sz="8" w:space="0" w:color="000000"/>
            </w:tcBorders>
            <w:tcMar>
              <w:bottom w:w="28" w:type="dxa"/>
            </w:tcMar>
            <w:vAlign w:val="center"/>
          </w:tcPr>
          <w:p>
            <w:pPr>
              <w:pStyle w:val="TableContents"/>
              <w:bidi w:val="0"/>
              <w:spacing w:before="0" w:after="0"/>
              <w:ind w:left="0" w:right="0" w:hanging="0"/>
              <w:jc w:val="left"/>
              <w:rPr/>
            </w:pPr>
            <w:r>
              <w:rPr/>
              <w:t xml:space="preserve">  </w:t>
            </w:r>
          </w:p>
        </w:tc>
        <w:tc>
          <w:tcPr>
            <w:tcW w:w="653" w:type="dxa"/>
            <w:tcBorders>
              <w:bottom w:val="single" w:sz="8"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32" w:type="dxa"/>
            <w:tcBorders/>
            <w:vAlign w:val="center"/>
          </w:tcPr>
          <w:p>
            <w:pPr>
              <w:pStyle w:val="TableContents"/>
              <w:bidi w:val="0"/>
              <w:spacing w:before="0" w:after="0"/>
              <w:ind w:left="0" w:right="0" w:hanging="0"/>
              <w:jc w:val="left"/>
              <w:rPr/>
            </w:pPr>
            <w:r>
              <w:rPr/>
              <w:t xml:space="preserve">  </w:t>
            </w:r>
          </w:p>
        </w:tc>
      </w:tr>
      <w:tr>
        <w:trPr/>
        <w:tc>
          <w:tcPr>
            <w:tcW w:w="49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marketable securities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r>
          </w:p>
        </w:tc>
        <w:tc>
          <w:tcPr>
            <w:tcW w:w="89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79" w:type="dxa"/>
            <w:tcBorders/>
            <w:shd w:fill="CCEEFF" w:val="clear"/>
            <w:vAlign w:val="center"/>
          </w:tcPr>
          <w:p>
            <w:pPr>
              <w:pStyle w:val="TableContents"/>
              <w:bidi w:val="0"/>
              <w:spacing w:before="0" w:after="0"/>
              <w:ind w:left="0" w:right="0" w:hanging="0"/>
              <w:jc w:val="left"/>
              <w:rPr/>
            </w:pPr>
            <w:r>
              <w:rPr/>
            </w:r>
          </w:p>
        </w:tc>
        <w:tc>
          <w:tcPr>
            <w:tcW w:w="794" w:type="dxa"/>
            <w:tcBorders/>
            <w:shd w:fill="CCEEFF" w:val="cle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99" w:type="dxa"/>
            <w:tcBorders/>
            <w:shd w:fill="CCEEFF" w:val="clear"/>
            <w:vAlign w:val="center"/>
          </w:tcPr>
          <w:p>
            <w:pPr>
              <w:pStyle w:val="TableContents"/>
              <w:bidi w:val="0"/>
              <w:spacing w:before="0" w:after="0"/>
              <w:ind w:left="0" w:right="0" w:hanging="0"/>
              <w:jc w:val="left"/>
              <w:rPr/>
            </w:pPr>
            <w:r>
              <w:rPr/>
            </w:r>
          </w:p>
        </w:tc>
        <w:tc>
          <w:tcPr>
            <w:tcW w:w="837" w:type="dxa"/>
            <w:tcBorders/>
            <w:shd w:fill="CCEEFF" w:val="cle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68" w:type="dxa"/>
            <w:tcBorders/>
            <w:shd w:fill="CCEEFF" w:val="clear"/>
            <w:vAlign w:val="center"/>
          </w:tcPr>
          <w:p>
            <w:pPr>
              <w:pStyle w:val="TableContents"/>
              <w:bidi w:val="0"/>
              <w:spacing w:before="0" w:after="0"/>
              <w:ind w:left="0" w:right="0" w:hanging="0"/>
              <w:jc w:val="left"/>
              <w:rPr/>
            </w:pPr>
            <w:r>
              <w:rPr/>
            </w:r>
          </w:p>
        </w:tc>
        <w:tc>
          <w:tcPr>
            <w:tcW w:w="6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32" w:type="dxa"/>
            <w:tcBorders/>
            <w:shd w:fill="CCEEFF" w:val="clear"/>
            <w:vAlign w:val="center"/>
          </w:tcPr>
          <w:p>
            <w:pPr>
              <w:pStyle w:val="TableContents"/>
              <w:bidi w:val="0"/>
              <w:spacing w:before="0" w:after="0"/>
              <w:ind w:left="0" w:right="0" w:hanging="0"/>
              <w:jc w:val="left"/>
              <w:rPr/>
            </w:pPr>
            <w:r>
              <w:rPr/>
              <w:t xml:space="preserve">  </w:t>
            </w:r>
          </w:p>
        </w:tc>
      </w:tr>
      <w:tr>
        <w:trPr/>
        <w:tc>
          <w:tcPr>
            <w:tcW w:w="4939"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894" w:type="dxa"/>
            <w:tcBorders/>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79"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99" w:type="dxa"/>
            <w:tcBorders/>
            <w:vAlign w:val="center"/>
          </w:tcPr>
          <w:p>
            <w:pPr>
              <w:pStyle w:val="TableContents"/>
              <w:bidi w:val="0"/>
              <w:spacing w:before="0" w:after="0"/>
              <w:ind w:left="0" w:right="0" w:hanging="0"/>
              <w:jc w:val="left"/>
              <w:rPr/>
            </w:pPr>
            <w:r>
              <w:rPr/>
              <w:t xml:space="preserve">  </w:t>
            </w:r>
          </w:p>
        </w:tc>
        <w:tc>
          <w:tcPr>
            <w:tcW w:w="837" w:type="dxa"/>
            <w:tcBorders/>
            <w:vAlign w:val="center"/>
          </w:tcPr>
          <w:p>
            <w:pPr>
              <w:pStyle w:val="TableContents"/>
              <w:pBdr/>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68" w:type="dxa"/>
            <w:tcBorders/>
            <w:vAlign w:val="center"/>
          </w:tcPr>
          <w:p>
            <w:pPr>
              <w:pStyle w:val="TableContents"/>
              <w:bidi w:val="0"/>
              <w:spacing w:before="0" w:after="0"/>
              <w:ind w:left="0" w:right="0" w:hanging="0"/>
              <w:jc w:val="left"/>
              <w:rPr/>
            </w:pPr>
            <w:r>
              <w:rPr/>
              <w:t xml:space="preserve">  </w:t>
            </w:r>
          </w:p>
        </w:tc>
        <w:tc>
          <w:tcPr>
            <w:tcW w:w="653" w:type="dxa"/>
            <w:tcBorders/>
            <w:vAlign w:val="center"/>
          </w:tcPr>
          <w:p>
            <w:pPr>
              <w:pStyle w:val="TableContents"/>
              <w:pBdr/>
              <w:bidi w:val="0"/>
              <w:spacing w:before="0" w:after="0"/>
              <w:ind w:left="0" w:right="0" w:hanging="0"/>
              <w:jc w:val="right"/>
              <w:rPr/>
            </w:pPr>
            <w:r>
              <w:rPr/>
              <w:t xml:space="preserve">  </w:t>
            </w:r>
          </w:p>
        </w:tc>
        <w:tc>
          <w:tcPr>
            <w:tcW w:w="132" w:type="dxa"/>
            <w:tcBorders/>
            <w:vAlign w:val="center"/>
          </w:tcPr>
          <w:p>
            <w:pPr>
              <w:pStyle w:val="TableContents"/>
              <w:bidi w:val="0"/>
              <w:spacing w:before="0" w:after="0"/>
              <w:ind w:left="0" w:right="0" w:hanging="0"/>
              <w:jc w:val="left"/>
              <w:rPr/>
            </w:pPr>
            <w:r>
              <w:rPr/>
              <w:t xml:space="preserve">  </w:t>
            </w:r>
          </w:p>
        </w:tc>
      </w:tr>
      <w:tr>
        <w:trPr/>
        <w:tc>
          <w:tcPr>
            <w:tcW w:w="49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cash, cash equivalents, restricted cash and marketable securities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4"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12,219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7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4"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right"/>
              <w:rPr/>
            </w:pPr>
            <w:r>
              <w:rPr/>
              <w:t xml:space="preserve">  </w:t>
            </w:r>
          </w:p>
        </w:tc>
        <w:tc>
          <w:tcPr>
            <w:tcW w:w="39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37"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0"/>
              <w:ind w:left="0" w:right="0" w:hanging="0"/>
              <w:jc w:val="right"/>
              <w:rPr/>
            </w:pPr>
            <w:r>
              <w:rPr/>
              <w:t xml:space="preserve">  </w:t>
            </w:r>
          </w:p>
        </w:tc>
        <w:tc>
          <w:tcPr>
            <w:tcW w:w="16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53" w:type="dxa"/>
            <w:tcBorders>
              <w:top w:val="single" w:sz="8" w:space="0" w:color="000000"/>
            </w:tcBorders>
            <w:shd w:fill="CCEEFF" w:val="clear"/>
            <w:tcMar>
              <w:top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12,219 </w:t>
            </w:r>
          </w:p>
        </w:tc>
        <w:tc>
          <w:tcPr>
            <w:tcW w:w="132" w:type="dxa"/>
            <w:tcBorders/>
            <w:shd w:fill="CCEEFF" w:val="clear"/>
            <w:vAlign w:val="center"/>
          </w:tcPr>
          <w:p>
            <w:pPr>
              <w:pStyle w:val="TableContents"/>
              <w:bidi w:val="0"/>
              <w:spacing w:before="0" w:after="0"/>
              <w:ind w:left="0" w:right="0" w:hanging="0"/>
              <w:jc w:val="left"/>
              <w:rPr/>
            </w:pPr>
            <w:r>
              <w:rPr/>
              <w:t xml:space="preserve">  </w:t>
            </w:r>
          </w:p>
        </w:tc>
      </w:tr>
      <w:tr>
        <w:trPr/>
        <w:tc>
          <w:tcPr>
            <w:tcW w:w="4939"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894" w:type="dxa"/>
            <w:tcBorders>
              <w:top w:val="double" w:sz="6" w:space="0" w:color="000000"/>
            </w:tcBorders>
            <w:tcMar>
              <w:top w:w="28" w:type="dxa"/>
            </w:tcMar>
            <w:vAlign w:val="center"/>
          </w:tcPr>
          <w:p>
            <w:pPr>
              <w:pStyle w:val="TableContents"/>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79" w:type="dxa"/>
            <w:tcBorders>
              <w:top w:val="doub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794" w:type="dxa"/>
            <w:tcBorders>
              <w:top w:val="double" w:sz="6" w:space="0" w:color="000000"/>
            </w:tcBorders>
            <w:tcMar>
              <w:top w:w="28" w:type="dxa"/>
            </w:tcMar>
            <w:vAlign w:val="center"/>
          </w:tcPr>
          <w:p>
            <w:pPr>
              <w:pStyle w:val="TableContents"/>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399" w:type="dxa"/>
            <w:tcBorders>
              <w:top w:val="doub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837" w:type="dxa"/>
            <w:tcBorders>
              <w:top w:val="double" w:sz="6" w:space="0" w:color="000000"/>
            </w:tcBorders>
            <w:tcMar>
              <w:top w:w="28" w:type="dxa"/>
            </w:tcMar>
            <w:vAlign w:val="center"/>
          </w:tcPr>
          <w:p>
            <w:pPr>
              <w:pStyle w:val="TableContents"/>
              <w:bidi w:val="0"/>
              <w:spacing w:before="0" w:after="0"/>
              <w:ind w:left="0" w:right="0" w:hanging="0"/>
              <w:jc w:val="righ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68" w:type="dxa"/>
            <w:tcBorders>
              <w:top w:val="doub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653" w:type="dxa"/>
            <w:tcBorders>
              <w:top w:val="double" w:sz="6" w:space="0" w:color="000000"/>
            </w:tcBorders>
            <w:tcMar>
              <w:top w:w="28" w:type="dxa"/>
            </w:tcMar>
            <w:vAlign w:val="center"/>
          </w:tcPr>
          <w:p>
            <w:pPr>
              <w:pStyle w:val="TableContents"/>
              <w:bidi w:val="0"/>
              <w:spacing w:before="0" w:after="0"/>
              <w:ind w:left="0" w:right="0" w:hanging="0"/>
              <w:jc w:val="right"/>
              <w:rPr/>
            </w:pPr>
            <w:r>
              <w:rPr/>
              <w:t xml:space="preserve">  </w:t>
            </w:r>
          </w:p>
        </w:tc>
        <w:tc>
          <w:tcPr>
            <w:tcW w:w="132" w:type="dxa"/>
            <w:tcBorders/>
            <w:vAlign w:val="center"/>
          </w:tcPr>
          <w:p>
            <w:pPr>
              <w:pStyle w:val="TableContents"/>
              <w:bidi w:val="0"/>
              <w:spacing w:before="0" w:after="0"/>
              <w:ind w:left="0" w:right="0" w:hanging="0"/>
              <w:jc w:val="left"/>
              <w:rPr/>
            </w:pPr>
            <w:r>
              <w:rPr/>
              <w:t xml:space="preserve">  </w:t>
            </w:r>
          </w:p>
        </w:tc>
      </w:tr>
      <w:tr>
        <w:trPr/>
        <w:tc>
          <w:tcPr>
            <w:tcW w:w="10073" w:type="dxa"/>
            <w:gridSpan w:val="16"/>
            <w:tcBorders/>
            <w:shd w:fill="CCEE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As of December 31, 2023</w:t>
            </w:r>
          </w:p>
        </w:tc>
        <w:tc>
          <w:tcPr>
            <w:tcW w:w="132" w:type="dxa"/>
            <w:tcBorders/>
            <w:shd w:fill="CCEEFF" w:val="clear"/>
            <w:vAlign w:val="center"/>
          </w:tcPr>
          <w:p>
            <w:pPr>
              <w:pStyle w:val="TableContents"/>
              <w:bidi w:val="0"/>
              <w:spacing w:before="0" w:after="0"/>
              <w:ind w:left="0" w:right="0" w:hanging="0"/>
              <w:jc w:val="left"/>
              <w:rPr/>
            </w:pPr>
            <w:r>
              <w:rPr/>
              <w:t xml:space="preserve">  </w:t>
            </w:r>
          </w:p>
        </w:tc>
      </w:tr>
      <w:tr>
        <w:trPr/>
        <w:tc>
          <w:tcPr>
            <w:tcW w:w="4939" w:type="dxa"/>
            <w:tcBorders/>
            <w:vAlign w:val="center"/>
          </w:tcPr>
          <w:p>
            <w:pPr>
              <w:pStyle w:val="TableContents"/>
              <w:bidi w:val="0"/>
              <w:spacing w:before="0" w:after="0"/>
              <w:ind w:left="0" w:right="0" w:hanging="0"/>
              <w:jc w:val="center"/>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34"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Amortized Cost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73"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Unrealized Gain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236"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Unrealized (Loss) </w:t>
            </w:r>
          </w:p>
        </w:tc>
        <w:tc>
          <w:tcPr>
            <w:tcW w:w="110"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821"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Fair Value </w:t>
            </w:r>
          </w:p>
        </w:tc>
        <w:tc>
          <w:tcPr>
            <w:tcW w:w="132" w:type="dxa"/>
            <w:tcBorders/>
            <w:vAlign w:val="center"/>
          </w:tcPr>
          <w:p>
            <w:pPr>
              <w:pStyle w:val="TableContents"/>
              <w:bidi w:val="0"/>
              <w:spacing w:before="0" w:after="0"/>
              <w:ind w:left="0" w:right="0" w:hanging="0"/>
              <w:jc w:val="left"/>
              <w:rPr/>
            </w:pPr>
            <w:r>
              <w:rPr/>
              <w:t xml:space="preserve">  </w:t>
            </w:r>
          </w:p>
        </w:tc>
      </w:tr>
      <w:tr>
        <w:trPr/>
        <w:tc>
          <w:tcPr>
            <w:tcW w:w="49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cash equivalents and restricted cash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4"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10,581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7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94"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39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37"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pPr>
            <w:r>
              <w:rPr/>
              <w:t xml:space="preserve">—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68"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53" w:type="dxa"/>
            <w:tcBorders>
              <w:top w:val="single" w:sz="6" w:space="0" w:color="000000"/>
              <w:bottom w:val="double" w:sz="6"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10,581 </w:t>
            </w:r>
          </w:p>
        </w:tc>
        <w:tc>
          <w:tcPr>
            <w:tcW w:w="13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bidi w:val="0"/>
        <w:spacing w:before="0" w:after="0"/>
        <w:ind w:left="0" w:right="0" w:hanging="0"/>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Note 6. Fair Value Measurements</w:t>
      </w:r>
    </w:p>
    <w:p>
      <w:pPr>
        <w:pStyle w:val="TextBody"/>
        <w:bidi w:val="0"/>
        <w:spacing w:before="120" w:after="283"/>
        <w:ind w:left="0" w:right="0" w:hanging="0"/>
        <w:jc w:val="left"/>
        <w:rPr>
          <w:rFonts w:ascii="times new roman;times" w:hAnsi="times new roman;times"/>
          <w:sz w:val="20"/>
        </w:rPr>
      </w:pPr>
      <w:r>
        <w:rPr>
          <w:rFonts w:ascii="times new roman;times" w:hAnsi="times new roman;times"/>
          <w:sz w:val="20"/>
        </w:rPr>
        <w:t>Financial assets and liabilities carried at fair value are classified and disclosed in one of the following three levels of the fair value hierarchy:</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3"/>
        <w:gridCol w:w="273"/>
        <w:gridCol w:w="9739"/>
      </w:tblGrid>
      <w:tr>
        <w:trPr/>
        <w:tc>
          <w:tcPr>
            <w:tcW w:w="193" w:type="dxa"/>
            <w:tcBorders/>
          </w:tcPr>
          <w:p>
            <w:pPr>
              <w:pStyle w:val="TableContents"/>
              <w:bidi w:val="0"/>
              <w:spacing w:before="0" w:after="0"/>
              <w:ind w:left="0" w:right="0" w:hanging="0"/>
              <w:jc w:val="left"/>
              <w:rPr>
                <w:color w:val="000000"/>
              </w:rPr>
            </w:pPr>
            <w:r>
              <w:rPr>
                <w:color w:val="000000"/>
              </w:rPr>
              <w:t xml:space="preserve">  </w:t>
            </w:r>
          </w:p>
        </w:tc>
        <w:tc>
          <w:tcPr>
            <w:tcW w:w="273" w:type="dxa"/>
            <w:tcBorders/>
          </w:tcPr>
          <w:p>
            <w:pPr>
              <w:pStyle w:val="TableContents"/>
              <w:bidi w:val="0"/>
              <w:spacing w:before="0" w:after="0"/>
              <w:ind w:left="0" w:right="0" w:hanging="0"/>
              <w:jc w:val="left"/>
              <w:rPr>
                <w:color w:val="000000"/>
              </w:rPr>
            </w:pPr>
            <w:r>
              <w:rPr>
                <w:color w:val="000000"/>
              </w:rPr>
              <w:t xml:space="preserve">• </w:t>
            </w:r>
          </w:p>
        </w:tc>
        <w:tc>
          <w:tcPr>
            <w:tcW w:w="9739"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Level 1—Quoted prices in active markets for identical assets or liabilities.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1"/>
        <w:gridCol w:w="132"/>
        <w:gridCol w:w="9992"/>
      </w:tblGrid>
      <w:tr>
        <w:trPr/>
        <w:tc>
          <w:tcPr>
            <w:tcW w:w="81" w:type="dxa"/>
            <w:tcBorders/>
          </w:tcPr>
          <w:p>
            <w:pPr>
              <w:pStyle w:val="TableContents"/>
              <w:bidi w:val="0"/>
              <w:spacing w:before="0" w:after="0"/>
              <w:ind w:left="0" w:right="0" w:hanging="0"/>
              <w:jc w:val="left"/>
              <w:rPr>
                <w:color w:val="000000"/>
              </w:rPr>
            </w:pPr>
            <w:r>
              <w:rPr>
                <w:color w:val="000000"/>
              </w:rPr>
              <w:t xml:space="preserve">  </w:t>
            </w:r>
          </w:p>
        </w:tc>
        <w:tc>
          <w:tcPr>
            <w:tcW w:w="132" w:type="dxa"/>
            <w:tcBorders/>
          </w:tcPr>
          <w:p>
            <w:pPr>
              <w:pStyle w:val="TableContents"/>
              <w:bidi w:val="0"/>
              <w:spacing w:before="0" w:after="0"/>
              <w:ind w:left="0" w:right="0" w:hanging="0"/>
              <w:jc w:val="left"/>
              <w:rPr>
                <w:color w:val="000000"/>
              </w:rPr>
            </w:pPr>
            <w:r>
              <w:rPr>
                <w:color w:val="000000"/>
              </w:rPr>
              <w:t xml:space="preserve">• </w:t>
            </w:r>
          </w:p>
        </w:tc>
        <w:tc>
          <w:tcPr>
            <w:tcW w:w="9992"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0"/>
              <w:ind w:left="0" w:right="0" w:hanging="0"/>
              <w:jc w:val="left"/>
              <w:rPr>
                <w:color w:val="000000"/>
              </w:rPr>
            </w:pPr>
            <w:r>
              <w:rPr>
                <w:color w:val="000000"/>
              </w:rPr>
              <w:t xml:space="preserve">  </w:t>
            </w:r>
          </w:p>
        </w:tc>
        <w:tc>
          <w:tcPr>
            <w:tcW w:w="138" w:type="dxa"/>
            <w:tcBorders/>
          </w:tcPr>
          <w:p>
            <w:pPr>
              <w:pStyle w:val="TableContents"/>
              <w:bidi w:val="0"/>
              <w:spacing w:before="0" w:after="0"/>
              <w:ind w:left="0" w:right="0" w:hanging="0"/>
              <w:jc w:val="left"/>
              <w:rPr>
                <w:color w:val="000000"/>
              </w:rPr>
            </w:pPr>
            <w:r>
              <w:rPr>
                <w:color w:val="000000"/>
              </w:rPr>
              <w:t xml:space="preserve">• </w:t>
            </w:r>
          </w:p>
        </w:tc>
        <w:tc>
          <w:tcPr>
            <w:tcW w:w="9980"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Level 3—Unobservable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summary of the assets and liabilities carried at fair value in accordance with the hierarchy defined above is as follows: </w:t>
      </w:r>
    </w:p>
    <w:p>
      <w:pPr>
        <w:pStyle w:val="TextBody"/>
        <w:widowControl/>
        <w:bidi w:val="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5892"/>
        <w:gridCol w:w="154"/>
        <w:gridCol w:w="206"/>
        <w:gridCol w:w="637"/>
        <w:gridCol w:w="154"/>
        <w:gridCol w:w="154"/>
        <w:gridCol w:w="205"/>
        <w:gridCol w:w="683"/>
        <w:gridCol w:w="155"/>
        <w:gridCol w:w="154"/>
        <w:gridCol w:w="236"/>
        <w:gridCol w:w="415"/>
        <w:gridCol w:w="154"/>
        <w:gridCol w:w="154"/>
        <w:gridCol w:w="236"/>
        <w:gridCol w:w="415"/>
        <w:gridCol w:w="201"/>
      </w:tblGrid>
      <w:tr>
        <w:trPr/>
        <w:tc>
          <w:tcPr>
            <w:tcW w:w="58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 xml:space="preserve">  </w:t>
            </w:r>
          </w:p>
        </w:tc>
        <w:tc>
          <w:tcPr>
            <w:tcW w:w="206" w:type="dxa"/>
            <w:tcBorders/>
            <w:vAlign w:val="center"/>
          </w:tcPr>
          <w:p>
            <w:pPr>
              <w:pStyle w:val="TableContents"/>
              <w:bidi w:val="0"/>
              <w:spacing w:before="0" w:after="0"/>
              <w:ind w:left="0" w:right="0" w:hanging="0"/>
              <w:jc w:val="left"/>
              <w:rPr/>
            </w:pPr>
            <w:r>
              <w:rPr/>
              <w:t xml:space="preserve">  </w:t>
            </w:r>
          </w:p>
        </w:tc>
        <w:tc>
          <w:tcPr>
            <w:tcW w:w="637" w:type="dxa"/>
            <w:tcBorders/>
            <w:vAlign w:val="center"/>
          </w:tcPr>
          <w:p>
            <w:pPr>
              <w:pStyle w:val="TableContents"/>
              <w:bidi w:val="0"/>
              <w:spacing w:before="0" w:after="0"/>
              <w:ind w:left="0" w:right="0" w:hanging="0"/>
              <w:jc w:val="center"/>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807" w:type="dxa"/>
            <w:gridSpan w:val="10"/>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Fair Value Hierarchy </w:t>
            </w:r>
          </w:p>
        </w:tc>
        <w:tc>
          <w:tcPr>
            <w:tcW w:w="201" w:type="dxa"/>
            <w:tcBorders/>
            <w:vAlign w:val="center"/>
          </w:tcPr>
          <w:p>
            <w:pPr>
              <w:pStyle w:val="TableContents"/>
              <w:bidi w:val="0"/>
              <w:spacing w:before="0" w:after="0"/>
              <w:ind w:left="0" w:right="0" w:hanging="0"/>
              <w:jc w:val="left"/>
              <w:rPr/>
            </w:pPr>
            <w:r>
              <w:rPr/>
              <w:t xml:space="preserve">  </w:t>
            </w:r>
          </w:p>
        </w:tc>
      </w:tr>
      <w:tr>
        <w:trPr/>
        <w:tc>
          <w:tcPr>
            <w:tcW w:w="5892" w:type="dxa"/>
            <w:tcBorders/>
            <w:vAlign w:val="center"/>
          </w:tcPr>
          <w:p>
            <w:pPr>
              <w:pStyle w:val="TableContents"/>
              <w:bidi w:val="0"/>
              <w:spacing w:before="0" w:after="0"/>
              <w:ind w:left="0" w:right="0" w:hanging="0"/>
              <w:jc w:val="left"/>
              <w:rPr>
                <w:b/>
              </w:rPr>
            </w:pPr>
            <w:r>
              <w:rPr>
                <w:b/>
              </w:rPr>
              <w:t xml:space="preserve">December 31, 2024 </w:t>
            </w:r>
          </w:p>
        </w:tc>
        <w:tc>
          <w:tcPr>
            <w:tcW w:w="154" w:type="dxa"/>
            <w:tcBorders/>
            <w:vAlign w:val="center"/>
          </w:tcPr>
          <w:p>
            <w:pPr>
              <w:pStyle w:val="TableContents"/>
              <w:bidi w:val="0"/>
              <w:spacing w:before="0" w:after="0"/>
              <w:ind w:left="0" w:right="0" w:hanging="0"/>
              <w:jc w:val="left"/>
              <w:rPr/>
            </w:pPr>
            <w:r>
              <w:rPr/>
              <w:t xml:space="preserve">  </w:t>
            </w:r>
          </w:p>
        </w:tc>
        <w:tc>
          <w:tcPr>
            <w:tcW w:w="843"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Total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888"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1 </w:t>
            </w:r>
          </w:p>
        </w:tc>
        <w:tc>
          <w:tcPr>
            <w:tcW w:w="155" w:type="dxa"/>
            <w:tcBorders/>
            <w:vAlign w:val="center"/>
          </w:tcPr>
          <w:p>
            <w:pPr>
              <w:pStyle w:val="TableContents"/>
              <w:bidi w:val="0"/>
              <w:spacing w:before="0" w:after="0"/>
              <w:ind w:left="0" w:right="0" w:hanging="0"/>
              <w:jc w:val="left"/>
              <w:rPr/>
            </w:pPr>
            <w:r>
              <w:rPr/>
              <w:t xml:space="preserve">  </w:t>
            </w:r>
          </w:p>
        </w:tc>
        <w:tc>
          <w:tcPr>
            <w:tcW w:w="154"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651"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2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651"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3 </w:t>
            </w:r>
          </w:p>
        </w:tc>
        <w:tc>
          <w:tcPr>
            <w:tcW w:w="201" w:type="dxa"/>
            <w:tcBorders/>
            <w:vAlign w:val="center"/>
          </w:tcPr>
          <w:p>
            <w:pPr>
              <w:pStyle w:val="TableContents"/>
              <w:bidi w:val="0"/>
              <w:spacing w:before="0" w:after="0"/>
              <w:ind w:left="0" w:right="0" w:hanging="0"/>
              <w:jc w:val="left"/>
              <w:rPr/>
            </w:pPr>
            <w:r>
              <w:rPr/>
              <w:t xml:space="preserve">  </w:t>
            </w:r>
          </w:p>
        </w:tc>
      </w:tr>
      <w:tr>
        <w:trPr/>
        <w:tc>
          <w:tcPr>
            <w:tcW w:w="589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Assets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637"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5"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683"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5"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415"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415"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201" w:type="dxa"/>
            <w:tcBorders/>
            <w:shd w:fill="CCEEFF" w:val="clear"/>
            <w:vAlign w:val="center"/>
          </w:tcPr>
          <w:p>
            <w:pPr>
              <w:pStyle w:val="TableContents"/>
              <w:bidi w:val="0"/>
              <w:spacing w:before="0" w:after="0"/>
              <w:ind w:left="0" w:right="0" w:hanging="0"/>
              <w:jc w:val="left"/>
              <w:rPr/>
            </w:pPr>
            <w:r>
              <w:rPr/>
              <w:t xml:space="preserve">  </w:t>
            </w:r>
          </w:p>
        </w:tc>
      </w:tr>
      <w:tr>
        <w:trPr/>
        <w:tc>
          <w:tcPr>
            <w:tcW w:w="58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cash equivalents and restricted cash </w:t>
            </w:r>
          </w:p>
        </w:tc>
        <w:tc>
          <w:tcPr>
            <w:tcW w:w="154" w:type="dxa"/>
            <w:tcBorders/>
            <w:vAlign w:val="center"/>
          </w:tcPr>
          <w:p>
            <w:pPr>
              <w:pStyle w:val="TableContents"/>
              <w:bidi w:val="0"/>
              <w:spacing w:before="0" w:after="0"/>
              <w:ind w:left="0" w:right="0" w:hanging="0"/>
              <w:jc w:val="left"/>
              <w:rPr/>
            </w:pPr>
            <w:r>
              <w:rPr/>
              <w:t xml:space="preserve">  </w:t>
            </w:r>
          </w:p>
        </w:tc>
        <w:tc>
          <w:tcPr>
            <w:tcW w:w="206"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37"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3,700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05"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83"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3,700 </w:t>
            </w:r>
          </w:p>
        </w:tc>
        <w:tc>
          <w:tcPr>
            <w:tcW w:w="155"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36"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415"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36"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415"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201" w:type="dxa"/>
            <w:tcBorders/>
            <w:vAlign w:val="center"/>
          </w:tcPr>
          <w:p>
            <w:pPr>
              <w:pStyle w:val="TableContents"/>
              <w:bidi w:val="0"/>
              <w:spacing w:before="0" w:after="0"/>
              <w:ind w:left="0" w:right="0" w:hanging="0"/>
              <w:jc w:val="left"/>
              <w:rPr/>
            </w:pPr>
            <w:r>
              <w:rPr/>
              <w:t xml:space="preserve">  </w:t>
            </w:r>
          </w:p>
        </w:tc>
      </w:tr>
      <w:tr>
        <w:trPr/>
        <w:tc>
          <w:tcPr>
            <w:tcW w:w="58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Marketable Securities: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637"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5"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683"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5"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415"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415"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201" w:type="dxa"/>
            <w:tcBorders/>
            <w:shd w:fill="CCEEFF" w:val="clear"/>
            <w:vAlign w:val="center"/>
          </w:tcPr>
          <w:p>
            <w:pPr>
              <w:pStyle w:val="TableContents"/>
              <w:bidi w:val="0"/>
              <w:spacing w:before="0" w:after="0"/>
              <w:ind w:left="0" w:right="0" w:hanging="0"/>
              <w:jc w:val="left"/>
              <w:rPr/>
            </w:pPr>
            <w:r>
              <w:rPr/>
              <w:t xml:space="preserve">  </w:t>
            </w:r>
          </w:p>
        </w:tc>
      </w:tr>
      <w:tr>
        <w:trPr/>
        <w:tc>
          <w:tcPr>
            <w:tcW w:w="5892"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U.S. treasury bills </w:t>
            </w:r>
          </w:p>
        </w:tc>
        <w:tc>
          <w:tcPr>
            <w:tcW w:w="154" w:type="dxa"/>
            <w:tcBorders/>
            <w:vAlign w:val="center"/>
          </w:tcPr>
          <w:p>
            <w:pPr>
              <w:pStyle w:val="TableContents"/>
              <w:bidi w:val="0"/>
              <w:spacing w:before="0" w:after="0"/>
              <w:ind w:left="0" w:right="0" w:hanging="0"/>
              <w:jc w:val="left"/>
              <w:rPr/>
            </w:pPr>
            <w:r>
              <w:rPr/>
              <w:t xml:space="preserve">  </w:t>
            </w:r>
          </w:p>
        </w:tc>
        <w:tc>
          <w:tcPr>
            <w:tcW w:w="206"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637"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05"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683"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8,519 </w:t>
            </w:r>
          </w:p>
        </w:tc>
        <w:tc>
          <w:tcPr>
            <w:tcW w:w="155"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36"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415"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236"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415"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201" w:type="dxa"/>
            <w:tcBorders/>
            <w:vAlign w:val="center"/>
          </w:tcPr>
          <w:p>
            <w:pPr>
              <w:pStyle w:val="TableContents"/>
              <w:bidi w:val="0"/>
              <w:spacing w:before="0" w:after="0"/>
              <w:ind w:left="0" w:right="0" w:hanging="0"/>
              <w:jc w:val="left"/>
              <w:rPr/>
            </w:pPr>
            <w:r>
              <w:rPr/>
              <w:t xml:space="preserve">  </w:t>
            </w:r>
          </w:p>
        </w:tc>
      </w:tr>
      <w:tr>
        <w:trPr/>
        <w:tc>
          <w:tcPr>
            <w:tcW w:w="58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cash, cash equivalents, restricted cash and marketable securities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37"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12,219</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0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83"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12,219 </w:t>
            </w:r>
          </w:p>
        </w:tc>
        <w:tc>
          <w:tcPr>
            <w:tcW w:w="155"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41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41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 xml:space="preserve">— </w:t>
            </w:r>
          </w:p>
        </w:tc>
        <w:tc>
          <w:tcPr>
            <w:tcW w:w="201" w:type="dxa"/>
            <w:tcBorders/>
            <w:shd w:fill="CCEEFF" w:val="clear"/>
            <w:vAlign w:val="center"/>
          </w:tcPr>
          <w:p>
            <w:pPr>
              <w:pStyle w:val="TableContents"/>
              <w:bidi w:val="0"/>
              <w:spacing w:before="0" w:after="283"/>
              <w:jc w:val="left"/>
              <w:rPr/>
            </w:pPr>
            <w:r>
              <w:rPr/>
            </w:r>
          </w:p>
        </w:tc>
      </w:tr>
    </w:tbl>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4965"/>
        <w:gridCol w:w="189"/>
        <w:gridCol w:w="253"/>
        <w:gridCol w:w="782"/>
        <w:gridCol w:w="189"/>
        <w:gridCol w:w="189"/>
        <w:gridCol w:w="253"/>
        <w:gridCol w:w="782"/>
        <w:gridCol w:w="189"/>
        <w:gridCol w:w="189"/>
        <w:gridCol w:w="290"/>
        <w:gridCol w:w="510"/>
        <w:gridCol w:w="189"/>
        <w:gridCol w:w="190"/>
        <w:gridCol w:w="290"/>
        <w:gridCol w:w="509"/>
        <w:gridCol w:w="247"/>
      </w:tblGrid>
      <w:tr>
        <w:trPr/>
        <w:tc>
          <w:tcPr>
            <w:tcW w:w="4965"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pPr>
            <w:r>
              <w:rPr/>
              <w:t xml:space="preserve">  </w:t>
            </w:r>
          </w:p>
        </w:tc>
        <w:tc>
          <w:tcPr>
            <w:tcW w:w="782" w:type="dxa"/>
            <w:tcBorders/>
            <w:vAlign w:val="center"/>
          </w:tcPr>
          <w:p>
            <w:pPr>
              <w:pStyle w:val="TableContents"/>
              <w:bidi w:val="0"/>
              <w:spacing w:before="0" w:after="0"/>
              <w:ind w:left="0" w:right="0" w:hanging="0"/>
              <w:jc w:val="center"/>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3391" w:type="dxa"/>
            <w:gridSpan w:val="10"/>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Fair Value Hierarchy </w:t>
            </w:r>
          </w:p>
        </w:tc>
        <w:tc>
          <w:tcPr>
            <w:tcW w:w="247" w:type="dxa"/>
            <w:tcBorders/>
            <w:vAlign w:val="center"/>
          </w:tcPr>
          <w:p>
            <w:pPr>
              <w:pStyle w:val="TableContents"/>
              <w:bidi w:val="0"/>
              <w:spacing w:before="0" w:after="0"/>
              <w:ind w:left="0" w:right="0" w:hanging="0"/>
              <w:jc w:val="left"/>
              <w:rPr/>
            </w:pPr>
            <w:r>
              <w:rPr/>
              <w:t xml:space="preserve">  </w:t>
            </w:r>
          </w:p>
        </w:tc>
      </w:tr>
      <w:tr>
        <w:trPr/>
        <w:tc>
          <w:tcPr>
            <w:tcW w:w="4965" w:type="dxa"/>
            <w:tcBorders/>
            <w:vAlign w:val="center"/>
          </w:tcPr>
          <w:p>
            <w:pPr>
              <w:pStyle w:val="TableContents"/>
              <w:bidi w:val="0"/>
              <w:spacing w:before="0" w:after="0"/>
              <w:ind w:left="0" w:right="0" w:hanging="0"/>
              <w:jc w:val="left"/>
              <w:rPr>
                <w:b/>
              </w:rPr>
            </w:pPr>
            <w:r>
              <w:rPr>
                <w:b/>
              </w:rPr>
              <w:t xml:space="preserve">December 31, 2023 </w:t>
            </w:r>
          </w:p>
        </w:tc>
        <w:tc>
          <w:tcPr>
            <w:tcW w:w="189" w:type="dxa"/>
            <w:tcBorders/>
            <w:vAlign w:val="center"/>
          </w:tcPr>
          <w:p>
            <w:pPr>
              <w:pStyle w:val="TableContents"/>
              <w:bidi w:val="0"/>
              <w:spacing w:before="0" w:after="0"/>
              <w:ind w:left="0" w:right="0" w:hanging="0"/>
              <w:jc w:val="left"/>
              <w:rPr/>
            </w:pPr>
            <w:r>
              <w:rPr/>
              <w:t xml:space="preserve">  </w:t>
            </w:r>
          </w:p>
        </w:tc>
        <w:tc>
          <w:tcPr>
            <w:tcW w:w="1035"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Total </w:t>
            </w:r>
          </w:p>
        </w:tc>
        <w:tc>
          <w:tcPr>
            <w:tcW w:w="189"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103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1 </w:t>
            </w:r>
          </w:p>
        </w:tc>
        <w:tc>
          <w:tcPr>
            <w:tcW w:w="189" w:type="dxa"/>
            <w:tcBorders/>
            <w:vAlign w:val="center"/>
          </w:tcPr>
          <w:p>
            <w:pPr>
              <w:pStyle w:val="TableContents"/>
              <w:bidi w:val="0"/>
              <w:spacing w:before="0" w:after="0"/>
              <w:ind w:left="0" w:right="0" w:hanging="0"/>
              <w:jc w:val="left"/>
              <w:rPr/>
            </w:pPr>
            <w:r>
              <w:rPr/>
              <w:t xml:space="preserve">  </w:t>
            </w:r>
          </w:p>
        </w:tc>
        <w:tc>
          <w:tcPr>
            <w:tcW w:w="189"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80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2 </w:t>
            </w:r>
          </w:p>
        </w:tc>
        <w:tc>
          <w:tcPr>
            <w:tcW w:w="189" w:type="dxa"/>
            <w:tcBorders/>
            <w:vAlign w:val="center"/>
          </w:tcPr>
          <w:p>
            <w:pPr>
              <w:pStyle w:val="TableContents"/>
              <w:bidi w:val="0"/>
              <w:spacing w:before="0" w:after="0"/>
              <w:ind w:left="0" w:right="0" w:hanging="0"/>
              <w:jc w:val="left"/>
              <w:rPr/>
            </w:pPr>
            <w:r>
              <w:rPr/>
              <w:t xml:space="preserve">  </w:t>
            </w:r>
          </w:p>
        </w:tc>
        <w:tc>
          <w:tcPr>
            <w:tcW w:w="190" w:type="dxa"/>
            <w:tcBorders>
              <w:top w:val="single" w:sz="6" w:space="0" w:color="000000"/>
            </w:tcBorders>
            <w:tcMar>
              <w:top w:w="28" w:type="dxa"/>
            </w:tcMar>
            <w:vAlign w:val="center"/>
          </w:tcPr>
          <w:p>
            <w:pPr>
              <w:pStyle w:val="TableContents"/>
              <w:bidi w:val="0"/>
              <w:spacing w:before="0" w:after="0"/>
              <w:ind w:left="0" w:right="0" w:hanging="0"/>
              <w:jc w:val="left"/>
              <w:rPr/>
            </w:pPr>
            <w:r>
              <w:rPr/>
              <w:t xml:space="preserve">  </w:t>
            </w:r>
          </w:p>
        </w:tc>
        <w:tc>
          <w:tcPr>
            <w:tcW w:w="799"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Level 3 </w:t>
            </w:r>
          </w:p>
        </w:tc>
        <w:tc>
          <w:tcPr>
            <w:tcW w:w="247" w:type="dxa"/>
            <w:tcBorders/>
            <w:vAlign w:val="center"/>
          </w:tcPr>
          <w:p>
            <w:pPr>
              <w:pStyle w:val="TableContents"/>
              <w:bidi w:val="0"/>
              <w:spacing w:before="0" w:after="0"/>
              <w:ind w:left="0" w:right="0" w:hanging="0"/>
              <w:jc w:val="left"/>
              <w:rPr/>
            </w:pPr>
            <w:r>
              <w:rPr/>
              <w:t xml:space="preserve">  </w:t>
            </w:r>
          </w:p>
        </w:tc>
      </w:tr>
      <w:tr>
        <w:trPr/>
        <w:tc>
          <w:tcPr>
            <w:tcW w:w="496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Assets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782"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782"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510"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18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top w:val="single" w:sz="6" w:space="0" w:color="000000"/>
            </w:tcBorders>
            <w:shd w:fill="CCEEFF" w:val="clear"/>
            <w:tcMar>
              <w:top w:w="28" w:type="dxa"/>
            </w:tcMar>
            <w:vAlign w:val="center"/>
          </w:tcPr>
          <w:p>
            <w:pPr>
              <w:pStyle w:val="TableContents"/>
              <w:bidi w:val="0"/>
              <w:spacing w:before="0" w:after="0"/>
              <w:ind w:left="0" w:right="0" w:hanging="0"/>
              <w:jc w:val="left"/>
              <w:rPr/>
            </w:pPr>
            <w:r>
              <w:rPr/>
              <w:t xml:space="preserve">  </w:t>
            </w:r>
          </w:p>
        </w:tc>
        <w:tc>
          <w:tcPr>
            <w:tcW w:w="509" w:type="dxa"/>
            <w:tcBorders>
              <w:top w:val="single" w:sz="6" w:space="0" w:color="000000"/>
            </w:tcBorders>
            <w:shd w:fill="CCEEFF" w:val="clear"/>
            <w:tcMar>
              <w:top w:w="28" w:type="dxa"/>
            </w:tcMar>
            <w:vAlign w:val="center"/>
          </w:tcPr>
          <w:p>
            <w:pPr>
              <w:pStyle w:val="TableContents"/>
              <w:bidi w:val="0"/>
              <w:spacing w:before="0" w:after="0"/>
              <w:ind w:left="0" w:right="0" w:hanging="0"/>
              <w:jc w:val="righ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r>
      <w:tr>
        <w:trPr/>
        <w:tc>
          <w:tcPr>
            <w:tcW w:w="49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cash, cash equivalents and restricted cash </w:t>
            </w:r>
          </w:p>
        </w:tc>
        <w:tc>
          <w:tcPr>
            <w:tcW w:w="189"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10,581</w:t>
            </w:r>
          </w:p>
        </w:tc>
        <w:tc>
          <w:tcPr>
            <w:tcW w:w="189"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10,581</w:t>
            </w:r>
          </w:p>
        </w:tc>
        <w:tc>
          <w:tcPr>
            <w:tcW w:w="189" w:type="dxa"/>
            <w:tcBorders/>
            <w:vAlign w:val="center"/>
          </w:tcPr>
          <w:p>
            <w:pPr>
              <w:pStyle w:val="TableContents"/>
              <w:bidi w:val="0"/>
              <w:spacing w:before="0" w:after="0"/>
              <w:ind w:left="0" w:right="0" w:hanging="0"/>
              <w:jc w:val="lef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510" w:type="dxa"/>
            <w:tcBorders/>
            <w:vAlign w:val="center"/>
          </w:tcPr>
          <w:p>
            <w:pPr>
              <w:pStyle w:val="TableContents"/>
              <w:bidi w:val="0"/>
              <w:spacing w:before="0" w:after="0"/>
              <w:ind w:left="0" w:right="0" w:hanging="0"/>
              <w:jc w:val="right"/>
              <w:rPr/>
            </w:pPr>
            <w:r>
              <w:rPr/>
              <w:t xml:space="preserve">— </w:t>
            </w:r>
          </w:p>
        </w:tc>
        <w:tc>
          <w:tcPr>
            <w:tcW w:w="18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509" w:type="dxa"/>
            <w:tcBorders/>
            <w:vAlign w:val="center"/>
          </w:tcPr>
          <w:p>
            <w:pPr>
              <w:pStyle w:val="TableContents"/>
              <w:bidi w:val="0"/>
              <w:spacing w:before="0" w:after="0"/>
              <w:ind w:left="0" w:right="0" w:hanging="0"/>
              <w:jc w:val="right"/>
              <w:rPr/>
            </w:pPr>
            <w:r>
              <w:rPr/>
              <w:t xml:space="preserve">— </w:t>
            </w:r>
          </w:p>
        </w:tc>
        <w:tc>
          <w:tcPr>
            <w:tcW w:w="247"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times" w:hAnsi="times new roman;times"/>
          <w:sz w:val="20"/>
        </w:rPr>
      </w:pPr>
      <w:r>
        <w:rPr>
          <w:rFonts w:ascii="times new roman;times" w:hAnsi="times new roman;times"/>
          <w:sz w:val="20"/>
        </w:rPr>
      </w:r>
    </w:p>
    <w:p>
      <w:pPr>
        <w:pStyle w:val="TextBody"/>
        <w:bidi w:val="0"/>
        <w:spacing w:lineRule="auto" w:line="288"/>
        <w:jc w:val="both"/>
        <w:rPr>
          <w:rFonts w:ascii="Times New Roman;serif" w:hAnsi="Times New Roman;serif"/>
          <w:sz w:val="20"/>
        </w:rPr>
      </w:pPr>
      <w:r>
        <w:rPr>
          <w:rFonts w:ascii="Times New Roman;serif" w:hAnsi="Times New Roman;serif"/>
          <w:sz w:val="20"/>
        </w:rPr>
        <w:t>As of December 31, 2024, the Company's Marketable securities in the amount of $8.5 million were carried at fair value in accordance with Level 1 as described above. The Company had no financial assets or liabilities as of December 31, 2023 that required valuation in accordance with the levels described above. The Company recognizes transfers between levels of the fair value hierarchy as of the end of the reporting period. There were no transfers within the hierarchy during the December 31, 2024 and year ended December 31, 2023. The carrying amount of the Company’s receivables and payables approximate their fair value due to their maturity.</w:t>
      </w:r>
    </w:p>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7.</w:t>
      </w:r>
      <w:r>
        <w:rPr>
          <w:rFonts w:ascii="times new roman;times" w:hAnsi="times new roman;times"/>
          <w:sz w:val="20"/>
        </w:rPr>
        <w:t>  </w:t>
      </w:r>
      <w:r>
        <w:rPr>
          <w:rFonts w:ascii="Times New Roman" w:hAnsi="Times New Roman"/>
          <w:b/>
          <w:sz w:val="20"/>
        </w:rPr>
        <w:t>Inventory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of December 31, 2024 and 2023, inventories consisted of the following:</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562"/>
        <w:gridCol w:w="294"/>
        <w:gridCol w:w="416"/>
        <w:gridCol w:w="1299"/>
        <w:gridCol w:w="294"/>
        <w:gridCol w:w="294"/>
        <w:gridCol w:w="416"/>
        <w:gridCol w:w="1299"/>
        <w:gridCol w:w="331"/>
      </w:tblGrid>
      <w:tr>
        <w:trPr/>
        <w:tc>
          <w:tcPr>
            <w:tcW w:w="5562" w:type="dxa"/>
            <w:tcBorders/>
            <w:shd w:fill="FFFFFF" w:val="clear"/>
            <w:vAlign w:val="center"/>
          </w:tcPr>
          <w:p>
            <w:pPr>
              <w:pStyle w:val="TableContents"/>
              <w:bidi w:val="0"/>
              <w:spacing w:before="0" w:after="0"/>
              <w:ind w:left="0" w:right="0" w:hanging="0"/>
              <w:jc w:val="left"/>
              <w:rPr/>
            </w:pPr>
            <w:r>
              <w:rPr/>
              <w:t xml:space="preserve">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4018"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331" w:type="dxa"/>
            <w:tcBorders/>
            <w:shd w:fill="FFFFFF" w:val="clear"/>
            <w:vAlign w:val="center"/>
          </w:tcPr>
          <w:p>
            <w:pPr>
              <w:pStyle w:val="TableContents"/>
              <w:bidi w:val="0"/>
              <w:spacing w:before="0" w:after="0"/>
              <w:ind w:left="0" w:right="0" w:hanging="0"/>
              <w:jc w:val="left"/>
              <w:rPr/>
            </w:pPr>
            <w:r>
              <w:rPr/>
              <w:t xml:space="preserve">  </w:t>
            </w:r>
          </w:p>
        </w:tc>
      </w:tr>
      <w:tr>
        <w:trPr/>
        <w:tc>
          <w:tcPr>
            <w:tcW w:w="5562" w:type="dxa"/>
            <w:tcBorders/>
            <w:shd w:fill="FFFFFF" w:val="clear"/>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416" w:type="dxa"/>
            <w:tcBorders/>
            <w:shd w:fill="FFFFFF" w:val="clear"/>
            <w:vAlign w:val="center"/>
          </w:tcPr>
          <w:p>
            <w:pPr>
              <w:pStyle w:val="TableContents"/>
              <w:bidi w:val="0"/>
              <w:spacing w:before="0" w:after="283"/>
              <w:jc w:val="left"/>
              <w:rPr>
                <w:sz w:val="4"/>
                <w:szCs w:val="4"/>
              </w:rPr>
            </w:pPr>
            <w:r>
              <w:rPr>
                <w:sz w:val="4"/>
                <w:szCs w:val="4"/>
              </w:rPr>
            </w:r>
          </w:p>
        </w:tc>
        <w:tc>
          <w:tcPr>
            <w:tcW w:w="1299" w:type="dxa"/>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294" w:type="dxa"/>
            <w:tcBorders/>
            <w:shd w:fill="FFFFFF" w:val="clear"/>
            <w:vAlign w:val="center"/>
          </w:tcPr>
          <w:p>
            <w:pPr>
              <w:pStyle w:val="TableContents"/>
              <w:bidi w:val="0"/>
              <w:spacing w:before="0" w:after="0"/>
              <w:ind w:left="0" w:right="0" w:hanging="0"/>
              <w:jc w:val="center"/>
              <w:rPr/>
            </w:pPr>
            <w:r>
              <w:rPr/>
              <w:t xml:space="preserve">  </w:t>
            </w:r>
          </w:p>
        </w:tc>
        <w:tc>
          <w:tcPr>
            <w:tcW w:w="416" w:type="dxa"/>
            <w:tcBorders/>
            <w:shd w:fill="FFFFFF" w:val="clear"/>
            <w:vAlign w:val="center"/>
          </w:tcPr>
          <w:p>
            <w:pPr>
              <w:pStyle w:val="TableContents"/>
              <w:bidi w:val="0"/>
              <w:spacing w:before="0" w:after="283"/>
              <w:jc w:val="left"/>
              <w:rPr>
                <w:sz w:val="4"/>
                <w:szCs w:val="4"/>
              </w:rPr>
            </w:pPr>
            <w:r>
              <w:rPr>
                <w:sz w:val="4"/>
                <w:szCs w:val="4"/>
              </w:rPr>
            </w:r>
          </w:p>
        </w:tc>
        <w:tc>
          <w:tcPr>
            <w:tcW w:w="1299" w:type="dxa"/>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331" w:type="dxa"/>
            <w:tcBorders/>
            <w:shd w:fill="FFFFFF" w:val="clear"/>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Raw materials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923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832 </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Work in process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193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1,538 </w:t>
            </w:r>
          </w:p>
        </w:tc>
        <w:tc>
          <w:tcPr>
            <w:tcW w:w="331" w:type="dxa"/>
            <w:tcBorders/>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Finished Goods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560</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397 </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Inventory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1,676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2,767 </w:t>
            </w:r>
          </w:p>
        </w:tc>
        <w:tc>
          <w:tcPr>
            <w:tcW w:w="331" w:type="dxa"/>
            <w:tcBorders/>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noncurrent inventory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607</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current inventory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1,676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2,160 </w:t>
            </w:r>
          </w:p>
        </w:tc>
        <w:tc>
          <w:tcPr>
            <w:tcW w:w="33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reserve for obsolete inventory was $0.6 million and $0.7 million as of December 31, 2024 and 2023, respectively. </w:t>
      </w:r>
      <w:r>
        <w:rPr>
          <w:rFonts w:ascii="times new roman;times" w:hAnsi="times new roman;times"/>
          <w:b w:val="false"/>
          <w:i w:val="false"/>
          <w:caps w:val="false"/>
          <w:smallCaps w:val="false"/>
          <w:strike w:val="false"/>
          <w:dstrike w:val="false"/>
          <w:color w:val="000000"/>
          <w:spacing w:val="0"/>
          <w:sz w:val="20"/>
          <w:u w:val="none"/>
          <w:effect w:val="none"/>
        </w:rPr>
        <w:t xml:space="preserve">The Company records charges for obsolete inventory in Cost of goods sold. The amounts recorded to cost of goods sold totaled a credit of $0.1 million and a charge of $0.7 million for the years ended December 31, 2024 and 2023, respectively. As of </w:t>
      </w:r>
      <w:r>
        <w:rPr>
          <w:rFonts w:ascii="times new roman;times" w:hAnsi="times new roman;times"/>
          <w:b w:val="false"/>
          <w:i w:val="false"/>
          <w:caps w:val="false"/>
          <w:smallCaps w:val="false"/>
          <w:strike w:val="false"/>
          <w:dstrike w:val="false"/>
          <w:color w:val="000000"/>
          <w:spacing w:val="0"/>
          <w:sz w:val="20"/>
          <w:u w:val="none"/>
          <w:effect w:val="none"/>
        </w:rPr>
        <w:t>December 31, 2023</w:t>
      </w:r>
      <w:r>
        <w:rPr>
          <w:rFonts w:ascii="times new roman;times" w:hAnsi="times new roman;times"/>
          <w:b w:val="false"/>
          <w:i w:val="false"/>
          <w:caps w:val="false"/>
          <w:smallCaps w:val="false"/>
          <w:strike w:val="false"/>
          <w:dstrike w:val="false"/>
          <w:color w:val="000000"/>
          <w:spacing w:val="0"/>
          <w:sz w:val="20"/>
          <w:u w:val="none"/>
          <w:effect w:val="none"/>
        </w:rPr>
        <w:t> noncurrent inventory was comprised of approximately</w:t>
      </w:r>
      <w:r>
        <w:rPr>
          <w:rFonts w:ascii="times new roman;times" w:hAnsi="times new roman;times"/>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$0.5 million of raw materials, respectively, and</w:t>
      </w:r>
      <w:r>
        <w:rPr>
          <w:rFonts w:ascii="times new roman;times" w:hAnsi="times new roman;times"/>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$0.1 million of work in process, respectively. Inventory classified under the category “Work in process” consists of prefabricated assembled product.</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Note 8.</w:t>
      </w:r>
      <w:r>
        <w:rPr>
          <w:rFonts w:ascii="times new roman;times" w:hAnsi="times new roman;times"/>
          <w:sz w:val="20"/>
        </w:rPr>
        <w:t>  </w:t>
      </w:r>
      <w:r>
        <w:rPr>
          <w:rFonts w:ascii="times new roman;times" w:hAnsi="times new roman;times"/>
          <w:b/>
          <w:sz w:val="20"/>
        </w:rPr>
        <w:t>Leases</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Company accounts for leases in accordance with ASU 842, and its operating leases consist of manufacturing/warehouse space in Rockaway, New Jersey and office equipment. The Company elected not to recognize right of use assets and lease liabilities for short term leases, i.e., leases with a noncancelable period of 12 months or less. The Company recognized the option to renew its </w:t>
      </w:r>
      <w:r>
        <w:rPr>
          <w:rFonts w:ascii="times new roman;times" w:hAnsi="times new roman;times"/>
          <w:b w:val="false"/>
          <w:i w:val="false"/>
          <w:caps w:val="false"/>
          <w:smallCaps w:val="false"/>
          <w:color w:val="000000"/>
          <w:spacing w:val="0"/>
          <w:sz w:val="20"/>
        </w:rPr>
        <w:t>manufacturing/warehouse space ("</w:t>
      </w:r>
      <w:r>
        <w:rPr>
          <w:rFonts w:ascii="times new roman;times" w:hAnsi="times new roman;times"/>
          <w:sz w:val="20"/>
        </w:rPr>
        <w:t>Rockaway space") as part of the right of use asset and the lease liability as the Company deemed that the renewal option was reasonably certain to be exercised.</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For the years ended December 31, 2024 and 2023, the Company recognized lease expense of $535,000 and $153,000 respectively. This expense does not include non-lease components associated with the lease agreements as the Company elected not to include such charges as part of the lease expense.</w:t>
      </w:r>
    </w:p>
    <w:p>
      <w:pPr>
        <w:pStyle w:val="TextBody"/>
        <w:bidi w:val="0"/>
        <w:spacing w:lineRule="auto" w:line="288" w:before="240" w:after="0"/>
        <w:ind w:left="0" w:right="0" w:hanging="0"/>
        <w:jc w:val="left"/>
        <w:rPr>
          <w:rFonts w:ascii="times new roman;times" w:hAnsi="times new roman;times"/>
          <w:sz w:val="20"/>
        </w:rPr>
      </w:pPr>
      <w:r>
        <w:rPr>
          <w:rFonts w:ascii="Times New Roman;serif" w:hAnsi="Times New Roman;serif"/>
          <w:sz w:val="20"/>
        </w:rPr>
        <w:t>On February 6, 2024, the Company entered into The First Amendment to Lease Agreement (the “Rockaway Amendment”) to extend its Rockaway, New Jersey lease for an additional 10 years. The Rockaway Amendment was effective May 1, 2024, and expires on July 31, 2034, with a tenant option to renew for an additional five years. The increase in the term of the lease for the existing leased property was accounted for as a lease modification, therefore, the associated operating lease right of use assets and operating lease liabilities for the existing space were remeasured as of February 6, 2024. The Rockaway Amendment also includes the expansion of leased property from 13,643 square feet to 22,557 square feet. The Company has accounted for the expansion space as an increase in lease right of use assets effective with the Rockaway Amendment commencement date of June 1, 2024.</w:t>
      </w:r>
      <w:r>
        <w:rPr>
          <w:rFonts w:ascii="times new roman;times" w:hAnsi="times new roman;times"/>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Supplemental Balance Sheet Information for Operating Leases: </w:t>
      </w:r>
    </w:p>
    <w:p>
      <w:pPr>
        <w:pStyle w:val="TextBody"/>
        <w:bidi w:val="0"/>
        <w:spacing w:lineRule="auto" w:line="288" w:before="0" w:after="0"/>
        <w:ind w:left="0" w:right="0" w:hanging="0"/>
        <w:jc w:val="left"/>
        <w:rPr/>
      </w:pPr>
      <w:r>
        <w:rPr/>
        <w:t> </w:t>
      </w:r>
    </w:p>
    <w:tbl>
      <w:tblPr>
        <w:tblW w:w="5908" w:type="dxa"/>
        <w:jc w:val="left"/>
        <w:tblInd w:w="0" w:type="dxa"/>
        <w:tblLayout w:type="fixed"/>
        <w:tblCellMar>
          <w:top w:w="0" w:type="dxa"/>
          <w:left w:w="0" w:type="dxa"/>
          <w:bottom w:w="0" w:type="dxa"/>
          <w:right w:w="0" w:type="dxa"/>
        </w:tblCellMar>
      </w:tblPr>
      <w:tblGrid>
        <w:gridCol w:w="4070"/>
        <w:gridCol w:w="120"/>
        <w:gridCol w:w="170"/>
        <w:gridCol w:w="530"/>
        <w:gridCol w:w="185"/>
        <w:gridCol w:w="23"/>
        <w:gridCol w:w="170"/>
        <w:gridCol w:w="440"/>
        <w:gridCol w:w="200"/>
      </w:tblGrid>
      <w:tr>
        <w:trPr/>
        <w:tc>
          <w:tcPr>
            <w:tcW w:w="4070" w:type="dxa"/>
            <w:tcBorders/>
            <w:shd w:fill="FFFFFF" w:val="clear"/>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r>
          </w:p>
        </w:tc>
        <w:tc>
          <w:tcPr>
            <w:tcW w:w="1518" w:type="dxa"/>
            <w:gridSpan w:val="6"/>
            <w:tcBorders/>
            <w:shd w:fill="FFFFFF" w:val="clear"/>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December 31,</w:t>
            </w:r>
          </w:p>
        </w:tc>
        <w:tc>
          <w:tcPr>
            <w:tcW w:w="200" w:type="dxa"/>
            <w:tcBorders/>
            <w:shd w:fill="FFFFFF" w:val="clear"/>
            <w:vAlign w:val="center"/>
          </w:tcPr>
          <w:p>
            <w:pPr>
              <w:pStyle w:val="TableContents"/>
              <w:bidi w:val="0"/>
              <w:spacing w:before="0" w:after="283"/>
              <w:jc w:val="left"/>
              <w:rPr/>
            </w:pPr>
            <w:r>
              <w:rPr/>
            </w:r>
          </w:p>
        </w:tc>
      </w:tr>
      <w:tr>
        <w:trPr/>
        <w:tc>
          <w:tcPr>
            <w:tcW w:w="4070" w:type="dxa"/>
            <w:tcBorders/>
            <w:shd w:fill="FFFFFF" w:val="clear"/>
            <w:vAlign w:val="center"/>
          </w:tcPr>
          <w:p>
            <w:pPr>
              <w:pStyle w:val="TableContents"/>
              <w:bidi w:val="0"/>
              <w:spacing w:before="0" w:after="283"/>
              <w:jc w:val="left"/>
              <w:rPr>
                <w:rFonts w:ascii="times new roman;times" w:hAnsi="times new roman;times"/>
                <w:b/>
                <w:sz w:val="16"/>
              </w:rPr>
            </w:pPr>
            <w:r>
              <w:rPr>
                <w:rFonts w:ascii="times new roman;times" w:hAnsi="times new roman;times"/>
                <w:b/>
                <w:sz w:val="16"/>
              </w:rPr>
              <w:t>(in thousands)</w:t>
            </w:r>
          </w:p>
        </w:tc>
        <w:tc>
          <w:tcPr>
            <w:tcW w:w="120" w:type="dxa"/>
            <w:tcBorders/>
            <w:shd w:fill="FFFFFF" w:val="clear"/>
            <w:vAlign w:val="center"/>
          </w:tcPr>
          <w:p>
            <w:pPr>
              <w:pStyle w:val="TableContents"/>
              <w:bidi w:val="0"/>
              <w:spacing w:before="0" w:after="283"/>
              <w:jc w:val="left"/>
              <w:rPr/>
            </w:pPr>
            <w:r>
              <w:rPr/>
            </w:r>
          </w:p>
        </w:tc>
        <w:tc>
          <w:tcPr>
            <w:tcW w:w="170" w:type="dxa"/>
            <w:tcBorders/>
            <w:shd w:fill="FFFFFF" w:val="clear"/>
            <w:vAlign w:val="center"/>
          </w:tcPr>
          <w:p>
            <w:pPr>
              <w:pStyle w:val="TableContents"/>
              <w:bidi w:val="0"/>
              <w:spacing w:before="0" w:after="283"/>
              <w:jc w:val="left"/>
              <w:rPr/>
            </w:pPr>
            <w:r>
              <w:rPr/>
            </w:r>
          </w:p>
        </w:tc>
        <w:tc>
          <w:tcPr>
            <w:tcW w:w="530" w:type="dxa"/>
            <w:tcBorders/>
            <w:shd w:fill="FFFFFF" w:val="clear"/>
            <w:vAlign w:val="center"/>
          </w:tcPr>
          <w:p>
            <w:pPr>
              <w:pStyle w:val="TableContents"/>
              <w:bidi w:val="0"/>
              <w:spacing w:before="0" w:after="283"/>
              <w:jc w:val="center"/>
              <w:rPr>
                <w:rFonts w:ascii="times new roman;times" w:hAnsi="times new roman;times"/>
                <w:b/>
                <w:sz w:val="16"/>
              </w:rPr>
            </w:pPr>
            <w:r>
              <w:rPr>
                <w:rFonts w:ascii="times new roman;times" w:hAnsi="times new roman;times"/>
                <w:b/>
                <w:sz w:val="16"/>
              </w:rPr>
              <w:t>2024</w:t>
            </w:r>
          </w:p>
        </w:tc>
        <w:tc>
          <w:tcPr>
            <w:tcW w:w="18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70" w:type="dxa"/>
            <w:tcBorders/>
            <w:shd w:fill="FFFFFF" w:val="clear"/>
            <w:vAlign w:val="center"/>
          </w:tcPr>
          <w:p>
            <w:pPr>
              <w:pStyle w:val="TableContents"/>
              <w:bidi w:val="0"/>
              <w:spacing w:before="0" w:after="283"/>
              <w:jc w:val="left"/>
              <w:rPr/>
            </w:pPr>
            <w:r>
              <w:rPr/>
            </w:r>
          </w:p>
        </w:tc>
        <w:tc>
          <w:tcPr>
            <w:tcW w:w="440" w:type="dxa"/>
            <w:tcBorders/>
            <w:shd w:fill="FFFFFF" w:val="clear"/>
            <w:vAlign w:val="center"/>
          </w:tcPr>
          <w:p>
            <w:pPr>
              <w:pStyle w:val="TableContents"/>
              <w:bidi w:val="0"/>
              <w:spacing w:before="0" w:after="283"/>
              <w:jc w:val="center"/>
              <w:rPr>
                <w:rFonts w:ascii="times new roman;times" w:hAnsi="times new roman;times"/>
                <w:b/>
                <w:sz w:val="16"/>
              </w:rPr>
            </w:pPr>
            <w:r>
              <w:rPr>
                <w:rFonts w:ascii="times new roman;times" w:hAnsi="times new roman;times"/>
                <w:b/>
                <w:sz w:val="16"/>
              </w:rPr>
              <w:t>2023</w:t>
            </w:r>
          </w:p>
        </w:tc>
        <w:tc>
          <w:tcPr>
            <w:tcW w:w="200" w:type="dxa"/>
            <w:tcBorders/>
            <w:shd w:fill="FFFFFF" w:val="clear"/>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30" w:type="dxa"/>
            <w:tcBorders/>
            <w:shd w:fill="CCEEFF" w:val="clear"/>
            <w:vAlign w:val="center"/>
          </w:tcPr>
          <w:p>
            <w:pPr>
              <w:pStyle w:val="TableContents"/>
              <w:bidi w:val="0"/>
              <w:spacing w:before="0" w:after="0"/>
              <w:ind w:left="0" w:right="0" w:hanging="0"/>
              <w:jc w:val="right"/>
              <w:rPr/>
            </w:pPr>
            <w:r>
              <w:rPr/>
              <w:t xml:space="preserve">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left"/>
              <w:rPr/>
            </w:pPr>
            <w:r>
              <w:rPr/>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Operating lease right of use assets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53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3,739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440" w:type="dxa"/>
            <w:tcBorders/>
            <w:vAlign w:val="center"/>
          </w:tcPr>
          <w:p>
            <w:pPr>
              <w:pStyle w:val="TableContents"/>
              <w:bidi w:val="0"/>
              <w:spacing w:before="0" w:after="283"/>
              <w:jc w:val="right"/>
              <w:rPr/>
            </w:pPr>
            <w:r>
              <w:rPr/>
              <w:t>502</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 liabilities: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30" w:type="dxa"/>
            <w:tcBorders/>
            <w:shd w:fill="CCEEFF" w:val="clear"/>
            <w:vAlign w:val="center"/>
          </w:tcPr>
          <w:p>
            <w:pPr>
              <w:pStyle w:val="TableContents"/>
              <w:pBdr/>
              <w:bidi w:val="0"/>
              <w:spacing w:before="0" w:after="0"/>
              <w:ind w:left="0" w:right="0" w:hanging="0"/>
              <w:jc w:val="right"/>
              <w:rPr/>
            </w:pPr>
            <w:r>
              <w:rPr/>
              <w:t xml:space="preserve">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left"/>
              <w:rPr/>
            </w:pPr>
            <w:r>
              <w:rPr/>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Current portion of operating lease liabilities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53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361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pPr>
            <w:r>
              <w:rPr/>
              <w:t xml:space="preserve">  </w:t>
            </w:r>
          </w:p>
        </w:tc>
        <w:tc>
          <w:tcPr>
            <w:tcW w:w="440" w:type="dxa"/>
            <w:tcBorders/>
            <w:vAlign w:val="center"/>
          </w:tcPr>
          <w:p>
            <w:pPr>
              <w:pStyle w:val="TableContents"/>
              <w:bidi w:val="0"/>
              <w:spacing w:before="0" w:after="283"/>
              <w:jc w:val="right"/>
              <w:rPr/>
            </w:pPr>
            <w:r>
              <w:rPr/>
              <w:t>89</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Noncurrent operating lease liabilities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3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3,775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right"/>
              <w:rPr/>
            </w:pPr>
            <w:r>
              <w:rPr/>
              <w:t>537</w:t>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lease liabilities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53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4,136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440" w:type="dxa"/>
            <w:tcBorders/>
            <w:vAlign w:val="center"/>
          </w:tcPr>
          <w:p>
            <w:pPr>
              <w:pStyle w:val="TableContents"/>
              <w:bidi w:val="0"/>
              <w:spacing w:before="0" w:after="283"/>
              <w:jc w:val="right"/>
              <w:rPr/>
            </w:pPr>
            <w:r>
              <w:rPr/>
              <w:t>626</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Weighted average remaining lease term (in years)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3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14.5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right"/>
              <w:rPr/>
            </w:pPr>
            <w:r>
              <w:rPr/>
              <w:t>5.2</w:t>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Weighted average discount rate </w:t>
            </w:r>
          </w:p>
        </w:tc>
        <w:tc>
          <w:tcPr>
            <w:tcW w:w="120"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ind w:left="0" w:right="0" w:hanging="0"/>
              <w:jc w:val="left"/>
              <w:rPr/>
            </w:pPr>
            <w:r>
              <w:rPr/>
            </w:r>
          </w:p>
        </w:tc>
        <w:tc>
          <w:tcPr>
            <w:tcW w:w="530" w:type="dxa"/>
            <w:tcBorders/>
            <w:vAlign w:val="center"/>
          </w:tcPr>
          <w:p>
            <w:pPr>
              <w:pStyle w:val="TableContents"/>
              <w:bidi w:val="0"/>
              <w:spacing w:before="0" w:after="0"/>
              <w:ind w:left="0" w:right="0" w:hanging="0"/>
              <w:jc w:val="right"/>
              <w:rPr/>
            </w:pPr>
            <w:r>
              <w:rPr/>
              <w:t>13.5</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pPr>
            <w:r>
              <w:rPr/>
              <w:t>13.8</w:t>
            </w:r>
          </w:p>
        </w:tc>
        <w:tc>
          <w:tcPr>
            <w:tcW w:w="20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4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Future minimum lease payments under non-cancellable operating leases as of December 31, 2024:</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629"/>
        <w:gridCol w:w="292"/>
        <w:gridCol w:w="413"/>
        <w:gridCol w:w="1543"/>
        <w:gridCol w:w="328"/>
      </w:tblGrid>
      <w:tr>
        <w:trPr/>
        <w:tc>
          <w:tcPr>
            <w:tcW w:w="7629" w:type="dxa"/>
            <w:tcBorders/>
            <w:shd w:fill="CCEEFC"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Financial year (in thousands) </w:t>
            </w:r>
          </w:p>
        </w:tc>
        <w:tc>
          <w:tcPr>
            <w:tcW w:w="292" w:type="dxa"/>
            <w:tcBorders/>
            <w:shd w:fill="CCEEFC" w:val="clear"/>
            <w:vAlign w:val="center"/>
          </w:tcPr>
          <w:p>
            <w:pPr>
              <w:pStyle w:val="TableContents"/>
              <w:bidi w:val="0"/>
              <w:spacing w:before="0" w:after="0"/>
              <w:ind w:left="0" w:right="0" w:hanging="0"/>
              <w:jc w:val="left"/>
              <w:rPr/>
            </w:pPr>
            <w:r>
              <w:rPr/>
              <w:t xml:space="preserve">  </w:t>
            </w:r>
          </w:p>
        </w:tc>
        <w:tc>
          <w:tcPr>
            <w:tcW w:w="413" w:type="dxa"/>
            <w:tcBorders/>
            <w:shd w:fill="CCEEFC" w:val="clear"/>
            <w:vAlign w:val="center"/>
          </w:tcPr>
          <w:p>
            <w:pPr>
              <w:pStyle w:val="TableContents"/>
              <w:bidi w:val="0"/>
              <w:spacing w:before="0" w:after="0"/>
              <w:ind w:left="0" w:right="0" w:hanging="0"/>
              <w:jc w:val="left"/>
              <w:rPr/>
            </w:pPr>
            <w:r>
              <w:rPr/>
              <w:t xml:space="preserve">  </w:t>
            </w:r>
          </w:p>
        </w:tc>
        <w:tc>
          <w:tcPr>
            <w:tcW w:w="1543" w:type="dxa"/>
            <w:tcBorders/>
            <w:shd w:fill="CCEEFC" w:val="clear"/>
            <w:vAlign w:val="center"/>
          </w:tcPr>
          <w:p>
            <w:pPr>
              <w:pStyle w:val="TableContents"/>
              <w:bidi w:val="0"/>
              <w:spacing w:before="0" w:after="0"/>
              <w:ind w:left="0" w:right="0" w:hanging="0"/>
              <w:jc w:val="right"/>
              <w:rPr/>
            </w:pPr>
            <w:r>
              <w:rPr/>
              <w:t xml:space="preserve">  </w:t>
            </w:r>
          </w:p>
        </w:tc>
        <w:tc>
          <w:tcPr>
            <w:tcW w:w="328" w:type="dxa"/>
            <w:tcBorders/>
            <w:shd w:fill="CCEEFC" w:val="clear"/>
            <w:vAlign w:val="center"/>
          </w:tcPr>
          <w:p>
            <w:pPr>
              <w:pStyle w:val="TableContents"/>
              <w:bidi w:val="0"/>
              <w:spacing w:before="0" w:after="0"/>
              <w:ind w:left="0" w:right="0" w:hanging="0"/>
              <w:jc w:val="left"/>
              <w:rPr/>
            </w:pPr>
            <w:r>
              <w:rPr/>
              <w:t xml:space="preserve">  </w:t>
            </w:r>
          </w:p>
        </w:tc>
      </w:tr>
      <w:tr>
        <w:trPr/>
        <w:tc>
          <w:tcPr>
            <w:tcW w:w="762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2025 </w:t>
            </w:r>
          </w:p>
        </w:tc>
        <w:tc>
          <w:tcPr>
            <w:tcW w:w="292" w:type="dxa"/>
            <w:tcBorders/>
            <w:vAlign w:val="center"/>
          </w:tcPr>
          <w:p>
            <w:pPr>
              <w:pStyle w:val="TableContents"/>
              <w:bidi w:val="0"/>
              <w:spacing w:before="0" w:after="0"/>
              <w:ind w:left="0" w:right="0" w:hanging="0"/>
              <w:jc w:val="left"/>
              <w:rPr/>
            </w:pPr>
            <w:r>
              <w:rPr/>
              <w:t xml:space="preserve">  </w:t>
            </w:r>
          </w:p>
        </w:tc>
        <w:tc>
          <w:tcPr>
            <w:tcW w:w="41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4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369 </w:t>
            </w:r>
          </w:p>
        </w:tc>
        <w:tc>
          <w:tcPr>
            <w:tcW w:w="328" w:type="dxa"/>
            <w:tcBorders/>
            <w:vAlign w:val="center"/>
          </w:tcPr>
          <w:p>
            <w:pPr>
              <w:pStyle w:val="TableContents"/>
              <w:bidi w:val="0"/>
              <w:spacing w:before="0" w:after="0"/>
              <w:ind w:left="0" w:right="0" w:hanging="0"/>
              <w:jc w:val="left"/>
              <w:rPr/>
            </w:pPr>
            <w:r>
              <w:rPr/>
              <w:t xml:space="preserve">  </w:t>
            </w:r>
          </w:p>
        </w:tc>
      </w:tr>
      <w:tr>
        <w:trPr/>
        <w:tc>
          <w:tcPr>
            <w:tcW w:w="762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2026 </w:t>
            </w:r>
          </w:p>
        </w:tc>
        <w:tc>
          <w:tcPr>
            <w:tcW w:w="292" w:type="dxa"/>
            <w:tcBorders/>
            <w:shd w:fill="CCEEFC" w:val="clear"/>
            <w:vAlign w:val="center"/>
          </w:tcPr>
          <w:p>
            <w:pPr>
              <w:pStyle w:val="TableContents"/>
              <w:bidi w:val="0"/>
              <w:spacing w:before="0" w:after="0"/>
              <w:ind w:left="0" w:right="0" w:hanging="0"/>
              <w:jc w:val="left"/>
              <w:rPr/>
            </w:pPr>
            <w:r>
              <w:rPr/>
              <w:t xml:space="preserve">  </w:t>
            </w:r>
          </w:p>
        </w:tc>
        <w:tc>
          <w:tcPr>
            <w:tcW w:w="413" w:type="dxa"/>
            <w:tcBorders/>
            <w:shd w:fill="CCEEFC" w:val="clear"/>
            <w:vAlign w:val="center"/>
          </w:tcPr>
          <w:p>
            <w:pPr>
              <w:pStyle w:val="TableContents"/>
              <w:bidi w:val="0"/>
              <w:spacing w:before="0" w:after="0"/>
              <w:ind w:left="0" w:right="0" w:hanging="0"/>
              <w:jc w:val="left"/>
              <w:rPr/>
            </w:pPr>
            <w:r>
              <w:rPr/>
              <w:t xml:space="preserve">  </w:t>
            </w:r>
          </w:p>
        </w:tc>
        <w:tc>
          <w:tcPr>
            <w:tcW w:w="154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530 </w:t>
            </w:r>
          </w:p>
        </w:tc>
        <w:tc>
          <w:tcPr>
            <w:tcW w:w="328" w:type="dxa"/>
            <w:tcBorders/>
            <w:shd w:fill="CCEEFC" w:val="clear"/>
            <w:vAlign w:val="center"/>
          </w:tcPr>
          <w:p>
            <w:pPr>
              <w:pStyle w:val="TableContents"/>
              <w:bidi w:val="0"/>
              <w:spacing w:before="0" w:after="0"/>
              <w:ind w:left="0" w:right="0" w:hanging="0"/>
              <w:jc w:val="left"/>
              <w:rPr/>
            </w:pPr>
            <w:r>
              <w:rPr/>
              <w:t xml:space="preserve">  </w:t>
            </w:r>
          </w:p>
        </w:tc>
      </w:tr>
      <w:tr>
        <w:trPr/>
        <w:tc>
          <w:tcPr>
            <w:tcW w:w="7629" w:type="dxa"/>
            <w:tcBorders/>
            <w:vAlign w:val="center"/>
          </w:tcPr>
          <w:p>
            <w:pPr>
              <w:pStyle w:val="TableContents"/>
              <w:bidi w:val="0"/>
              <w:spacing w:before="0" w:after="283"/>
              <w:jc w:val="left"/>
              <w:rPr/>
            </w:pPr>
            <w:r>
              <w:rPr/>
              <w:t>2027</w:t>
            </w:r>
          </w:p>
        </w:tc>
        <w:tc>
          <w:tcPr>
            <w:tcW w:w="292" w:type="dxa"/>
            <w:tcBorders/>
            <w:vAlign w:val="center"/>
          </w:tcPr>
          <w:p>
            <w:pPr>
              <w:pStyle w:val="TableContents"/>
              <w:bidi w:val="0"/>
              <w:spacing w:before="0" w:after="283"/>
              <w:jc w:val="left"/>
              <w:rPr/>
            </w:pPr>
            <w:r>
              <w:rPr/>
            </w:r>
          </w:p>
        </w:tc>
        <w:tc>
          <w:tcPr>
            <w:tcW w:w="413" w:type="dxa"/>
            <w:tcBorders/>
            <w:vAlign w:val="center"/>
          </w:tcPr>
          <w:p>
            <w:pPr>
              <w:pStyle w:val="TableContents"/>
              <w:bidi w:val="0"/>
              <w:spacing w:before="0" w:after="283"/>
              <w:ind w:left="0" w:right="0" w:hanging="0"/>
              <w:jc w:val="left"/>
              <w:rPr/>
            </w:pPr>
            <w:r>
              <w:rPr/>
            </w:r>
          </w:p>
        </w:tc>
        <w:tc>
          <w:tcPr>
            <w:tcW w:w="1543" w:type="dxa"/>
            <w:tcBorders/>
            <w:vAlign w:val="center"/>
          </w:tcPr>
          <w:p>
            <w:pPr>
              <w:pStyle w:val="TableContents"/>
              <w:bidi w:val="0"/>
              <w:spacing w:before="0" w:after="0"/>
              <w:jc w:val="right"/>
              <w:rPr/>
            </w:pPr>
            <w:r>
              <w:rPr/>
              <w:t>625</w:t>
            </w:r>
          </w:p>
        </w:tc>
        <w:tc>
          <w:tcPr>
            <w:tcW w:w="328" w:type="dxa"/>
            <w:tcBorders/>
            <w:vAlign w:val="center"/>
          </w:tcPr>
          <w:p>
            <w:pPr>
              <w:pStyle w:val="TableContents"/>
              <w:bidi w:val="0"/>
              <w:spacing w:before="0" w:after="283"/>
              <w:ind w:left="0" w:right="0" w:hanging="0"/>
              <w:jc w:val="left"/>
              <w:rPr/>
            </w:pPr>
            <w:r>
              <w:rPr/>
            </w:r>
          </w:p>
        </w:tc>
      </w:tr>
      <w:tr>
        <w:trPr/>
        <w:tc>
          <w:tcPr>
            <w:tcW w:w="7629" w:type="dxa"/>
            <w:tcBorders/>
            <w:shd w:fill="CCEEFC" w:val="clear"/>
            <w:vAlign w:val="bottom"/>
          </w:tcPr>
          <w:p>
            <w:pPr>
              <w:pStyle w:val="TableContents"/>
              <w:pBdr/>
              <w:bidi w:val="0"/>
              <w:spacing w:before="0" w:after="0"/>
              <w:ind w:left="0" w:right="0" w:hanging="0"/>
              <w:jc w:val="left"/>
              <w:rPr/>
            </w:pPr>
            <w:r>
              <w:rPr/>
              <w:t>2028</w:t>
            </w:r>
          </w:p>
        </w:tc>
        <w:tc>
          <w:tcPr>
            <w:tcW w:w="292" w:type="dxa"/>
            <w:tcBorders/>
            <w:shd w:fill="CCEEFC" w:val="clear"/>
            <w:vAlign w:val="bottom"/>
          </w:tcPr>
          <w:p>
            <w:pPr>
              <w:pStyle w:val="TableContents"/>
              <w:bidi w:val="0"/>
              <w:spacing w:before="0" w:after="283"/>
              <w:jc w:val="left"/>
              <w:rPr/>
            </w:pPr>
            <w:r>
              <w:rPr/>
            </w:r>
          </w:p>
        </w:tc>
        <w:tc>
          <w:tcPr>
            <w:tcW w:w="413" w:type="dxa"/>
            <w:tcBorders/>
            <w:shd w:fill="CCEEFC" w:val="clear"/>
            <w:vAlign w:val="center"/>
          </w:tcPr>
          <w:p>
            <w:pPr>
              <w:pStyle w:val="TableContents"/>
              <w:bidi w:val="0"/>
              <w:spacing w:before="0" w:after="283"/>
              <w:ind w:left="0" w:right="0" w:hanging="0"/>
              <w:jc w:val="left"/>
              <w:rPr/>
            </w:pPr>
            <w:r>
              <w:rPr/>
            </w:r>
          </w:p>
        </w:tc>
        <w:tc>
          <w:tcPr>
            <w:tcW w:w="1543" w:type="dxa"/>
            <w:tcBorders/>
            <w:shd w:fill="CCEEFC" w:val="clear"/>
            <w:vAlign w:val="center"/>
          </w:tcPr>
          <w:p>
            <w:pPr>
              <w:pStyle w:val="TableContents"/>
              <w:bidi w:val="0"/>
              <w:spacing w:before="0" w:after="0"/>
              <w:jc w:val="right"/>
              <w:rPr/>
            </w:pPr>
            <w:r>
              <w:rPr/>
              <w:t>649</w:t>
            </w:r>
          </w:p>
        </w:tc>
        <w:tc>
          <w:tcPr>
            <w:tcW w:w="328" w:type="dxa"/>
            <w:tcBorders/>
            <w:shd w:fill="CCEEFC" w:val="clear"/>
            <w:vAlign w:val="center"/>
          </w:tcPr>
          <w:p>
            <w:pPr>
              <w:pStyle w:val="TableContents"/>
              <w:bidi w:val="0"/>
              <w:spacing w:before="0" w:after="283"/>
              <w:jc w:val="left"/>
              <w:rPr/>
            </w:pPr>
            <w:r>
              <w:rPr/>
            </w:r>
          </w:p>
        </w:tc>
      </w:tr>
      <w:tr>
        <w:trPr/>
        <w:tc>
          <w:tcPr>
            <w:tcW w:w="762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2029</w:t>
            </w:r>
          </w:p>
        </w:tc>
        <w:tc>
          <w:tcPr>
            <w:tcW w:w="292" w:type="dxa"/>
            <w:tcBorders/>
            <w:vAlign w:val="center"/>
          </w:tcPr>
          <w:p>
            <w:pPr>
              <w:pStyle w:val="TableContents"/>
              <w:bidi w:val="0"/>
              <w:spacing w:before="0" w:after="0"/>
              <w:ind w:left="0" w:right="0" w:hanging="0"/>
              <w:jc w:val="left"/>
              <w:rPr/>
            </w:pPr>
            <w:r>
              <w:rPr/>
              <w:t xml:space="preserve">  </w:t>
            </w:r>
          </w:p>
        </w:tc>
        <w:tc>
          <w:tcPr>
            <w:tcW w:w="413" w:type="dxa"/>
            <w:tcBorders/>
            <w:vAlign w:val="center"/>
          </w:tcPr>
          <w:p>
            <w:pPr>
              <w:pStyle w:val="TableContents"/>
              <w:bidi w:val="0"/>
              <w:spacing w:before="0" w:after="0"/>
              <w:ind w:left="0" w:right="0" w:hanging="0"/>
              <w:jc w:val="left"/>
              <w:rPr/>
            </w:pPr>
            <w:r>
              <w:rPr/>
              <w:t xml:space="preserve">  </w:t>
            </w:r>
          </w:p>
        </w:tc>
        <w:tc>
          <w:tcPr>
            <w:tcW w:w="154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663 </w:t>
            </w:r>
          </w:p>
        </w:tc>
        <w:tc>
          <w:tcPr>
            <w:tcW w:w="328" w:type="dxa"/>
            <w:tcBorders/>
            <w:vAlign w:val="center"/>
          </w:tcPr>
          <w:p>
            <w:pPr>
              <w:pStyle w:val="TableContents"/>
              <w:bidi w:val="0"/>
              <w:spacing w:before="0" w:after="0"/>
              <w:ind w:left="0" w:right="0" w:hanging="0"/>
              <w:jc w:val="left"/>
              <w:rPr/>
            </w:pPr>
            <w:r>
              <w:rPr/>
              <w:t xml:space="preserve">  </w:t>
            </w:r>
          </w:p>
        </w:tc>
      </w:tr>
      <w:tr>
        <w:trPr/>
        <w:tc>
          <w:tcPr>
            <w:tcW w:w="7629" w:type="dxa"/>
            <w:tcBorders/>
            <w:shd w:fill="CCEEFC" w:val="clear"/>
            <w:vAlign w:val="center"/>
          </w:tcPr>
          <w:p>
            <w:pPr>
              <w:pStyle w:val="TableContents"/>
              <w:bidi w:val="0"/>
              <w:spacing w:before="0" w:after="283"/>
              <w:jc w:val="left"/>
              <w:rPr/>
            </w:pPr>
            <w:r>
              <w:rPr/>
              <w:t>2030 and thereafter</w:t>
            </w:r>
          </w:p>
        </w:tc>
        <w:tc>
          <w:tcPr>
            <w:tcW w:w="292" w:type="dxa"/>
            <w:tcBorders/>
            <w:shd w:fill="CCEEFC" w:val="clear"/>
            <w:vAlign w:val="center"/>
          </w:tcPr>
          <w:p>
            <w:pPr>
              <w:pStyle w:val="TableContents"/>
              <w:bidi w:val="0"/>
              <w:spacing w:before="0" w:after="283"/>
              <w:jc w:val="left"/>
              <w:rPr/>
            </w:pPr>
            <w:r>
              <w:rPr/>
            </w:r>
          </w:p>
        </w:tc>
        <w:tc>
          <w:tcPr>
            <w:tcW w:w="413" w:type="dxa"/>
            <w:tcBorders/>
            <w:shd w:fill="CCEEFC" w:val="clear"/>
            <w:vAlign w:val="center"/>
          </w:tcPr>
          <w:p>
            <w:pPr>
              <w:pStyle w:val="TableContents"/>
              <w:bidi w:val="0"/>
              <w:spacing w:before="0" w:after="283"/>
              <w:ind w:left="0" w:right="0" w:hanging="0"/>
              <w:jc w:val="left"/>
              <w:rPr/>
            </w:pPr>
            <w:r>
              <w:rPr/>
            </w:r>
          </w:p>
        </w:tc>
        <w:tc>
          <w:tcPr>
            <w:tcW w:w="1543" w:type="dxa"/>
            <w:tcBorders/>
            <w:shd w:fill="CCEEFC" w:val="clear"/>
            <w:vAlign w:val="center"/>
          </w:tcPr>
          <w:p>
            <w:pPr>
              <w:pStyle w:val="TableContents"/>
              <w:bidi w:val="0"/>
              <w:spacing w:before="0" w:after="0"/>
              <w:jc w:val="right"/>
              <w:rPr/>
            </w:pPr>
            <w:r>
              <w:rPr/>
              <w:t>7,736</w:t>
            </w:r>
          </w:p>
        </w:tc>
        <w:tc>
          <w:tcPr>
            <w:tcW w:w="328" w:type="dxa"/>
            <w:tcBorders/>
            <w:shd w:fill="CCEEFC" w:val="clear"/>
            <w:vAlign w:val="center"/>
          </w:tcPr>
          <w:p>
            <w:pPr>
              <w:pStyle w:val="TableContents"/>
              <w:bidi w:val="0"/>
              <w:spacing w:before="0" w:after="283"/>
              <w:jc w:val="left"/>
              <w:rPr/>
            </w:pPr>
            <w:r>
              <w:rPr/>
            </w:r>
          </w:p>
        </w:tc>
      </w:tr>
      <w:tr>
        <w:trPr/>
        <w:tc>
          <w:tcPr>
            <w:tcW w:w="7629"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Total future minimum lease payments </w:t>
            </w:r>
          </w:p>
        </w:tc>
        <w:tc>
          <w:tcPr>
            <w:tcW w:w="292" w:type="dxa"/>
            <w:tcBorders/>
            <w:vAlign w:val="center"/>
          </w:tcPr>
          <w:p>
            <w:pPr>
              <w:pStyle w:val="TableContents"/>
              <w:bidi w:val="0"/>
              <w:spacing w:before="0" w:after="0"/>
              <w:ind w:left="0" w:right="0" w:hanging="0"/>
              <w:jc w:val="left"/>
              <w:rPr/>
            </w:pPr>
            <w:r>
              <w:rPr/>
              <w:t xml:space="preserve">  </w:t>
            </w:r>
          </w:p>
        </w:tc>
        <w:tc>
          <w:tcPr>
            <w:tcW w:w="413" w:type="dxa"/>
            <w:tcBorders/>
            <w:vAlign w:val="center"/>
          </w:tcPr>
          <w:p>
            <w:pPr>
              <w:pStyle w:val="TableContents"/>
              <w:bidi w:val="0"/>
              <w:spacing w:before="0" w:after="0"/>
              <w:ind w:left="0" w:right="0" w:hanging="0"/>
              <w:jc w:val="left"/>
              <w:rPr/>
            </w:pPr>
            <w:r>
              <w:rPr/>
              <w:t xml:space="preserve">  </w:t>
            </w:r>
          </w:p>
        </w:tc>
        <w:tc>
          <w:tcPr>
            <w:tcW w:w="154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10,572 </w:t>
            </w:r>
          </w:p>
        </w:tc>
        <w:tc>
          <w:tcPr>
            <w:tcW w:w="328" w:type="dxa"/>
            <w:tcBorders/>
            <w:vAlign w:val="center"/>
          </w:tcPr>
          <w:p>
            <w:pPr>
              <w:pStyle w:val="TableContents"/>
              <w:bidi w:val="0"/>
              <w:spacing w:before="0" w:after="0"/>
              <w:ind w:left="0" w:right="0" w:hanging="0"/>
              <w:jc w:val="left"/>
              <w:rPr/>
            </w:pPr>
            <w:r>
              <w:rPr/>
              <w:t xml:space="preserve">  </w:t>
            </w:r>
          </w:p>
        </w:tc>
      </w:tr>
      <w:tr>
        <w:trPr/>
        <w:tc>
          <w:tcPr>
            <w:tcW w:w="762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Less: Amounts representing interest </w:t>
            </w:r>
          </w:p>
        </w:tc>
        <w:tc>
          <w:tcPr>
            <w:tcW w:w="292" w:type="dxa"/>
            <w:tcBorders/>
            <w:shd w:fill="CCEEFC" w:val="clear"/>
            <w:vAlign w:val="center"/>
          </w:tcPr>
          <w:p>
            <w:pPr>
              <w:pStyle w:val="TableContents"/>
              <w:bidi w:val="0"/>
              <w:spacing w:before="0" w:after="0"/>
              <w:ind w:left="0" w:right="0" w:hanging="0"/>
              <w:jc w:val="left"/>
              <w:rPr/>
            </w:pPr>
            <w:r>
              <w:rPr/>
              <w:t xml:space="preserve">  </w:t>
            </w:r>
          </w:p>
        </w:tc>
        <w:tc>
          <w:tcPr>
            <w:tcW w:w="413" w:type="dxa"/>
            <w:tcBorders/>
            <w:shd w:fill="CCEEFC" w:val="clear"/>
            <w:vAlign w:val="center"/>
          </w:tcPr>
          <w:p>
            <w:pPr>
              <w:pStyle w:val="TableContents"/>
              <w:bidi w:val="0"/>
              <w:spacing w:before="0" w:after="0"/>
              <w:ind w:left="0" w:right="0" w:hanging="0"/>
              <w:jc w:val="left"/>
              <w:rPr/>
            </w:pPr>
            <w:r>
              <w:rPr/>
              <w:t xml:space="preserve">  </w:t>
            </w:r>
          </w:p>
        </w:tc>
        <w:tc>
          <w:tcPr>
            <w:tcW w:w="1543"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(6,436</w:t>
            </w:r>
          </w:p>
        </w:tc>
        <w:tc>
          <w:tcPr>
            <w:tcW w:w="328" w:type="dxa"/>
            <w:tcBorders/>
            <w:shd w:fill="CCEEFC" w:val="clear"/>
            <w:vAlign w:val="center"/>
          </w:tcPr>
          <w:p>
            <w:pPr>
              <w:pStyle w:val="TableContents"/>
              <w:bidi w:val="0"/>
              <w:spacing w:before="0" w:after="283"/>
              <w:jc w:val="left"/>
              <w:rPr/>
            </w:pPr>
            <w:r>
              <w:rPr/>
              <w:t>)</w:t>
            </w:r>
          </w:p>
        </w:tc>
      </w:tr>
      <w:tr>
        <w:trPr/>
        <w:tc>
          <w:tcPr>
            <w:tcW w:w="7629"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Total </w:t>
            </w:r>
          </w:p>
        </w:tc>
        <w:tc>
          <w:tcPr>
            <w:tcW w:w="292" w:type="dxa"/>
            <w:tcBorders/>
            <w:vAlign w:val="center"/>
          </w:tcPr>
          <w:p>
            <w:pPr>
              <w:pStyle w:val="TableContents"/>
              <w:bidi w:val="0"/>
              <w:spacing w:before="0" w:after="0"/>
              <w:ind w:left="0" w:right="0" w:hanging="0"/>
              <w:jc w:val="left"/>
              <w:rPr/>
            </w:pPr>
            <w:r>
              <w:rPr/>
              <w:t xml:space="preserve">  </w:t>
            </w:r>
          </w:p>
        </w:tc>
        <w:tc>
          <w:tcPr>
            <w:tcW w:w="41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4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4,136 </w:t>
            </w:r>
          </w:p>
        </w:tc>
        <w:tc>
          <w:tcPr>
            <w:tcW w:w="328"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Note 9. Accrued Expenses and Other Current Liabilities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Accrued expenses as of December 31, 2024 and </w:t>
      </w:r>
      <w:r>
        <w:rPr>
          <w:rFonts w:ascii="times new roman;times" w:hAnsi="times new roman;times"/>
          <w:sz w:val="20"/>
        </w:rPr>
        <w:t>2023</w:t>
      </w:r>
      <w:r>
        <w:rPr>
          <w:rFonts w:ascii="times new roman;times" w:hAnsi="times new roman;times"/>
          <w:sz w:val="20"/>
        </w:rPr>
        <w:t> consisted of the following:</w:t>
      </w:r>
    </w:p>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109"/>
        <w:gridCol w:w="190"/>
        <w:gridCol w:w="269"/>
        <w:gridCol w:w="887"/>
        <w:gridCol w:w="190"/>
        <w:gridCol w:w="190"/>
        <w:gridCol w:w="269"/>
        <w:gridCol w:w="887"/>
        <w:gridCol w:w="214"/>
      </w:tblGrid>
      <w:tr>
        <w:trPr/>
        <w:tc>
          <w:tcPr>
            <w:tcW w:w="7109" w:type="dxa"/>
            <w:tcBorders/>
            <w:shd w:fill="FFFFFF" w:val="clear"/>
            <w:vAlign w:val="center"/>
          </w:tcPr>
          <w:p>
            <w:pPr>
              <w:pStyle w:val="TableContents"/>
              <w:bidi w:val="0"/>
              <w:spacing w:before="0" w:after="0"/>
              <w:ind w:left="0" w:right="0" w:hanging="0"/>
              <w:jc w:val="center"/>
              <w:rPr/>
            </w:pPr>
            <w:r>
              <w:rPr/>
              <w:t xml:space="preserve">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2692"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December 31, </w:t>
            </w:r>
          </w:p>
        </w:tc>
        <w:tc>
          <w:tcPr>
            <w:tcW w:w="214" w:type="dxa"/>
            <w:tcBorders/>
            <w:shd w:fill="FFFFFF" w:val="clear"/>
            <w:vAlign w:val="center"/>
          </w:tcPr>
          <w:p>
            <w:pPr>
              <w:pStyle w:val="TableContents"/>
              <w:bidi w:val="0"/>
              <w:spacing w:before="0" w:after="0"/>
              <w:ind w:left="0" w:right="0" w:hanging="0"/>
              <w:jc w:val="left"/>
              <w:rPr/>
            </w:pPr>
            <w:r>
              <w:rPr/>
              <w:t xml:space="preserve">  </w:t>
            </w:r>
          </w:p>
        </w:tc>
      </w:tr>
      <w:tr>
        <w:trPr/>
        <w:tc>
          <w:tcPr>
            <w:tcW w:w="7109" w:type="dxa"/>
            <w:tcBorders/>
            <w:shd w:fill="FFFFFF" w:val="clear"/>
            <w:vAlign w:val="center"/>
          </w:tcPr>
          <w:p>
            <w:pPr>
              <w:pStyle w:val="TableContents"/>
              <w:bidi w:val="0"/>
              <w:spacing w:before="0" w:after="0"/>
              <w:ind w:left="0" w:right="0" w:hanging="0"/>
              <w:jc w:val="left"/>
              <w:rPr>
                <w:rFonts w:ascii="times new roman;times" w:hAnsi="times new roman;times"/>
                <w:b/>
                <w:sz w:val="16"/>
              </w:rPr>
            </w:pPr>
            <w:r>
              <w:rPr>
                <w:rFonts w:ascii="times new roman;times" w:hAnsi="times new roman;times"/>
                <w:b/>
                <w:sz w:val="16"/>
              </w:rPr>
              <w:t xml:space="preserve">(in thousands)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156"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2024</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156"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2023</w:t>
            </w:r>
          </w:p>
        </w:tc>
        <w:tc>
          <w:tcPr>
            <w:tcW w:w="214" w:type="dxa"/>
            <w:tcBorders/>
            <w:shd w:fill="FFFFFF" w:val="clear"/>
            <w:vAlign w:val="center"/>
          </w:tcPr>
          <w:p>
            <w:pPr>
              <w:pStyle w:val="TableContents"/>
              <w:bidi w:val="0"/>
              <w:spacing w:before="0" w:after="0"/>
              <w:ind w:left="0" w:right="0" w:hanging="0"/>
              <w:jc w:val="left"/>
              <w:rPr/>
            </w:pPr>
            <w:r>
              <w:rPr/>
              <w:t xml:space="preserve">  </w:t>
            </w:r>
          </w:p>
        </w:tc>
      </w:tr>
      <w:tr>
        <w:trPr/>
        <w:tc>
          <w:tcPr>
            <w:tcW w:w="710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professional fees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598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282 </w:t>
            </w:r>
          </w:p>
        </w:tc>
        <w:tc>
          <w:tcPr>
            <w:tcW w:w="214" w:type="dxa"/>
            <w:tcBorders/>
            <w:shd w:fill="CCEEFF" w:val="clear"/>
            <w:vAlign w:val="center"/>
          </w:tcPr>
          <w:p>
            <w:pPr>
              <w:pStyle w:val="TableContents"/>
              <w:bidi w:val="0"/>
              <w:spacing w:before="0" w:after="0"/>
              <w:ind w:left="0" w:right="0" w:hanging="0"/>
              <w:jc w:val="left"/>
              <w:rPr/>
            </w:pPr>
            <w:r>
              <w:rPr/>
              <w:t xml:space="preserve">  </w:t>
            </w:r>
          </w:p>
        </w:tc>
      </w:tr>
      <w:tr>
        <w:trPr/>
        <w:tc>
          <w:tcPr>
            <w:tcW w:w="710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bonuses and incentive compensation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pPr>
            <w:r>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2,886 </w:t>
            </w:r>
          </w:p>
        </w:tc>
        <w:tc>
          <w:tcPr>
            <w:tcW w:w="19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pPr>
            <w:r>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2,352 </w:t>
            </w:r>
          </w:p>
        </w:tc>
        <w:tc>
          <w:tcPr>
            <w:tcW w:w="214" w:type="dxa"/>
            <w:tcBorders/>
            <w:vAlign w:val="center"/>
          </w:tcPr>
          <w:p>
            <w:pPr>
              <w:pStyle w:val="TableContents"/>
              <w:bidi w:val="0"/>
              <w:spacing w:before="0" w:after="0"/>
              <w:ind w:left="0" w:right="0" w:hanging="0"/>
              <w:jc w:val="left"/>
              <w:rPr/>
            </w:pPr>
            <w:r>
              <w:rPr/>
              <w:t xml:space="preserve">  </w:t>
            </w:r>
          </w:p>
        </w:tc>
      </w:tr>
      <w:tr>
        <w:trPr/>
        <w:tc>
          <w:tcPr>
            <w:tcW w:w="7109"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litigation legal fees expense</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1,163</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1,041</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insurance expense</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205</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247</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283"/>
              <w:jc w:val="left"/>
              <w:rPr/>
            </w:pPr>
            <w:r>
              <w:rPr/>
              <w:t>Accrued research and development expenses</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655</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655</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vacation and other employee related expenses</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781</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628</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Accrued tax expenses</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382</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272</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Deferred revenue</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78</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245</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pPr>
            <w:r>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216</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pPr>
            <w:r>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149</w:t>
            </w:r>
          </w:p>
        </w:tc>
        <w:tc>
          <w:tcPr>
            <w:tcW w:w="214" w:type="dxa"/>
            <w:tcBorders/>
            <w:shd w:fill="CCEEFF" w:val="clear"/>
            <w:vAlign w:val="center"/>
          </w:tcPr>
          <w:p>
            <w:pPr>
              <w:pStyle w:val="TableContents"/>
              <w:bidi w:val="0"/>
              <w:spacing w:before="0" w:after="0"/>
              <w:ind w:left="0" w:right="0" w:hanging="0"/>
              <w:jc w:val="left"/>
              <w:rPr/>
            </w:pPr>
            <w:r>
              <w:rPr/>
              <w:t xml:space="preserve">  </w:t>
            </w:r>
          </w:p>
        </w:tc>
      </w:tr>
      <w:tr>
        <w:trPr/>
        <w:tc>
          <w:tcPr>
            <w:tcW w:w="710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6,964 </w:t>
            </w:r>
          </w:p>
        </w:tc>
        <w:tc>
          <w:tcPr>
            <w:tcW w:w="19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5,871 </w:t>
            </w:r>
          </w:p>
        </w:tc>
        <w:tc>
          <w:tcPr>
            <w:tcW w:w="214"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0"/>
        <w:jc w:val="left"/>
        <w:rPr>
          <w:rFonts w:ascii="Times New Roman;serif" w:hAnsi="Times New Roman;serif"/>
          <w:i/>
          <w:color w:val="000000"/>
          <w:sz w:val="20"/>
        </w:rPr>
      </w:pPr>
      <w:r>
        <w:rPr>
          <w:rFonts w:ascii="Times New Roman;serif" w:hAnsi="Times New Roman;serif"/>
          <w:i/>
          <w:color w:val="000000"/>
          <w:sz w:val="20"/>
        </w:rPr>
        <w:t>Finance and Security Agreements </w:t>
      </w:r>
    </w:p>
    <w:p>
      <w:pPr>
        <w:pStyle w:val="TextBody"/>
        <w:shd w:fill="FFFFFF" w:val="clear"/>
        <w:bidi w:val="0"/>
        <w:spacing w:lineRule="atLeast" w:line="240" w:before="120" w:after="0"/>
        <w:ind w:left="0" w:right="0" w:hanging="0"/>
        <w:jc w:val="both"/>
        <w:rPr>
          <w:rFonts w:ascii="times new roman;times" w:hAnsi="times new roman;times"/>
          <w:color w:val="000000"/>
          <w:sz w:val="20"/>
        </w:rPr>
      </w:pPr>
      <w:r>
        <w:rPr>
          <w:rFonts w:ascii="times new roman;times" w:hAnsi="times new roman;times"/>
          <w:color w:val="000000"/>
          <w:sz w:val="20"/>
        </w:rPr>
        <w:t>On July 2, 2024, the Company entered into a Commercial Insurance Premium Finance and Security Agreement (the "2024 Agreement"). The 2024 Agreement provides for a single borrowing of approximately $493,000 with a ten-month term and an annual interest rate of 8.75%. The proceeds from this transaction were used to partially fund the premiums due under certain of the Company's insurance policies. The amounts payable are secured by the Company's rights under such policies. Beginning July 2024, the Company began paying monthly installments of approximately $51,000. As of December 31, 2024, the remaining balance under the Agreement was approximately $205,000.</w:t>
      </w:r>
    </w:p>
    <w:p>
      <w:pPr>
        <w:pStyle w:val="TextBody"/>
        <w:shd w:fill="FFFFFF" w:val="clear"/>
        <w:bidi w:val="0"/>
        <w:spacing w:lineRule="atLeast" w:line="240" w:before="240" w:after="0"/>
        <w:ind w:left="0" w:right="0" w:hanging="0"/>
        <w:jc w:val="both"/>
        <w:rPr>
          <w:rFonts w:ascii="Times New Roman;serif" w:hAnsi="Times New Roman;serif"/>
          <w:color w:val="000000"/>
          <w:sz w:val="20"/>
        </w:rPr>
      </w:pPr>
      <w:r>
        <w:rPr>
          <w:rFonts w:ascii="Times New Roman;serif" w:hAnsi="Times New Roman;serif"/>
          <w:color w:val="000000"/>
          <w:sz w:val="20"/>
        </w:rPr>
        <w:t>On July 5, 2023, the Company entered into a Commercial Insurance Premium Finance and Security Agreement (the "2023 Agreement"). The 2023 Agreement provides for a single borrowing by the Company of approximately $618,000 with a ten-month term and an annual interest rate of 6.03%. The proceeds from this transaction were used to partially fund the premiums due under certain of the Company's insurance policies. The amounts payable are secured by the Company's right under such policies. The Company began paying monthly installments of approximately $61,800 in July 2023. As of December 31, 2024 and 2023, the remaining balance under the Agreement was approximately $0 and $247,000, respectively.</w:t>
      </w:r>
    </w:p>
    <w:p>
      <w:pPr>
        <w:pStyle w:val="TextBody"/>
        <w:shd w:fill="FFFFFF" w:val="clear"/>
        <w:bidi w:val="0"/>
        <w:spacing w:lineRule="atLeast" w:line="240" w:before="240" w:after="0"/>
        <w:ind w:left="0" w:right="0" w:hanging="0"/>
        <w:jc w:val="both"/>
        <w:rPr>
          <w:rFonts w:ascii="times new roman;times" w:hAnsi="times new roman;times"/>
          <w:sz w:val="24"/>
        </w:rPr>
      </w:pPr>
      <w:r>
        <w:rPr>
          <w:rFonts w:ascii="times new roman;times" w:hAnsi="times new roman;times"/>
          <w:sz w:val="20"/>
        </w:rPr>
        <w:t>During the years ended December 31, 2024 and 2023, the Company recognized $18,400</w:t>
      </w:r>
      <w:r>
        <w:rPr>
          <w:rFonts w:ascii="times new roman;times" w:hAnsi="times new roman;times"/>
          <w:sz w:val="24"/>
        </w:rPr>
        <w:t> </w:t>
      </w:r>
      <w:r>
        <w:rPr>
          <w:rFonts w:ascii="times new roman;times" w:hAnsi="times new roman;times"/>
          <w:sz w:val="20"/>
        </w:rPr>
        <w:t>and $12,200 in aggregate interest expense, respectively, related to the Company's finance and security agreements.</w:t>
      </w:r>
    </w:p>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 10. Shareholders’ Equity</w:t>
      </w:r>
    </w:p>
    <w:p>
      <w:pPr>
        <w:pStyle w:val="TextBody"/>
        <w:bidi w:val="0"/>
        <w:spacing w:lineRule="atLeast" w:line="240" w:before="200" w:after="0"/>
        <w:ind w:left="0" w:right="0" w:hanging="0"/>
        <w:jc w:val="both"/>
        <w:rPr>
          <w:rFonts w:ascii="times new roman;times" w:hAnsi="times new roman;times"/>
          <w:i/>
          <w:sz w:val="20"/>
        </w:rPr>
      </w:pPr>
      <w:r>
        <w:rPr>
          <w:rFonts w:ascii="times new roman;times" w:hAnsi="times new roman;times"/>
          <w:i/>
          <w:sz w:val="20"/>
        </w:rPr>
        <w:t>Securities Purchase Agreements  </w:t>
      </w:r>
    </w:p>
    <w:p>
      <w:pPr>
        <w:pStyle w:val="TextBody"/>
        <w:bidi w:val="0"/>
        <w:spacing w:lineRule="atLeast" w:line="240" w:before="120" w:after="0"/>
        <w:ind w:left="0" w:right="0" w:hanging="0"/>
        <w:jc w:val="both"/>
        <w:rPr>
          <w:rFonts w:ascii="Times New Roman;serif" w:hAnsi="Times New Roman;serif"/>
          <w:sz w:val="20"/>
        </w:rPr>
      </w:pPr>
      <w:r>
        <w:rPr>
          <w:rFonts w:ascii="Times New Roman;serif" w:hAnsi="Times New Roman;serif"/>
          <w:sz w:val="20"/>
        </w:rPr>
        <w:t>On June 3, 2024, the Company entered into a securities purchase agreement (the “Registered Direct Purchase Agreement”) with an institutional accredited investor (the “Purchaser”) for the sale (the “Registered Direct Offering”) by the Company of pre-funded warrants (the “RD Pre-funded Warrants”) to purchase up to 225,000 shares of the Company’s common stock, par value $0.001 per share (the “Common Stock”) (the “RD Pre-funded Warrant Shares”). In a concurrent private placement, the Company issued and sold to the Purchaser unregistered warrants to purchase up to 112,500 shares of Common Stock (the “PIPE Warrants” and shares of Common Stock underlying the PIPE Warrants, the “PIPE Warrant Shares”). Each RD Pre-funded Warrant in the Registered Direct Offering was sold together with one-half of one PIPE Warrant at a combined effective offering price of $6.4925 per share. The PIPE Warrants became exercisable after the date of issuance at a price of $6.43 per share and will expire on June 5, 2029.</w:t>
      </w:r>
    </w:p>
    <w:p>
      <w:pPr>
        <w:pStyle w:val="TextBody"/>
        <w:bidi w:val="0"/>
        <w:spacing w:lineRule="atLeast" w:line="240" w:before="200" w:after="0"/>
        <w:ind w:left="0" w:right="0" w:hanging="0"/>
        <w:jc w:val="both"/>
        <w:rPr>
          <w:rFonts w:ascii="Times New Roman;serif" w:hAnsi="Times New Roman;serif"/>
          <w:sz w:val="20"/>
        </w:rPr>
      </w:pPr>
      <w:r>
        <w:rPr>
          <w:rFonts w:ascii="Times New Roman;serif" w:hAnsi="Times New Roman;serif"/>
          <w:sz w:val="20"/>
        </w:rPr>
        <w:t>In a separate private placement, on May 31, 2024, the Company entered into securities purchase agreements with certain institutional and accredited investors and directors of the Company (the “Private Agreements”), which collectively provided for the sale by the Company of (i) 438,191 shares of Common Stock (the “Private Shares”), (ii) pre-funded warrants (the “Private Pre-funded Warrants”) to purchase up to 770,119 shares of Common Stock and (iii) warrants (the “Private Warrants” and together with the PIPE Warrants, the “Warrants”) to purchase up to 604,150 shares of Common Stock (the “Private Warrant Shares”). Each share of Common Stock (or Private Pre-funded Warrant) in this private placement was sold together with one-half of one Private Warrant at a combined effective offering price of $6.4925 per share. The Private Warrants will have the same terms as the PIPE Warrants sold to the Purchaser.</w:t>
      </w:r>
    </w:p>
    <w:p>
      <w:pPr>
        <w:pStyle w:val="TextBody"/>
        <w:bidi w:val="0"/>
        <w:spacing w:lineRule="atLeast" w:line="240" w:before="200" w:after="0"/>
        <w:ind w:left="0" w:right="0" w:hanging="0"/>
        <w:jc w:val="both"/>
        <w:rPr>
          <w:rFonts w:ascii="Times New Roman;serif" w:hAnsi="Times New Roman;serif"/>
          <w:sz w:val="20"/>
        </w:rPr>
      </w:pPr>
      <w:r>
        <w:rPr>
          <w:rFonts w:ascii="Times New Roman;serif" w:hAnsi="Times New Roman;serif"/>
          <w:sz w:val="20"/>
        </w:rPr>
        <w:t>The Private Shares were sold at a purchase price of $6.43 per share. The RD Pre-funded Warrants and Private Pre-funded Warrants were sold at a purchase price of $6.43 minus $0.001 per Pre-Funded Warrant, and are exercisable immediately at an exercise price of $0.001 per share. The PIPE Warrants and Private Warrants are only exercisable for whole shares of Common Stock.</w:t>
      </w:r>
    </w:p>
    <w:p>
      <w:pPr>
        <w:pStyle w:val="TextBody"/>
        <w:bidi w:val="0"/>
        <w:spacing w:lineRule="atLeast" w:line="240" w:before="200" w:after="0"/>
        <w:ind w:left="0" w:right="0" w:hanging="0"/>
        <w:jc w:val="both"/>
        <w:rPr>
          <w:rFonts w:ascii="Times New Roman;serif" w:hAnsi="Times New Roman;serif"/>
          <w:sz w:val="20"/>
        </w:rPr>
      </w:pPr>
      <w:r>
        <w:rPr>
          <w:rFonts w:ascii="Times New Roman;serif" w:hAnsi="Times New Roman;serif"/>
          <w:sz w:val="20"/>
        </w:rPr>
        <w:t>The net proceeds to the Company resulting in the sale of securities described above was approximately $9.0 million, after deducting other offering expenses payable by the Company, and excluding the proceeds, if any, from the exercise of the warrants. Of the net proceeds, $1 million came from the issuance of securities to the Company’s legal counsel. Upon issuance of the shares, certain of the Company’s financial obligations to its legal counsel were deemed paid and satisfied in full.</w:t>
      </w:r>
    </w:p>
    <w:p>
      <w:pPr>
        <w:pStyle w:val="TextBody"/>
        <w:bidi w:val="0"/>
        <w:spacing w:lineRule="atLeast" w:line="240" w:before="200" w:after="0"/>
        <w:ind w:left="0" w:right="0" w:hanging="0"/>
        <w:jc w:val="left"/>
        <w:rPr>
          <w:rFonts w:ascii="Times New Roman;serif" w:hAnsi="Times New Roman;serif"/>
          <w:sz w:val="20"/>
        </w:rPr>
      </w:pPr>
      <w:r>
        <w:rPr>
          <w:rFonts w:ascii="Times New Roman;serif" w:hAnsi="Times New Roman;serif"/>
          <w:sz w:val="20"/>
        </w:rPr>
        <w:t xml:space="preserve">The company accounts for common stock warrants by first considering the criteria under ASC 480 for liability classification, then evaluating the indexation requirements and the scope exception in ASC 815-10, and finally assessing additional equity considerations under ASC 815-40-25 to determine if the warrants should be classified as equity.. The Company determined that the warrants associated this financing qualified for equity classification. </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July 31, 2023, the Company entered into a securities purchase agreement (“First SPA”) in connection with a registered direct offering and concurrent private placement with certain institutional and accredited investors pursuant to which the Company issued and sold an aggregate of 1,062,600 shares of common stock, 613,314 pre-funded common stock purchase warrants that are exercisable upon issuance, and warrants to purchase up to an aggregate of 837,955 shares of common stock. On July 31, 2023, the Company also entered into a securities purchase agreement (“Second SPA”) in connection with a concurrent private placement with six of the Company’s officers and directors pursuant to which the Company issued and sold 169,968 shares of common stock and warrants to purchase up to an aggregate of 84,982 shares of common stock. The combined effective offering price of the securities sold pursuant to the First SPA and the Second SPA was $4.4125 per share of common stock and related common stock purchase warrant. The common stock purchase warrants will be exercisable commencing six months after the date of issuance at a price of $4.35 per share and will expire five years after they first become exercisable. The net proceeds to the Company resulting from the First SPA and Second SPA was approximately $7.5 million, after deducting the placement agent fees and expenses, and other offering expenses payable by the Company, and excluding the proceeds, if any, from the exercise of the common stock purchase warrants sold in the concurrent private placements.</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In accordance with ASC 480 and ASC 815-40, the Company assessed the warrants associated with its First SPA and Second SPA and determined that the warrants qualify for equity classification.</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sz w:val="20"/>
        </w:rPr>
      </w:pPr>
      <w:r>
        <w:rPr>
          <w:b/>
          <w:sz w:val="20"/>
        </w:rPr>
        <w:t>ELECTROCORE, INC. AND SUBSIDIARIES</w:t>
      </w:r>
      <w:r>
        <w:rPr>
          <w:sz w:val="20"/>
        </w:rPr>
        <w:br/>
      </w:r>
      <w:r>
        <w:rPr>
          <w:b/>
          <w:sz w:val="20"/>
        </w:rPr>
        <w:t>Notes to Consolidated Financial Statements — Continued</w:t>
      </w:r>
    </w:p>
    <w:p>
      <w:pPr>
        <w:pStyle w:val="TextBody"/>
        <w:widowControl/>
        <w:bidi w:val="0"/>
        <w:spacing w:lineRule="auto" w:line="288"/>
        <w:ind w:left="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Stock Purchase Warrants</w:t>
      </w:r>
    </w:p>
    <w:p>
      <w:pPr>
        <w:pStyle w:val="TextBody"/>
        <w:widowControl/>
        <w:bidi w:val="0"/>
        <w:spacing w:lineRule="auto" w:line="288" w:before="20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a summary of stock purchase warrants outstanding as of December 31, 2024:</w:t>
      </w:r>
    </w:p>
    <w:p>
      <w:pPr>
        <w:pStyle w:val="TextBody"/>
        <w:widowControl/>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840"/>
        <w:gridCol w:w="151"/>
        <w:gridCol w:w="1694"/>
        <w:gridCol w:w="53"/>
        <w:gridCol w:w="53"/>
        <w:gridCol w:w="438"/>
        <w:gridCol w:w="1331"/>
        <w:gridCol w:w="53"/>
        <w:gridCol w:w="53"/>
        <w:gridCol w:w="358"/>
        <w:gridCol w:w="2380"/>
        <w:gridCol w:w="53"/>
        <w:gridCol w:w="174"/>
        <w:gridCol w:w="1574"/>
      </w:tblGrid>
      <w:tr>
        <w:trPr/>
        <w:tc>
          <w:tcPr>
            <w:tcW w:w="1840" w:type="dxa"/>
            <w:tcBorders/>
            <w:shd w:fill="FFFFFF" w:val="clear"/>
            <w:vAlign w:val="center"/>
          </w:tcPr>
          <w:p>
            <w:pPr>
              <w:pStyle w:val="TableContents"/>
              <w:bidi w:val="0"/>
              <w:spacing w:before="0" w:after="0"/>
              <w:ind w:left="0" w:right="0" w:hanging="0"/>
              <w:jc w:val="left"/>
              <w:rPr/>
            </w:pPr>
            <w:r>
              <w:rPr/>
            </w:r>
          </w:p>
        </w:tc>
        <w:tc>
          <w:tcPr>
            <w:tcW w:w="1845"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of Warrants (in thousands) </w:t>
            </w:r>
          </w:p>
        </w:tc>
        <w:tc>
          <w:tcPr>
            <w:tcW w:w="53" w:type="dxa"/>
            <w:tcBorders/>
            <w:shd w:fill="FFFFFF" w:val="clear"/>
            <w:vAlign w:val="center"/>
          </w:tcPr>
          <w:p>
            <w:pPr>
              <w:pStyle w:val="TableContents"/>
              <w:bidi w:val="0"/>
              <w:spacing w:before="0" w:after="0"/>
              <w:ind w:left="0" w:right="0" w:hanging="0"/>
              <w:jc w:val="left"/>
              <w:rPr/>
            </w:pPr>
            <w:r>
              <w:rPr/>
            </w:r>
          </w:p>
        </w:tc>
        <w:tc>
          <w:tcPr>
            <w:tcW w:w="53" w:type="dxa"/>
            <w:tcBorders/>
            <w:shd w:fill="FFFFFF" w:val="clear"/>
            <w:vAlign w:val="center"/>
          </w:tcPr>
          <w:p>
            <w:pPr>
              <w:pStyle w:val="TableContents"/>
              <w:bidi w:val="0"/>
              <w:spacing w:before="0" w:after="0"/>
              <w:ind w:left="0" w:right="0" w:hanging="0"/>
              <w:jc w:val="center"/>
              <w:rPr/>
            </w:pPr>
            <w:r>
              <w:rPr/>
            </w:r>
          </w:p>
        </w:tc>
        <w:tc>
          <w:tcPr>
            <w:tcW w:w="1769"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Weighted Average Exercise Price </w:t>
            </w:r>
          </w:p>
        </w:tc>
        <w:tc>
          <w:tcPr>
            <w:tcW w:w="53" w:type="dxa"/>
            <w:tcBorders/>
            <w:shd w:fill="FFFFFF" w:val="clear"/>
            <w:vAlign w:val="center"/>
          </w:tcPr>
          <w:p>
            <w:pPr>
              <w:pStyle w:val="TableContents"/>
              <w:bidi w:val="0"/>
              <w:spacing w:before="0" w:after="0"/>
              <w:ind w:left="0" w:right="0" w:hanging="0"/>
              <w:jc w:val="left"/>
              <w:rPr/>
            </w:pPr>
            <w:r>
              <w:rPr/>
            </w:r>
          </w:p>
        </w:tc>
        <w:tc>
          <w:tcPr>
            <w:tcW w:w="53" w:type="dxa"/>
            <w:tcBorders/>
            <w:shd w:fill="FFFFFF" w:val="clear"/>
            <w:vAlign w:val="center"/>
          </w:tcPr>
          <w:p>
            <w:pPr>
              <w:pStyle w:val="TableContents"/>
              <w:bidi w:val="0"/>
              <w:spacing w:before="0" w:after="0"/>
              <w:ind w:left="0" w:right="0" w:hanging="0"/>
              <w:jc w:val="center"/>
              <w:rPr/>
            </w:pPr>
            <w:r>
              <w:rPr/>
            </w:r>
          </w:p>
        </w:tc>
        <w:tc>
          <w:tcPr>
            <w:tcW w:w="2738"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Weighted Average Remaining Contractual Term (Years) </w:t>
            </w:r>
          </w:p>
        </w:tc>
        <w:tc>
          <w:tcPr>
            <w:tcW w:w="53" w:type="dxa"/>
            <w:tcBorders/>
            <w:shd w:fill="FFFFFF" w:val="clear"/>
            <w:vAlign w:val="center"/>
          </w:tcPr>
          <w:p>
            <w:pPr>
              <w:pStyle w:val="TableContents"/>
              <w:bidi w:val="0"/>
              <w:spacing w:before="0" w:after="0"/>
              <w:ind w:left="0" w:right="0" w:hanging="0"/>
              <w:jc w:val="left"/>
              <w:rPr/>
            </w:pPr>
            <w:r>
              <w:rPr/>
            </w:r>
          </w:p>
        </w:tc>
        <w:tc>
          <w:tcPr>
            <w:tcW w:w="174" w:type="dxa"/>
            <w:tcBorders/>
            <w:shd w:fill="FFFFFF" w:val="clear"/>
            <w:vAlign w:val="center"/>
          </w:tcPr>
          <w:p>
            <w:pPr>
              <w:pStyle w:val="TableContents"/>
              <w:bidi w:val="0"/>
              <w:spacing w:before="0" w:after="0"/>
              <w:ind w:left="0" w:right="0" w:hanging="0"/>
              <w:jc w:val="left"/>
              <w:rPr/>
            </w:pPr>
            <w:r>
              <w:rPr/>
            </w:r>
          </w:p>
        </w:tc>
        <w:tc>
          <w:tcPr>
            <w:tcW w:w="1574" w:type="dxa"/>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Aggregate Intrinsic Value </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(in thousands)</w:t>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Outstanding, January 1, 2024 </w:t>
            </w:r>
          </w:p>
        </w:tc>
        <w:tc>
          <w:tcPr>
            <w:tcW w:w="151" w:type="dxa"/>
            <w:tcBorders/>
            <w:shd w:fill="CCEEFF" w:val="clear"/>
            <w:vAlign w:val="center"/>
          </w:tcPr>
          <w:p>
            <w:pPr>
              <w:pStyle w:val="TableContents"/>
              <w:bidi w:val="0"/>
              <w:spacing w:before="0" w:after="0"/>
              <w:ind w:left="0" w:right="0" w:hanging="0"/>
              <w:jc w:val="left"/>
              <w:rPr/>
            </w:pPr>
            <w:r>
              <w:rPr/>
            </w:r>
          </w:p>
        </w:tc>
        <w:tc>
          <w:tcPr>
            <w:tcW w:w="1694" w:type="dxa"/>
            <w:tcBorders/>
            <w:shd w:fill="CCEEFF" w:val="clear"/>
            <w:vAlign w:val="center"/>
          </w:tcPr>
          <w:p>
            <w:pPr>
              <w:pStyle w:val="TableContents"/>
              <w:pBdr/>
              <w:bidi w:val="0"/>
              <w:spacing w:before="0" w:after="0"/>
              <w:ind w:left="0" w:right="0" w:hanging="0"/>
              <w:jc w:val="right"/>
              <w:rPr/>
            </w:pPr>
            <w:r>
              <w:rPr/>
              <w:t xml:space="preserve">924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438"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331" w:type="dxa"/>
            <w:tcBorders/>
            <w:shd w:fill="CCEEFF" w:val="clear"/>
            <w:vAlign w:val="center"/>
          </w:tcPr>
          <w:p>
            <w:pPr>
              <w:pStyle w:val="TableContents"/>
              <w:pBdr/>
              <w:bidi w:val="0"/>
              <w:spacing w:before="0" w:after="0"/>
              <w:ind w:left="0" w:right="0" w:hanging="0"/>
              <w:jc w:val="right"/>
              <w:rPr/>
            </w:pPr>
            <w:r>
              <w:rPr/>
              <w:t>4.54</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right"/>
              <w:rPr/>
            </w:pPr>
            <w:r>
              <w:rPr/>
              <w:t xml:space="preserve">5.1 </w:t>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574" w:type="dxa"/>
            <w:tcBorders/>
            <w:shd w:fill="CCEEFF" w:val="clear"/>
            <w:vAlign w:val="center"/>
          </w:tcPr>
          <w:p>
            <w:pPr>
              <w:pStyle w:val="TableContents"/>
              <w:pBdr/>
              <w:bidi w:val="0"/>
              <w:spacing w:before="0" w:after="0"/>
              <w:ind w:left="0" w:right="0" w:hanging="0"/>
              <w:jc w:val="right"/>
              <w:rPr>
                <w:color w:val="000000"/>
                <w:sz w:val="20"/>
              </w:rPr>
            </w:pPr>
            <w:r>
              <w:rPr>
                <w:color w:val="000000"/>
                <w:sz w:val="20"/>
              </w:rPr>
              <w:t>1,477</w:t>
            </w:r>
          </w:p>
        </w:tc>
      </w:tr>
      <w:tr>
        <w:trPr/>
        <w:tc>
          <w:tcPr>
            <w:tcW w:w="1840" w:type="dxa"/>
            <w:tcBorders/>
            <w:vAlign w:val="center"/>
          </w:tcPr>
          <w:p>
            <w:pPr>
              <w:pStyle w:val="TableContents"/>
              <w:bidi w:val="0"/>
              <w:spacing w:before="0" w:after="0"/>
              <w:ind w:left="0" w:right="0" w:hanging="0"/>
              <w:jc w:val="left"/>
              <w:rPr/>
            </w:pPr>
            <w:r>
              <w:rPr/>
              <w:t>Stock Purchase Warrants *</w:t>
            </w:r>
          </w:p>
        </w:tc>
        <w:tc>
          <w:tcPr>
            <w:tcW w:w="151" w:type="dxa"/>
            <w:tcBorders/>
            <w:vAlign w:val="center"/>
          </w:tcPr>
          <w:p>
            <w:pPr>
              <w:pStyle w:val="TableContents"/>
              <w:bidi w:val="0"/>
              <w:spacing w:before="0" w:after="0"/>
              <w:ind w:left="0" w:right="0" w:hanging="0"/>
              <w:jc w:val="left"/>
              <w:rPr/>
            </w:pPr>
            <w:r>
              <w:rPr/>
            </w:r>
          </w:p>
        </w:tc>
        <w:tc>
          <w:tcPr>
            <w:tcW w:w="1694" w:type="dxa"/>
            <w:tcBorders/>
            <w:vAlign w:val="center"/>
          </w:tcPr>
          <w:p>
            <w:pPr>
              <w:pStyle w:val="TableContents"/>
              <w:pBdr/>
              <w:bidi w:val="0"/>
              <w:spacing w:before="0" w:after="0"/>
              <w:ind w:left="0" w:right="0" w:hanging="0"/>
              <w:jc w:val="right"/>
              <w:rPr>
                <w:color w:val="000000"/>
                <w:sz w:val="20"/>
              </w:rPr>
            </w:pPr>
            <w:r>
              <w:rPr>
                <w:color w:val="000000"/>
                <w:sz w:val="20"/>
              </w:rPr>
              <w:t>716</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438" w:type="dxa"/>
            <w:tcBorders/>
            <w:vAlign w:val="center"/>
          </w:tcPr>
          <w:p>
            <w:pPr>
              <w:pStyle w:val="TableContents"/>
              <w:bidi w:val="0"/>
              <w:spacing w:before="0" w:after="0"/>
              <w:ind w:left="0" w:right="0" w:hanging="0"/>
              <w:jc w:val="left"/>
              <w:rPr/>
            </w:pPr>
            <w:r>
              <w:rPr/>
            </w:r>
          </w:p>
        </w:tc>
        <w:tc>
          <w:tcPr>
            <w:tcW w:w="1331" w:type="dxa"/>
            <w:tcBorders/>
            <w:vAlign w:val="center"/>
          </w:tcPr>
          <w:p>
            <w:pPr>
              <w:pStyle w:val="TableContents"/>
              <w:pBdr/>
              <w:bidi w:val="0"/>
              <w:spacing w:before="0" w:after="0"/>
              <w:ind w:left="0" w:right="0" w:hanging="0"/>
              <w:jc w:val="right"/>
              <w:rPr/>
            </w:pPr>
            <w:r>
              <w:rPr/>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pPr>
            <w:r>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Exercised </w:t>
            </w:r>
          </w:p>
        </w:tc>
        <w:tc>
          <w:tcPr>
            <w:tcW w:w="151" w:type="dxa"/>
            <w:tcBorders/>
            <w:shd w:fill="CCEEFF" w:val="clear"/>
            <w:vAlign w:val="center"/>
          </w:tcPr>
          <w:p>
            <w:pPr>
              <w:pStyle w:val="TableContents"/>
              <w:bidi w:val="0"/>
              <w:spacing w:before="0" w:after="0"/>
              <w:ind w:left="0" w:right="0" w:hanging="0"/>
              <w:jc w:val="left"/>
              <w:rPr/>
            </w:pPr>
            <w:r>
              <w:rPr/>
            </w:r>
          </w:p>
        </w:tc>
        <w:tc>
          <w:tcPr>
            <w:tcW w:w="1694" w:type="dxa"/>
            <w:tcBorders/>
            <w:shd w:fill="CCEEFF" w:val="clear"/>
            <w:vAlign w:val="center"/>
          </w:tcPr>
          <w:p>
            <w:pPr>
              <w:pStyle w:val="TableContents"/>
              <w:pBdr/>
              <w:bidi w:val="0"/>
              <w:spacing w:before="0" w:after="0"/>
              <w:ind w:left="0" w:right="0" w:hanging="0"/>
              <w:jc w:val="right"/>
              <w:rPr>
                <w:color w:val="000000"/>
                <w:sz w:val="20"/>
              </w:rPr>
            </w:pPr>
            <w:r>
              <w:rPr>
                <w:color w:val="000000"/>
                <w:sz w:val="20"/>
              </w:rPr>
              <w:t>144</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438" w:type="dxa"/>
            <w:tcBorders/>
            <w:shd w:fill="CCEEFF" w:val="clear"/>
            <w:vAlign w:val="center"/>
          </w:tcPr>
          <w:p>
            <w:pPr>
              <w:pStyle w:val="TableContents"/>
              <w:bidi w:val="0"/>
              <w:spacing w:before="0" w:after="0"/>
              <w:ind w:left="0" w:right="0" w:hanging="0"/>
              <w:jc w:val="left"/>
              <w:rPr/>
            </w:pPr>
            <w:r>
              <w:rPr/>
            </w:r>
          </w:p>
        </w:tc>
        <w:tc>
          <w:tcPr>
            <w:tcW w:w="1331" w:type="dxa"/>
            <w:tcBorders/>
            <w:shd w:fill="CCEEFF" w:val="clear"/>
            <w:vAlign w:val="center"/>
          </w:tcPr>
          <w:p>
            <w:pPr>
              <w:pStyle w:val="TableContents"/>
              <w:pBdr/>
              <w:bidi w:val="0"/>
              <w:spacing w:before="0" w:after="0"/>
              <w:ind w:left="0" w:right="0" w:hanging="0"/>
              <w:jc w:val="righ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pPr>
            <w:r>
              <w:rPr/>
            </w:r>
          </w:p>
        </w:tc>
        <w:tc>
          <w:tcPr>
            <w:tcW w:w="1574" w:type="dxa"/>
            <w:tcBorders/>
            <w:shd w:fill="CCEEFF" w:val="clear"/>
            <w:vAlign w:val="center"/>
          </w:tcPr>
          <w:p>
            <w:pPr>
              <w:pStyle w:val="TableContents"/>
              <w:pBdr/>
              <w:bidi w:val="0"/>
              <w:spacing w:before="0" w:after="0"/>
              <w:ind w:left="0" w:right="0" w:hanging="0"/>
              <w:jc w:val="right"/>
              <w:rPr/>
            </w:pPr>
            <w:r>
              <w:rPr/>
            </w:r>
          </w:p>
        </w:tc>
      </w:tr>
      <w:tr>
        <w:trPr/>
        <w:tc>
          <w:tcPr>
            <w:tcW w:w="1840" w:type="dxa"/>
            <w:tcBorders/>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Expired </w:t>
            </w:r>
          </w:p>
        </w:tc>
        <w:tc>
          <w:tcPr>
            <w:tcW w:w="151" w:type="dxa"/>
            <w:tcBorders/>
            <w:vAlign w:val="center"/>
          </w:tcPr>
          <w:p>
            <w:pPr>
              <w:pStyle w:val="TableContents"/>
              <w:bidi w:val="0"/>
              <w:spacing w:before="0" w:after="0"/>
              <w:ind w:left="0" w:right="0" w:hanging="0"/>
              <w:jc w:val="left"/>
              <w:rPr/>
            </w:pPr>
            <w:r>
              <w:rPr/>
            </w:r>
          </w:p>
        </w:tc>
        <w:tc>
          <w:tcPr>
            <w:tcW w:w="1694" w:type="dxa"/>
            <w:tcBorders/>
            <w:vAlign w:val="center"/>
          </w:tcPr>
          <w:p>
            <w:pPr>
              <w:pStyle w:val="TableContents"/>
              <w:pBdr/>
              <w:bidi w:val="0"/>
              <w:spacing w:before="0" w:after="0"/>
              <w:ind w:left="0" w:right="0" w:hanging="0"/>
              <w:jc w:val="right"/>
              <w:rPr/>
            </w:pPr>
            <w:r>
              <w:rPr/>
              <w:t xml:space="preserve">—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0"/>
              <w:ind w:left="0" w:right="0" w:hanging="0"/>
              <w:jc w:val="left"/>
              <w:rPr/>
            </w:pPr>
            <w:r>
              <w:rPr/>
            </w:r>
          </w:p>
        </w:tc>
        <w:tc>
          <w:tcPr>
            <w:tcW w:w="438" w:type="dxa"/>
            <w:tcBorders/>
            <w:vAlign w:val="center"/>
          </w:tcPr>
          <w:p>
            <w:pPr>
              <w:pStyle w:val="TableContents"/>
              <w:bidi w:val="0"/>
              <w:spacing w:before="0" w:after="0"/>
              <w:ind w:left="0" w:right="0" w:hanging="0"/>
              <w:jc w:val="left"/>
              <w:rPr/>
            </w:pPr>
            <w:r>
              <w:rPr/>
            </w:r>
          </w:p>
        </w:tc>
        <w:tc>
          <w:tcPr>
            <w:tcW w:w="1331" w:type="dxa"/>
            <w:tcBorders/>
            <w:vAlign w:val="center"/>
          </w:tcPr>
          <w:p>
            <w:pPr>
              <w:pStyle w:val="TableContents"/>
              <w:pBdr/>
              <w:bidi w:val="0"/>
              <w:spacing w:before="0" w:after="0"/>
              <w:ind w:left="0" w:right="0" w:hanging="0"/>
              <w:jc w:val="right"/>
              <w:rPr/>
            </w:pPr>
            <w:r>
              <w:rPr/>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pPr>
            <w:r>
              <w:rPr/>
            </w:r>
          </w:p>
        </w:tc>
        <w:tc>
          <w:tcPr>
            <w:tcW w:w="1574" w:type="dxa"/>
            <w:tcBorders/>
            <w:vAlign w:val="center"/>
          </w:tcPr>
          <w:p>
            <w:pPr>
              <w:pStyle w:val="TableContents"/>
              <w:pBdr/>
              <w:bidi w:val="0"/>
              <w:spacing w:before="0" w:after="0"/>
              <w:ind w:left="0" w:right="0" w:hanging="0"/>
              <w:jc w:val="right"/>
              <w:rPr/>
            </w:pPr>
            <w:r>
              <w:rPr/>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December 31, 2024 </w:t>
            </w:r>
          </w:p>
        </w:tc>
        <w:tc>
          <w:tcPr>
            <w:tcW w:w="151" w:type="dxa"/>
            <w:tcBorders/>
            <w:shd w:fill="CCEEFF" w:val="clear"/>
            <w:vAlign w:val="center"/>
          </w:tcPr>
          <w:p>
            <w:pPr>
              <w:pStyle w:val="TableContents"/>
              <w:bidi w:val="0"/>
              <w:spacing w:before="0" w:after="0"/>
              <w:ind w:left="0" w:right="0" w:hanging="0"/>
              <w:jc w:val="left"/>
              <w:rPr/>
            </w:pPr>
            <w:r>
              <w:rPr/>
            </w:r>
          </w:p>
        </w:tc>
        <w:tc>
          <w:tcPr>
            <w:tcW w:w="1694" w:type="dxa"/>
            <w:tcBorders/>
            <w:shd w:fill="CCEEFF" w:val="clear"/>
            <w:vAlign w:val="center"/>
          </w:tcPr>
          <w:p>
            <w:pPr>
              <w:pStyle w:val="TableContents"/>
              <w:pBdr/>
              <w:bidi w:val="0"/>
              <w:spacing w:before="0" w:after="0"/>
              <w:ind w:left="0" w:right="0" w:hanging="0"/>
              <w:jc w:val="right"/>
              <w:rPr/>
            </w:pPr>
            <w:r>
              <w:rPr/>
              <w:t xml:space="preserve">1,496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4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31" w:type="dxa"/>
            <w:tcBorders/>
            <w:shd w:fill="CCEEFF" w:val="clear"/>
            <w:vAlign w:val="center"/>
          </w:tcPr>
          <w:p>
            <w:pPr>
              <w:pStyle w:val="TableContents"/>
              <w:pBdr/>
              <w:bidi w:val="0"/>
              <w:spacing w:before="0" w:after="0"/>
              <w:ind w:left="0" w:right="0" w:hanging="0"/>
              <w:jc w:val="right"/>
              <w:rPr/>
            </w:pPr>
            <w:r>
              <w:rPr/>
              <w:t xml:space="preserve">5.31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right"/>
              <w:rPr/>
            </w:pPr>
            <w:r>
              <w:rPr/>
              <w:t xml:space="preserve">4.2 </w:t>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4" w:type="dxa"/>
            <w:tcBorders/>
            <w:shd w:fill="CCEEFF" w:val="clear"/>
            <w:vAlign w:val="center"/>
          </w:tcPr>
          <w:p>
            <w:pPr>
              <w:pStyle w:val="TableContents"/>
              <w:pBdr/>
              <w:bidi w:val="0"/>
              <w:spacing w:before="0" w:after="0"/>
              <w:ind w:left="0" w:right="0" w:hanging="0"/>
              <w:jc w:val="right"/>
              <w:rPr/>
            </w:pPr>
            <w:r>
              <w:rPr/>
              <w:t>16,489</w:t>
            </w:r>
          </w:p>
        </w:tc>
      </w:tr>
      <w:tr>
        <w:trPr/>
        <w:tc>
          <w:tcPr>
            <w:tcW w:w="1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Exercisable, December 31, 2024 </w:t>
            </w:r>
          </w:p>
        </w:tc>
        <w:tc>
          <w:tcPr>
            <w:tcW w:w="151" w:type="dxa"/>
            <w:tcBorders/>
            <w:vAlign w:val="center"/>
          </w:tcPr>
          <w:p>
            <w:pPr>
              <w:pStyle w:val="TableContents"/>
              <w:bidi w:val="0"/>
              <w:spacing w:before="0" w:after="0"/>
              <w:ind w:left="0" w:right="0" w:hanging="0"/>
              <w:jc w:val="left"/>
              <w:rPr/>
            </w:pPr>
            <w:r>
              <w:rPr/>
            </w:r>
          </w:p>
        </w:tc>
        <w:tc>
          <w:tcPr>
            <w:tcW w:w="1694" w:type="dxa"/>
            <w:tcBorders/>
            <w:vAlign w:val="center"/>
          </w:tcPr>
          <w:p>
            <w:pPr>
              <w:pStyle w:val="TableContents"/>
              <w:pBdr/>
              <w:bidi w:val="0"/>
              <w:spacing w:before="0" w:after="0"/>
              <w:ind w:left="0" w:right="0" w:hanging="0"/>
              <w:jc w:val="right"/>
              <w:rPr>
                <w:sz w:val="20"/>
              </w:rPr>
            </w:pPr>
            <w:r>
              <w:rPr>
                <w:sz w:val="20"/>
              </w:rPr>
              <w:t xml:space="preserve">1,496 </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4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31" w:type="dxa"/>
            <w:tcBorders/>
            <w:vAlign w:val="center"/>
          </w:tcPr>
          <w:p>
            <w:pPr>
              <w:pStyle w:val="TableContents"/>
              <w:pBdr/>
              <w:bidi w:val="0"/>
              <w:spacing w:before="0" w:after="0"/>
              <w:ind w:left="0" w:right="0" w:hanging="0"/>
              <w:jc w:val="right"/>
              <w:rPr>
                <w:sz w:val="20"/>
              </w:rPr>
            </w:pPr>
            <w:r>
              <w:rPr>
                <w:sz w:val="20"/>
              </w:rPr>
              <w:t xml:space="preserve">5.31 </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right"/>
              <w:rPr/>
            </w:pPr>
            <w:r>
              <w:rPr/>
              <w:t xml:space="preserve">4.2 </w:t>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4" w:type="dxa"/>
            <w:tcBorders/>
            <w:vAlign w:val="center"/>
          </w:tcPr>
          <w:p>
            <w:pPr>
              <w:pStyle w:val="TableContents"/>
              <w:pBdr/>
              <w:bidi w:val="0"/>
              <w:spacing w:before="0" w:after="0"/>
              <w:ind w:left="0" w:right="0" w:hanging="0"/>
              <w:jc w:val="right"/>
              <w:rPr/>
            </w:pPr>
            <w:r>
              <w:rPr/>
              <w:t>16,489</w:t>
            </w:r>
          </w:p>
        </w:tc>
      </w:tr>
    </w:tbl>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serif" w:hAnsi="Times New Roman;serif"/>
          <w:b w:val="false"/>
          <w:i/>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A total of 1,608</w:t>
      </w:r>
      <w:r>
        <w:rPr>
          <w:rFonts w:ascii="Times New Roman" w:hAnsi="Times New Roman"/>
          <w:b w:val="false"/>
          <w:i w:val="false"/>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pre-funded warrants were excluded from this table of which 995 were issued during the year ended December 31, 2024</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11.</w:t>
      </w:r>
      <w:r>
        <w:rPr>
          <w:rFonts w:ascii="times new roman;times" w:hAnsi="times new roman;times"/>
          <w:sz w:val="20"/>
        </w:rPr>
        <w:t>  </w:t>
      </w:r>
      <w:r>
        <w:rPr>
          <w:rFonts w:ascii="Times New Roman" w:hAnsi="Times New Roman"/>
          <w:b/>
          <w:sz w:val="20"/>
        </w:rPr>
        <w:t>Net Loss Per Share </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Basic net loss per share is computed by dividing net loss by the weighted-average number of shares of common stock outstanding during the period. Diluted loss per share is computed by dividing net loss by the weighted-average number of shares of common stock outstanding adjusted to give effect to potentially dilutive securities. Due to their nominal exercise price of $0.001 per share, 1,608,433 pre-funded warrants are considered common stock equivalents and are included in weighted average shares outstanding in the accompanying consolidated statement of operations as of the closing date of the Company's July 2023 Securities Purchase Agreements. Restricted stock and unit awards, stock options, and warrants (other than the pre-funded warrants) have not been included in the diluted loss per share calculation as their inclusion would have had an anti-dilutive effect.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potential common stock equivalents that have been excluded from the computation of diluted loss per share consist of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539"/>
        <w:gridCol w:w="253"/>
        <w:gridCol w:w="1184"/>
        <w:gridCol w:w="253"/>
        <w:gridCol w:w="254"/>
        <w:gridCol w:w="253"/>
        <w:gridCol w:w="1183"/>
        <w:gridCol w:w="286"/>
      </w:tblGrid>
      <w:tr>
        <w:trPr/>
        <w:tc>
          <w:tcPr>
            <w:tcW w:w="6539" w:type="dxa"/>
            <w:tcBorders/>
            <w:shd w:fill="FFFFFF" w:val="clear"/>
            <w:vAlign w:val="center"/>
          </w:tcPr>
          <w:p>
            <w:pPr>
              <w:pStyle w:val="TableContents"/>
              <w:bidi w:val="0"/>
              <w:spacing w:lineRule="auto" w:line="288" w:before="0" w:after="0"/>
              <w:ind w:left="0" w:right="0" w:hanging="0"/>
              <w:jc w:val="left"/>
              <w:rPr/>
            </w:pPr>
            <w:r>
              <w:rPr/>
              <w:t xml:space="preserve">  </w:t>
            </w:r>
          </w:p>
        </w:tc>
        <w:tc>
          <w:tcPr>
            <w:tcW w:w="3380"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286" w:type="dxa"/>
            <w:tcBorders/>
            <w:shd w:fill="FFFFFF" w:val="clear"/>
            <w:vAlign w:val="center"/>
          </w:tcPr>
          <w:p>
            <w:pPr>
              <w:pStyle w:val="TableContents"/>
              <w:bidi w:val="0"/>
              <w:spacing w:before="0" w:after="0"/>
              <w:ind w:left="0" w:right="0" w:hanging="0"/>
              <w:jc w:val="left"/>
              <w:rPr/>
            </w:pPr>
            <w:r>
              <w:rPr/>
              <w:t xml:space="preserve">  </w:t>
            </w:r>
          </w:p>
        </w:tc>
      </w:tr>
      <w:tr>
        <w:trPr/>
        <w:tc>
          <w:tcPr>
            <w:tcW w:w="6539" w:type="dxa"/>
            <w:tcBorders/>
            <w:shd w:fill="FFFFFF" w:val="clear"/>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1437"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253" w:type="dxa"/>
            <w:tcBorders/>
            <w:shd w:fill="FFFFFF" w:val="clear"/>
            <w:vAlign w:val="center"/>
          </w:tcPr>
          <w:p>
            <w:pPr>
              <w:pStyle w:val="TableContents"/>
              <w:bidi w:val="0"/>
              <w:spacing w:before="0" w:after="0"/>
              <w:ind w:left="0" w:right="0" w:hanging="0"/>
              <w:jc w:val="left"/>
              <w:rPr/>
            </w:pPr>
            <w:r>
              <w:rPr/>
              <w:t xml:space="preserve">  </w:t>
            </w:r>
          </w:p>
        </w:tc>
        <w:tc>
          <w:tcPr>
            <w:tcW w:w="254" w:type="dxa"/>
            <w:tcBorders/>
            <w:shd w:fill="FFFFFF" w:val="clear"/>
            <w:vAlign w:val="center"/>
          </w:tcPr>
          <w:p>
            <w:pPr>
              <w:pStyle w:val="TableContents"/>
              <w:bidi w:val="0"/>
              <w:spacing w:before="0" w:after="0"/>
              <w:ind w:left="0" w:right="0" w:hanging="0"/>
              <w:jc w:val="left"/>
              <w:rPr/>
            </w:pPr>
            <w:r>
              <w:rPr/>
              <w:t xml:space="preserve">  </w:t>
            </w:r>
          </w:p>
        </w:tc>
        <w:tc>
          <w:tcPr>
            <w:tcW w:w="143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286" w:type="dxa"/>
            <w:tcBorders/>
            <w:shd w:fill="FFFFFF" w:val="clear"/>
            <w:vAlign w:val="center"/>
          </w:tcPr>
          <w:p>
            <w:pPr>
              <w:pStyle w:val="TableContents"/>
              <w:bidi w:val="0"/>
              <w:spacing w:before="0" w:after="0"/>
              <w:ind w:left="0" w:right="0" w:hanging="0"/>
              <w:jc w:val="left"/>
              <w:rPr/>
            </w:pPr>
            <w:r>
              <w:rPr/>
              <w:t xml:space="preserve">  </w:t>
            </w:r>
          </w:p>
        </w:tc>
      </w:tr>
      <w:tr>
        <w:trPr/>
        <w:tc>
          <w:tcPr>
            <w:tcW w:w="65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stock options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548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254"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286" w:type="dxa"/>
            <w:tcBorders/>
            <w:shd w:fill="CCEEFF" w:val="clear"/>
            <w:vAlign w:val="center"/>
          </w:tcPr>
          <w:p>
            <w:pPr>
              <w:pStyle w:val="TableContents"/>
              <w:bidi w:val="0"/>
              <w:spacing w:before="0" w:after="0"/>
              <w:ind w:left="0" w:right="0" w:hanging="0"/>
              <w:jc w:val="left"/>
              <w:rPr/>
            </w:pPr>
            <w:r>
              <w:rPr/>
              <w:t xml:space="preserve">  </w:t>
            </w:r>
          </w:p>
        </w:tc>
      </w:tr>
      <w:tr>
        <w:trPr/>
        <w:tc>
          <w:tcPr>
            <w:tcW w:w="6539" w:type="dxa"/>
            <w:tcBorders/>
            <w:vAlign w:val="center"/>
          </w:tcPr>
          <w:p>
            <w:pPr>
              <w:pStyle w:val="TableContents"/>
              <w:bidi w:val="0"/>
              <w:spacing w:before="0" w:after="0"/>
              <w:ind w:left="0" w:right="0" w:hanging="0"/>
              <w:jc w:val="left"/>
              <w:rPr/>
            </w:pPr>
            <w:r>
              <w:rPr/>
              <w:t>Restricted stock and unit awards</w:t>
            </w:r>
          </w:p>
        </w:tc>
        <w:tc>
          <w:tcPr>
            <w:tcW w:w="253" w:type="dxa"/>
            <w:tcBorders/>
            <w:vAlign w:val="center"/>
          </w:tcPr>
          <w:p>
            <w:pPr>
              <w:pStyle w:val="TableContents"/>
              <w:bidi w:val="0"/>
              <w:spacing w:before="0" w:after="0"/>
              <w:ind w:left="0" w:right="0" w:hanging="0"/>
              <w:jc w:val="left"/>
              <w:rPr/>
            </w:pPr>
            <w:r>
              <w:rPr/>
              <w:t xml:space="preserve">  </w:t>
            </w:r>
          </w:p>
        </w:tc>
        <w:tc>
          <w:tcPr>
            <w:tcW w:w="118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459 </w:t>
            </w:r>
          </w:p>
        </w:tc>
        <w:tc>
          <w:tcPr>
            <w:tcW w:w="253" w:type="dxa"/>
            <w:tcBorders/>
            <w:vAlign w:val="center"/>
          </w:tcPr>
          <w:p>
            <w:pPr>
              <w:pStyle w:val="TableContents"/>
              <w:bidi w:val="0"/>
              <w:spacing w:before="0" w:after="0"/>
              <w:ind w:left="0" w:right="0" w:hanging="0"/>
              <w:jc w:val="left"/>
              <w:rPr/>
            </w:pPr>
            <w:r>
              <w:rPr/>
              <w:t xml:space="preserve">  </w:t>
            </w:r>
          </w:p>
        </w:tc>
        <w:tc>
          <w:tcPr>
            <w:tcW w:w="254"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pPr>
            <w:r>
              <w:rPr/>
              <w:t xml:space="preserve">  </w:t>
            </w:r>
          </w:p>
        </w:tc>
        <w:tc>
          <w:tcPr>
            <w:tcW w:w="118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316 </w:t>
            </w:r>
          </w:p>
        </w:tc>
        <w:tc>
          <w:tcPr>
            <w:tcW w:w="286" w:type="dxa"/>
            <w:tcBorders/>
            <w:vAlign w:val="center"/>
          </w:tcPr>
          <w:p>
            <w:pPr>
              <w:pStyle w:val="TableContents"/>
              <w:bidi w:val="0"/>
              <w:spacing w:before="0" w:after="0"/>
              <w:ind w:left="0" w:right="0" w:hanging="0"/>
              <w:jc w:val="left"/>
              <w:rPr/>
            </w:pPr>
            <w:r>
              <w:rPr/>
              <w:t xml:space="preserve">  </w:t>
            </w:r>
          </w:p>
        </w:tc>
      </w:tr>
      <w:tr>
        <w:trPr/>
        <w:tc>
          <w:tcPr>
            <w:tcW w:w="65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 purchase warrants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1,496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254"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924</w:t>
            </w:r>
          </w:p>
        </w:tc>
        <w:tc>
          <w:tcPr>
            <w:tcW w:w="286" w:type="dxa"/>
            <w:tcBorders/>
            <w:shd w:fill="CCEEFF" w:val="clear"/>
            <w:vAlign w:val="center"/>
          </w:tcPr>
          <w:p>
            <w:pPr>
              <w:pStyle w:val="TableContents"/>
              <w:bidi w:val="0"/>
              <w:spacing w:before="0" w:after="0"/>
              <w:ind w:left="0" w:right="0" w:hanging="0"/>
              <w:jc w:val="left"/>
              <w:rPr/>
            </w:pPr>
            <w:r>
              <w:rPr/>
              <w:t xml:space="preserve">  </w:t>
            </w:r>
          </w:p>
        </w:tc>
      </w:tr>
      <w:tr>
        <w:trPr/>
        <w:tc>
          <w:tcPr>
            <w:tcW w:w="6539" w:type="dxa"/>
            <w:tcBorders/>
            <w:vAlign w:val="bottom"/>
          </w:tcPr>
          <w:p>
            <w:pPr>
              <w:pStyle w:val="TableContents"/>
              <w:bidi w:val="0"/>
              <w:spacing w:before="0" w:after="283"/>
              <w:jc w:val="left"/>
              <w:rPr/>
            </w:pPr>
            <w:r>
              <w:rPr/>
            </w:r>
          </w:p>
        </w:tc>
        <w:tc>
          <w:tcPr>
            <w:tcW w:w="253" w:type="dxa"/>
            <w:tcBorders/>
            <w:vAlign w:val="bottom"/>
          </w:tcPr>
          <w:p>
            <w:pPr>
              <w:pStyle w:val="TableContents"/>
              <w:bidi w:val="0"/>
              <w:spacing w:before="0" w:after="283"/>
              <w:jc w:val="left"/>
              <w:rPr/>
            </w:pPr>
            <w:r>
              <w:rPr/>
            </w:r>
          </w:p>
        </w:tc>
        <w:tc>
          <w:tcPr>
            <w:tcW w:w="1184" w:type="dxa"/>
            <w:tcBorders/>
            <w:vAlign w:val="bottom"/>
          </w:tcPr>
          <w:p>
            <w:pPr>
              <w:pStyle w:val="TableContents"/>
              <w:bidi w:val="0"/>
              <w:spacing w:before="0" w:after="283"/>
              <w:jc w:val="right"/>
              <w:rPr/>
            </w:pPr>
            <w:r>
              <w:rPr/>
              <w:t>2,503</w:t>
            </w:r>
          </w:p>
        </w:tc>
        <w:tc>
          <w:tcPr>
            <w:tcW w:w="253" w:type="dxa"/>
            <w:tcBorders/>
            <w:vAlign w:val="bottom"/>
          </w:tcPr>
          <w:p>
            <w:pPr>
              <w:pStyle w:val="TableContents"/>
              <w:bidi w:val="0"/>
              <w:spacing w:before="0" w:after="283"/>
              <w:jc w:val="left"/>
              <w:rPr/>
            </w:pPr>
            <w:r>
              <w:rPr/>
            </w:r>
          </w:p>
        </w:tc>
        <w:tc>
          <w:tcPr>
            <w:tcW w:w="254" w:type="dxa"/>
            <w:tcBorders/>
            <w:vAlign w:val="bottom"/>
          </w:tcPr>
          <w:p>
            <w:pPr>
              <w:pStyle w:val="TableContents"/>
              <w:bidi w:val="0"/>
              <w:spacing w:before="0" w:after="283"/>
              <w:jc w:val="left"/>
              <w:rPr/>
            </w:pPr>
            <w:r>
              <w:rPr/>
            </w:r>
          </w:p>
        </w:tc>
        <w:tc>
          <w:tcPr>
            <w:tcW w:w="253" w:type="dxa"/>
            <w:tcBorders/>
            <w:vAlign w:val="bottom"/>
          </w:tcPr>
          <w:p>
            <w:pPr>
              <w:pStyle w:val="TableContents"/>
              <w:bidi w:val="0"/>
              <w:spacing w:before="0" w:after="283"/>
              <w:jc w:val="left"/>
              <w:rPr/>
            </w:pPr>
            <w:r>
              <w:rPr/>
            </w:r>
          </w:p>
        </w:tc>
        <w:tc>
          <w:tcPr>
            <w:tcW w:w="1183" w:type="dxa"/>
            <w:tcBorders/>
            <w:vAlign w:val="bottom"/>
          </w:tcPr>
          <w:p>
            <w:pPr>
              <w:pStyle w:val="TableContents"/>
              <w:bidi w:val="0"/>
              <w:spacing w:before="0" w:after="283"/>
              <w:jc w:val="right"/>
              <w:rPr/>
            </w:pPr>
            <w:r>
              <w:rPr/>
              <w:t>1,756</w:t>
            </w:r>
          </w:p>
        </w:tc>
        <w:tc>
          <w:tcPr>
            <w:tcW w:w="286" w:type="dxa"/>
            <w:tcBorders/>
            <w:vAlign w:val="bottom"/>
          </w:tcPr>
          <w:p>
            <w:pPr>
              <w:pStyle w:val="TableContents"/>
              <w:bidi w:val="0"/>
              <w:spacing w:before="0" w:after="283"/>
              <w:jc w:val="left"/>
              <w:rPr/>
            </w:pPr>
            <w:r>
              <w:rPr/>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12. Income Taxes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The benefit for income taxes for the years ended </w:t>
      </w:r>
      <w:r>
        <w:rPr>
          <w:rFonts w:ascii="times new roman;times" w:hAnsi="times new roman;times"/>
          <w:sz w:val="20"/>
        </w:rPr>
        <w:t xml:space="preserve">December 31, 2024 </w:t>
      </w:r>
      <w:r>
        <w:rPr>
          <w:rFonts w:ascii="Times New Roman" w:hAnsi="Times New Roman"/>
          <w:sz w:val="20"/>
        </w:rPr>
        <w:t>and 2023 consisted of foreign taxes, state minimum tax and a benefit from the sale of state net operating losses. </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Domestic and foreign components of the loss before provision for income taxes is as follows: </w:t>
      </w:r>
    </w:p>
    <w:p>
      <w:pPr>
        <w:pStyle w:val="TextBody"/>
        <w:widowControl/>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473"/>
        <w:gridCol w:w="708"/>
        <w:gridCol w:w="2712"/>
        <w:gridCol w:w="282"/>
        <w:gridCol w:w="281"/>
        <w:gridCol w:w="708"/>
        <w:gridCol w:w="2712"/>
        <w:gridCol w:w="329"/>
      </w:tblGrid>
      <w:tr>
        <w:trPr/>
        <w:tc>
          <w:tcPr>
            <w:tcW w:w="2473" w:type="dxa"/>
            <w:tcBorders/>
            <w:vAlign w:val="center"/>
          </w:tcPr>
          <w:p>
            <w:pPr>
              <w:pStyle w:val="TableContents"/>
              <w:bidi w:val="0"/>
              <w:spacing w:before="0" w:after="283"/>
              <w:jc w:val="left"/>
              <w:rPr>
                <w:b/>
                <w:sz w:val="16"/>
              </w:rPr>
            </w:pPr>
            <w:r>
              <w:rPr>
                <w:b/>
                <w:sz w:val="16"/>
              </w:rPr>
              <w:t>(in thousands)</w:t>
            </w:r>
          </w:p>
        </w:tc>
        <w:tc>
          <w:tcPr>
            <w:tcW w:w="3420"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2024 </w:t>
            </w:r>
          </w:p>
        </w:tc>
        <w:tc>
          <w:tcPr>
            <w:tcW w:w="282" w:type="dxa"/>
            <w:tcBorders/>
            <w:vAlign w:val="center"/>
          </w:tcPr>
          <w:p>
            <w:pPr>
              <w:pStyle w:val="TableContents"/>
              <w:bidi w:val="0"/>
              <w:spacing w:before="0" w:after="0"/>
              <w:ind w:left="0" w:right="0" w:hanging="0"/>
              <w:jc w:val="left"/>
              <w:rPr/>
            </w:pPr>
            <w:r>
              <w:rPr/>
              <w:t xml:space="preserve">  </w:t>
            </w:r>
          </w:p>
        </w:tc>
        <w:tc>
          <w:tcPr>
            <w:tcW w:w="281" w:type="dxa"/>
            <w:tcBorders/>
            <w:vAlign w:val="center"/>
          </w:tcPr>
          <w:p>
            <w:pPr>
              <w:pStyle w:val="TableContents"/>
              <w:bidi w:val="0"/>
              <w:spacing w:before="0" w:after="0"/>
              <w:ind w:left="0" w:right="0" w:hanging="0"/>
              <w:jc w:val="center"/>
              <w:rPr/>
            </w:pPr>
            <w:r>
              <w:rPr/>
              <w:t xml:space="preserve">  </w:t>
            </w:r>
          </w:p>
        </w:tc>
        <w:tc>
          <w:tcPr>
            <w:tcW w:w="3420"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2023 </w:t>
            </w:r>
          </w:p>
        </w:tc>
        <w:tc>
          <w:tcPr>
            <w:tcW w:w="329" w:type="dxa"/>
            <w:tcBorders/>
            <w:vAlign w:val="center"/>
          </w:tcPr>
          <w:p>
            <w:pPr>
              <w:pStyle w:val="TableContents"/>
              <w:bidi w:val="0"/>
              <w:spacing w:before="0" w:after="0"/>
              <w:ind w:left="0" w:right="0" w:hanging="0"/>
              <w:jc w:val="left"/>
              <w:rPr/>
            </w:pPr>
            <w:r>
              <w:rPr/>
              <w:t xml:space="preserve">  </w:t>
            </w:r>
          </w:p>
        </w:tc>
      </w:tr>
      <w:tr>
        <w:trPr/>
        <w:tc>
          <w:tcPr>
            <w:tcW w:w="24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Domestic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(11,338</w:t>
            </w:r>
          </w:p>
        </w:tc>
        <w:tc>
          <w:tcPr>
            <w:tcW w:w="282" w:type="dxa"/>
            <w:tcBorders/>
            <w:shd w:fill="CCEEFF" w:val="clear"/>
            <w:vAlign w:val="center"/>
          </w:tcPr>
          <w:p>
            <w:pPr>
              <w:pStyle w:val="TableContents"/>
              <w:bidi w:val="0"/>
              <w:spacing w:before="0" w:after="283"/>
              <w:jc w:val="left"/>
              <w:rPr/>
            </w:pPr>
            <w:r>
              <w:rPr/>
              <w:t>)</w:t>
            </w:r>
          </w:p>
        </w:tc>
        <w:tc>
          <w:tcPr>
            <w:tcW w:w="281"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(18,713</w:t>
            </w:r>
          </w:p>
        </w:tc>
        <w:tc>
          <w:tcPr>
            <w:tcW w:w="3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24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w:t>
            </w:r>
          </w:p>
        </w:tc>
        <w:tc>
          <w:tcPr>
            <w:tcW w:w="708" w:type="dxa"/>
            <w:tcBorders/>
            <w:vAlign w:val="center"/>
          </w:tcPr>
          <w:p>
            <w:pPr>
              <w:pStyle w:val="TableContents"/>
              <w:bidi w:val="0"/>
              <w:spacing w:before="0" w:after="0"/>
              <w:ind w:left="0" w:right="0" w:hanging="0"/>
              <w:jc w:val="left"/>
              <w:rPr/>
            </w:pPr>
            <w:r>
              <w:rPr/>
              <w:t xml:space="preserve">  </w:t>
            </w:r>
          </w:p>
        </w:tc>
        <w:tc>
          <w:tcPr>
            <w:tcW w:w="271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(641</w:t>
            </w:r>
          </w:p>
        </w:tc>
        <w:tc>
          <w:tcPr>
            <w:tcW w:w="282" w:type="dxa"/>
            <w:tcBorders/>
            <w:vAlign w:val="center"/>
          </w:tcPr>
          <w:p>
            <w:pPr>
              <w:pStyle w:val="TableContents"/>
              <w:bidi w:val="0"/>
              <w:spacing w:before="0" w:after="283"/>
              <w:jc w:val="left"/>
              <w:rPr/>
            </w:pPr>
            <w:r>
              <w:rPr/>
              <w:t>)</w:t>
            </w:r>
          </w:p>
        </w:tc>
        <w:tc>
          <w:tcPr>
            <w:tcW w:w="281"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pPr>
            <w:r>
              <w:rPr/>
              <w:t xml:space="preserve">  </w:t>
            </w:r>
          </w:p>
        </w:tc>
        <w:tc>
          <w:tcPr>
            <w:tcW w:w="271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(307</w:t>
            </w:r>
          </w:p>
        </w:tc>
        <w:tc>
          <w:tcPr>
            <w:tcW w:w="329" w:type="dxa"/>
            <w:tcBorders/>
            <w:vAlign w:val="center"/>
          </w:tcPr>
          <w:p>
            <w:pPr>
              <w:pStyle w:val="TableContents"/>
              <w:bidi w:val="0"/>
              <w:spacing w:before="0" w:after="283"/>
              <w:jc w:val="left"/>
              <w:rPr/>
            </w:pPr>
            <w:r>
              <w:rPr/>
              <w:t>)</w:t>
            </w:r>
          </w:p>
        </w:tc>
      </w:tr>
      <w:tr>
        <w:trPr/>
        <w:tc>
          <w:tcPr>
            <w:tcW w:w="24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(11,979</w:t>
            </w:r>
          </w:p>
        </w:tc>
        <w:tc>
          <w:tcPr>
            <w:tcW w:w="282" w:type="dxa"/>
            <w:tcBorders/>
            <w:shd w:fill="CCEEFF" w:val="clear"/>
            <w:vAlign w:val="center"/>
          </w:tcPr>
          <w:p>
            <w:pPr>
              <w:pStyle w:val="TableContents"/>
              <w:bidi w:val="0"/>
              <w:spacing w:before="0" w:after="283"/>
              <w:jc w:val="left"/>
              <w:rPr/>
            </w:pPr>
            <w:r>
              <w:rPr/>
              <w:t>)</w:t>
            </w:r>
          </w:p>
        </w:tc>
        <w:tc>
          <w:tcPr>
            <w:tcW w:w="281"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(19,020</w:t>
            </w:r>
          </w:p>
        </w:tc>
        <w:tc>
          <w:tcPr>
            <w:tcW w:w="329" w:type="dxa"/>
            <w:tcBorders/>
            <w:shd w:fill="CCEEFF" w:val="clear"/>
            <w:vAlign w:val="center"/>
          </w:tcPr>
          <w:p>
            <w:pPr>
              <w:pStyle w:val="TableContents"/>
              <w:bidi w:val="0"/>
              <w:spacing w:before="0" w:after="283"/>
              <w:jc w:val="left"/>
              <w:rPr/>
            </w:pPr>
            <w:r>
              <w:rPr/>
              <w:t>)</w:t>
            </w:r>
          </w:p>
        </w:tc>
      </w:tr>
    </w:tbl>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income tax (benefit)/expense from continuing operations contains the following components: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3944"/>
        <w:gridCol w:w="664"/>
        <w:gridCol w:w="2110"/>
        <w:gridCol w:w="228"/>
        <w:gridCol w:w="228"/>
        <w:gridCol w:w="664"/>
        <w:gridCol w:w="2110"/>
        <w:gridCol w:w="257"/>
      </w:tblGrid>
      <w:tr>
        <w:trPr/>
        <w:tc>
          <w:tcPr>
            <w:tcW w:w="3944" w:type="dxa"/>
            <w:tcBorders/>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2774"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2024 </w:t>
            </w:r>
          </w:p>
        </w:tc>
        <w:tc>
          <w:tcPr>
            <w:tcW w:w="228" w:type="dxa"/>
            <w:tcBorders/>
            <w:vAlign w:val="center"/>
          </w:tcPr>
          <w:p>
            <w:pPr>
              <w:pStyle w:val="TableContents"/>
              <w:bidi w:val="0"/>
              <w:spacing w:before="0" w:after="0"/>
              <w:ind w:left="0" w:right="0" w:hanging="0"/>
              <w:jc w:val="left"/>
              <w:rPr/>
            </w:pPr>
            <w:r>
              <w:rPr/>
              <w:t xml:space="preserve">  </w:t>
            </w:r>
          </w:p>
        </w:tc>
        <w:tc>
          <w:tcPr>
            <w:tcW w:w="228" w:type="dxa"/>
            <w:tcBorders/>
            <w:vAlign w:val="center"/>
          </w:tcPr>
          <w:p>
            <w:pPr>
              <w:pStyle w:val="TableContents"/>
              <w:bidi w:val="0"/>
              <w:spacing w:before="0" w:after="0"/>
              <w:ind w:left="0" w:right="0" w:hanging="0"/>
              <w:jc w:val="center"/>
              <w:rPr/>
            </w:pPr>
            <w:r>
              <w:rPr/>
              <w:t xml:space="preserve">  </w:t>
            </w:r>
          </w:p>
        </w:tc>
        <w:tc>
          <w:tcPr>
            <w:tcW w:w="2774"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2023 </w:t>
            </w:r>
          </w:p>
        </w:tc>
        <w:tc>
          <w:tcPr>
            <w:tcW w:w="257" w:type="dxa"/>
            <w:tcBorders/>
            <w:vAlign w:val="center"/>
          </w:tcPr>
          <w:p>
            <w:pPr>
              <w:pStyle w:val="TableContents"/>
              <w:bidi w:val="0"/>
              <w:spacing w:before="0" w:after="0"/>
              <w:ind w:left="0" w:right="0" w:hanging="0"/>
              <w:jc w:val="left"/>
              <w:rPr/>
            </w:pPr>
            <w:r>
              <w:rPr/>
              <w:t xml:space="preserve">  </w:t>
            </w:r>
          </w:p>
        </w:tc>
      </w:tr>
      <w:tr>
        <w:trPr/>
        <w:tc>
          <w:tcPr>
            <w:tcW w:w="39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Federal </w:t>
            </w:r>
          </w:p>
        </w:tc>
        <w:tc>
          <w:tcPr>
            <w:tcW w:w="6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10" w:type="dxa"/>
            <w:tcBorders/>
            <w:shd w:fill="CCEEFF" w:val="clear"/>
            <w:vAlign w:val="center"/>
          </w:tcPr>
          <w:p>
            <w:pPr>
              <w:pStyle w:val="TableContents"/>
              <w:pBdr/>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6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10" w:type="dxa"/>
            <w:tcBorders/>
            <w:shd w:fill="CCEEFF" w:val="clear"/>
            <w:vAlign w:val="center"/>
          </w:tcPr>
          <w:p>
            <w:pPr>
              <w:pStyle w:val="TableContents"/>
              <w:pBdr/>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left"/>
              <w:rPr/>
            </w:pPr>
            <w:r>
              <w:rPr/>
              <w:t xml:space="preserve">  </w:t>
            </w:r>
          </w:p>
        </w:tc>
      </w:tr>
      <w:tr>
        <w:trPr/>
        <w:tc>
          <w:tcPr>
            <w:tcW w:w="39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State </w:t>
            </w:r>
          </w:p>
        </w:tc>
        <w:tc>
          <w:tcPr>
            <w:tcW w:w="664" w:type="dxa"/>
            <w:tcBorders/>
            <w:vAlign w:val="center"/>
          </w:tcPr>
          <w:p>
            <w:pPr>
              <w:pStyle w:val="TableContents"/>
              <w:bidi w:val="0"/>
              <w:spacing w:before="0" w:after="0"/>
              <w:ind w:left="0" w:right="0" w:hanging="0"/>
              <w:jc w:val="left"/>
              <w:rPr/>
            </w:pPr>
            <w:r>
              <w:rPr/>
            </w:r>
          </w:p>
        </w:tc>
        <w:tc>
          <w:tcPr>
            <w:tcW w:w="211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(116</w:t>
            </w:r>
          </w:p>
        </w:tc>
        <w:tc>
          <w:tcPr>
            <w:tcW w:w="228" w:type="dxa"/>
            <w:tcBorders/>
            <w:vAlign w:val="center"/>
          </w:tcPr>
          <w:p>
            <w:pPr>
              <w:pStyle w:val="TableContents"/>
              <w:bidi w:val="0"/>
              <w:spacing w:before="0" w:after="283"/>
              <w:jc w:val="left"/>
              <w:rPr/>
            </w:pPr>
            <w:r>
              <w:rPr/>
              <w:t>)</w:t>
            </w:r>
          </w:p>
        </w:tc>
        <w:tc>
          <w:tcPr>
            <w:tcW w:w="228" w:type="dxa"/>
            <w:tcBorders/>
            <w:vAlign w:val="center"/>
          </w:tcPr>
          <w:p>
            <w:pPr>
              <w:pStyle w:val="TableContents"/>
              <w:bidi w:val="0"/>
              <w:spacing w:before="0" w:after="0"/>
              <w:ind w:left="0" w:right="0" w:hanging="0"/>
              <w:jc w:val="left"/>
              <w:rPr/>
            </w:pPr>
            <w:r>
              <w:rPr/>
              <w:t xml:space="preserve">  </w:t>
            </w:r>
          </w:p>
        </w:tc>
        <w:tc>
          <w:tcPr>
            <w:tcW w:w="664" w:type="dxa"/>
            <w:tcBorders/>
            <w:vAlign w:val="center"/>
          </w:tcPr>
          <w:p>
            <w:pPr>
              <w:pStyle w:val="TableContents"/>
              <w:bidi w:val="0"/>
              <w:spacing w:before="0" w:after="0"/>
              <w:ind w:left="0" w:right="0" w:hanging="0"/>
              <w:jc w:val="left"/>
              <w:rPr/>
            </w:pPr>
            <w:r>
              <w:rPr/>
            </w:r>
          </w:p>
        </w:tc>
        <w:tc>
          <w:tcPr>
            <w:tcW w:w="211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(208</w:t>
            </w:r>
          </w:p>
        </w:tc>
        <w:tc>
          <w:tcPr>
            <w:tcW w:w="257" w:type="dxa"/>
            <w:tcBorders/>
            <w:vAlign w:val="center"/>
          </w:tcPr>
          <w:p>
            <w:pPr>
              <w:pStyle w:val="TableContents"/>
              <w:bidi w:val="0"/>
              <w:spacing w:before="0" w:after="283"/>
              <w:jc w:val="left"/>
              <w:rPr/>
            </w:pPr>
            <w:r>
              <w:rPr/>
              <w:t>)</w:t>
            </w:r>
          </w:p>
        </w:tc>
      </w:tr>
      <w:tr>
        <w:trPr/>
        <w:tc>
          <w:tcPr>
            <w:tcW w:w="39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w:t>
            </w:r>
          </w:p>
        </w:tc>
        <w:tc>
          <w:tcPr>
            <w:tcW w:w="664" w:type="dxa"/>
            <w:tcBorders/>
            <w:shd w:fill="CCEEFF" w:val="clear"/>
            <w:vAlign w:val="center"/>
          </w:tcPr>
          <w:p>
            <w:pPr>
              <w:pStyle w:val="TableContents"/>
              <w:bidi w:val="0"/>
              <w:spacing w:before="0" w:after="0"/>
              <w:ind w:left="0" w:right="0" w:hanging="0"/>
              <w:jc w:val="left"/>
              <w:rPr/>
            </w:pPr>
            <w:r>
              <w:rPr/>
            </w:r>
          </w:p>
        </w:tc>
        <w:tc>
          <w:tcPr>
            <w:tcW w:w="211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664" w:type="dxa"/>
            <w:tcBorders/>
            <w:shd w:fill="CCEEFF" w:val="clear"/>
            <w:vAlign w:val="center"/>
          </w:tcPr>
          <w:p>
            <w:pPr>
              <w:pStyle w:val="TableContents"/>
              <w:bidi w:val="0"/>
              <w:spacing w:before="0" w:after="0"/>
              <w:ind w:left="0" w:right="0" w:hanging="0"/>
              <w:jc w:val="left"/>
              <w:rPr/>
            </w:pPr>
            <w:r>
              <w:rPr/>
            </w:r>
          </w:p>
        </w:tc>
        <w:tc>
          <w:tcPr>
            <w:tcW w:w="211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257" w:type="dxa"/>
            <w:tcBorders/>
            <w:shd w:fill="CCEEFF" w:val="clear"/>
            <w:vAlign w:val="center"/>
          </w:tcPr>
          <w:p>
            <w:pPr>
              <w:pStyle w:val="TableContents"/>
              <w:bidi w:val="0"/>
              <w:spacing w:before="0" w:after="0"/>
              <w:ind w:left="0" w:right="0" w:hanging="0"/>
              <w:jc w:val="left"/>
              <w:rPr/>
            </w:pPr>
            <w:r>
              <w:rPr/>
              <w:t xml:space="preserve">  </w:t>
            </w:r>
          </w:p>
        </w:tc>
      </w:tr>
      <w:tr>
        <w:trPr/>
        <w:tc>
          <w:tcPr>
            <w:tcW w:w="39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current benefit </w:t>
            </w:r>
          </w:p>
        </w:tc>
        <w:tc>
          <w:tcPr>
            <w:tcW w:w="664" w:type="dxa"/>
            <w:tcBorders/>
            <w:vAlign w:val="center"/>
          </w:tcPr>
          <w:p>
            <w:pPr>
              <w:pStyle w:val="TableContents"/>
              <w:bidi w:val="0"/>
              <w:spacing w:before="0" w:after="0"/>
              <w:ind w:left="0" w:right="0" w:hanging="0"/>
              <w:jc w:val="left"/>
              <w:rPr/>
            </w:pPr>
            <w:r>
              <w:rPr/>
              <w:t xml:space="preserve">  </w:t>
            </w:r>
          </w:p>
        </w:tc>
        <w:tc>
          <w:tcPr>
            <w:tcW w:w="211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(93</w:t>
            </w:r>
          </w:p>
        </w:tc>
        <w:tc>
          <w:tcPr>
            <w:tcW w:w="228" w:type="dxa"/>
            <w:tcBorders/>
            <w:vAlign w:val="center"/>
          </w:tcPr>
          <w:p>
            <w:pPr>
              <w:pStyle w:val="TableContents"/>
              <w:bidi w:val="0"/>
              <w:spacing w:before="0" w:after="283"/>
              <w:jc w:val="left"/>
              <w:rPr/>
            </w:pPr>
            <w:r>
              <w:rPr/>
              <w:t>)</w:t>
            </w:r>
          </w:p>
        </w:tc>
        <w:tc>
          <w:tcPr>
            <w:tcW w:w="228" w:type="dxa"/>
            <w:tcBorders/>
            <w:vAlign w:val="center"/>
          </w:tcPr>
          <w:p>
            <w:pPr>
              <w:pStyle w:val="TableContents"/>
              <w:bidi w:val="0"/>
              <w:spacing w:before="0" w:after="0"/>
              <w:ind w:left="0" w:right="0" w:hanging="0"/>
              <w:jc w:val="left"/>
              <w:rPr/>
            </w:pPr>
            <w:r>
              <w:rPr/>
              <w:t xml:space="preserve">  </w:t>
            </w:r>
          </w:p>
        </w:tc>
        <w:tc>
          <w:tcPr>
            <w:tcW w:w="664" w:type="dxa"/>
            <w:tcBorders/>
            <w:vAlign w:val="center"/>
          </w:tcPr>
          <w:p>
            <w:pPr>
              <w:pStyle w:val="TableContents"/>
              <w:bidi w:val="0"/>
              <w:spacing w:before="0" w:after="0"/>
              <w:ind w:left="0" w:right="0" w:hanging="0"/>
              <w:jc w:val="left"/>
              <w:rPr/>
            </w:pPr>
            <w:r>
              <w:rPr/>
              <w:t xml:space="preserve">  </w:t>
            </w:r>
          </w:p>
        </w:tc>
        <w:tc>
          <w:tcPr>
            <w:tcW w:w="211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p>
        </w:tc>
        <w:tc>
          <w:tcPr>
            <w:tcW w:w="257" w:type="dxa"/>
            <w:tcBorders/>
            <w:vAlign w:val="center"/>
          </w:tcPr>
          <w:p>
            <w:pPr>
              <w:pStyle w:val="TableContents"/>
              <w:bidi w:val="0"/>
              <w:spacing w:before="0" w:after="283"/>
              <w:jc w:val="left"/>
              <w:rPr/>
            </w:pPr>
            <w:r>
              <w:rPr/>
              <w:t>)</w:t>
            </w:r>
          </w:p>
        </w:tc>
      </w:tr>
      <w:tr>
        <w:trPr/>
        <w:tc>
          <w:tcPr>
            <w:tcW w:w="3944" w:type="dxa"/>
            <w:tcBorders/>
            <w:shd w:fill="CCEEFF" w:val="clear"/>
            <w:vAlign w:val="center"/>
          </w:tcPr>
          <w:p>
            <w:pPr>
              <w:pStyle w:val="TableContents"/>
              <w:bidi w:val="0"/>
              <w:spacing w:before="0" w:after="0"/>
              <w:ind w:left="0" w:right="0" w:hanging="0"/>
              <w:jc w:val="left"/>
              <w:rPr/>
            </w:pPr>
            <w:r>
              <w:rPr/>
              <w:t xml:space="preserve">  </w:t>
            </w:r>
          </w:p>
        </w:tc>
        <w:tc>
          <w:tcPr>
            <w:tcW w:w="664" w:type="dxa"/>
            <w:tcBorders/>
            <w:shd w:fill="CCEEFF" w:val="clear"/>
            <w:vAlign w:val="center"/>
          </w:tcPr>
          <w:p>
            <w:pPr>
              <w:pStyle w:val="TableContents"/>
              <w:bidi w:val="0"/>
              <w:spacing w:before="0" w:after="0"/>
              <w:ind w:left="0" w:right="0" w:hanging="0"/>
              <w:jc w:val="left"/>
              <w:rPr/>
            </w:pPr>
            <w:r>
              <w:rPr/>
              <w:t xml:space="preserve">  </w:t>
            </w:r>
          </w:p>
        </w:tc>
        <w:tc>
          <w:tcPr>
            <w:tcW w:w="2110" w:type="dxa"/>
            <w:tcBorders/>
            <w:shd w:fill="CCEEFF" w:val="clear"/>
            <w:vAlign w:val="center"/>
          </w:tcPr>
          <w:p>
            <w:pPr>
              <w:pStyle w:val="TableContents"/>
              <w:pBdr/>
              <w:bidi w:val="0"/>
              <w:spacing w:before="0" w:after="0"/>
              <w:ind w:left="0" w:right="0" w:hanging="0"/>
              <w:jc w:val="left"/>
              <w:rPr/>
            </w:pPr>
            <w:r>
              <w:rPr/>
              <w:t xml:space="preserve">  </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664" w:type="dxa"/>
            <w:tcBorders/>
            <w:shd w:fill="CCEEFF" w:val="clear"/>
            <w:vAlign w:val="center"/>
          </w:tcPr>
          <w:p>
            <w:pPr>
              <w:pStyle w:val="TableContents"/>
              <w:bidi w:val="0"/>
              <w:spacing w:before="0" w:after="0"/>
              <w:ind w:left="0" w:right="0" w:hanging="0"/>
              <w:jc w:val="left"/>
              <w:rPr/>
            </w:pPr>
            <w:r>
              <w:rPr/>
              <w:t xml:space="preserve">  </w:t>
            </w:r>
          </w:p>
        </w:tc>
        <w:tc>
          <w:tcPr>
            <w:tcW w:w="2110" w:type="dxa"/>
            <w:tcBorders/>
            <w:shd w:fill="CCEEFF" w:val="clear"/>
            <w:vAlign w:val="center"/>
          </w:tcPr>
          <w:p>
            <w:pPr>
              <w:pStyle w:val="TableContents"/>
              <w:pBdr/>
              <w:bidi w:val="0"/>
              <w:spacing w:before="0" w:after="0"/>
              <w:ind w:left="0" w:right="0" w:hanging="0"/>
              <w:jc w:val="lef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r>
      <w:tr>
        <w:trPr/>
        <w:tc>
          <w:tcPr>
            <w:tcW w:w="39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w:t>
            </w:r>
          </w:p>
        </w:tc>
        <w:tc>
          <w:tcPr>
            <w:tcW w:w="664" w:type="dxa"/>
            <w:tcBorders/>
            <w:vAlign w:val="center"/>
          </w:tcPr>
          <w:p>
            <w:pPr>
              <w:pStyle w:val="TableContents"/>
              <w:bidi w:val="0"/>
              <w:spacing w:before="0" w:after="0"/>
              <w:ind w:left="0" w:right="0" w:hanging="0"/>
              <w:jc w:val="left"/>
              <w:rPr/>
            </w:pPr>
            <w:r>
              <w:rPr/>
              <w:t xml:space="preserve">  </w:t>
            </w:r>
          </w:p>
        </w:tc>
        <w:tc>
          <w:tcPr>
            <w:tcW w:w="2110" w:type="dxa"/>
            <w:tcBorders/>
            <w:vAlign w:val="center"/>
          </w:tcPr>
          <w:p>
            <w:pPr>
              <w:pStyle w:val="TableContents"/>
              <w:pBdr/>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 xml:space="preserve">  </w:t>
            </w:r>
          </w:p>
        </w:tc>
        <w:tc>
          <w:tcPr>
            <w:tcW w:w="228" w:type="dxa"/>
            <w:tcBorders/>
            <w:vAlign w:val="center"/>
          </w:tcPr>
          <w:p>
            <w:pPr>
              <w:pStyle w:val="TableContents"/>
              <w:bidi w:val="0"/>
              <w:spacing w:before="0" w:after="0"/>
              <w:ind w:left="0" w:right="0" w:hanging="0"/>
              <w:jc w:val="left"/>
              <w:rPr/>
            </w:pPr>
            <w:r>
              <w:rPr/>
              <w:t xml:space="preserve">  </w:t>
            </w:r>
          </w:p>
        </w:tc>
        <w:tc>
          <w:tcPr>
            <w:tcW w:w="664" w:type="dxa"/>
            <w:tcBorders/>
            <w:vAlign w:val="center"/>
          </w:tcPr>
          <w:p>
            <w:pPr>
              <w:pStyle w:val="TableContents"/>
              <w:bidi w:val="0"/>
              <w:spacing w:before="0" w:after="0"/>
              <w:ind w:left="0" w:right="0" w:hanging="0"/>
              <w:jc w:val="left"/>
              <w:rPr/>
            </w:pPr>
            <w:r>
              <w:rPr/>
              <w:t xml:space="preserve">  </w:t>
            </w:r>
          </w:p>
        </w:tc>
        <w:tc>
          <w:tcPr>
            <w:tcW w:w="2110" w:type="dxa"/>
            <w:tcBorders/>
            <w:vAlign w:val="center"/>
          </w:tcPr>
          <w:p>
            <w:pPr>
              <w:pStyle w:val="TableContents"/>
              <w:pBdr/>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left"/>
              <w:rPr/>
            </w:pPr>
            <w:r>
              <w:rPr/>
              <w:t xml:space="preserve">  </w:t>
            </w:r>
          </w:p>
        </w:tc>
      </w:tr>
      <w:tr>
        <w:trPr/>
        <w:tc>
          <w:tcPr>
            <w:tcW w:w="39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income tax benefit </w:t>
            </w:r>
          </w:p>
        </w:tc>
        <w:tc>
          <w:tcPr>
            <w:tcW w:w="6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1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(93</w:t>
            </w:r>
          </w:p>
        </w:tc>
        <w:tc>
          <w:tcPr>
            <w:tcW w:w="228" w:type="dxa"/>
            <w:tcBorders/>
            <w:shd w:fill="CCEEFF" w:val="clear"/>
            <w:vAlign w:val="bottom"/>
          </w:tcPr>
          <w:p>
            <w:pPr>
              <w:pStyle w:val="TableContents"/>
              <w:bidi w:val="0"/>
              <w:spacing w:before="0" w:after="283"/>
              <w:jc w:val="left"/>
              <w:rPr/>
            </w:pPr>
            <w:r>
              <w:rPr/>
              <w:t>)</w:t>
            </w:r>
          </w:p>
        </w:tc>
        <w:tc>
          <w:tcPr>
            <w:tcW w:w="228" w:type="dxa"/>
            <w:tcBorders/>
            <w:shd w:fill="CCEEFF" w:val="clear"/>
            <w:vAlign w:val="center"/>
          </w:tcPr>
          <w:p>
            <w:pPr>
              <w:pStyle w:val="TableContents"/>
              <w:bidi w:val="0"/>
              <w:spacing w:before="0" w:after="0"/>
              <w:ind w:left="0" w:right="0" w:hanging="0"/>
              <w:jc w:val="left"/>
              <w:rPr/>
            </w:pPr>
            <w:r>
              <w:rPr/>
              <w:t xml:space="preserve">  </w:t>
            </w:r>
          </w:p>
        </w:tc>
        <w:tc>
          <w:tcPr>
            <w:tcW w:w="6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1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p>
        </w:tc>
        <w:tc>
          <w:tcPr>
            <w:tcW w:w="25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F-21</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 The net change in the valuation allowance for the years ended December 31, 2024 and 2023 was an increase of $3.7 million and $3.5 million,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significant components of the Company’s deferred income tax assets and liabilities after applying enacted corporate tax rates are as follows: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19"/>
        <w:gridCol w:w="366"/>
        <w:gridCol w:w="1404"/>
        <w:gridCol w:w="258"/>
        <w:gridCol w:w="49"/>
        <w:gridCol w:w="366"/>
        <w:gridCol w:w="1468"/>
        <w:gridCol w:w="275"/>
      </w:tblGrid>
      <w:tr>
        <w:trPr/>
        <w:tc>
          <w:tcPr>
            <w:tcW w:w="6019" w:type="dxa"/>
            <w:tcBorders/>
            <w:vAlign w:val="center"/>
          </w:tcPr>
          <w:p>
            <w:pPr>
              <w:pStyle w:val="TableContents"/>
              <w:bidi w:val="0"/>
              <w:spacing w:before="0" w:after="0"/>
              <w:ind w:left="0" w:right="0" w:hanging="0"/>
              <w:jc w:val="left"/>
              <w:rPr/>
            </w:pPr>
            <w:r>
              <w:rPr/>
              <w:t xml:space="preserve">  </w:t>
            </w:r>
          </w:p>
        </w:tc>
        <w:tc>
          <w:tcPr>
            <w:tcW w:w="3911" w:type="dxa"/>
            <w:gridSpan w:val="6"/>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1770"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2024</w:t>
            </w:r>
          </w:p>
        </w:tc>
        <w:tc>
          <w:tcPr>
            <w:tcW w:w="258" w:type="dxa"/>
            <w:tcBorders/>
            <w:vAlign w:val="center"/>
          </w:tcPr>
          <w:p>
            <w:pPr>
              <w:pStyle w:val="TableContents"/>
              <w:pBdr/>
              <w:bidi w:val="0"/>
              <w:spacing w:before="0" w:after="0"/>
              <w:ind w:left="0" w:right="0" w:hanging="0"/>
              <w:jc w:val="left"/>
              <w:rPr/>
            </w:pPr>
            <w:r>
              <w:rPr/>
              <w:t xml:space="preserve">  </w:t>
            </w:r>
          </w:p>
        </w:tc>
        <w:tc>
          <w:tcPr>
            <w:tcW w:w="49" w:type="dxa"/>
            <w:tcBorders/>
            <w:vAlign w:val="center"/>
          </w:tcPr>
          <w:p>
            <w:pPr>
              <w:pStyle w:val="TableContents"/>
              <w:bidi w:val="0"/>
              <w:spacing w:before="0" w:after="283"/>
              <w:ind w:left="0" w:right="0" w:hanging="0"/>
              <w:jc w:val="left"/>
              <w:rPr/>
            </w:pPr>
            <w:r>
              <w:rPr/>
            </w:r>
          </w:p>
        </w:tc>
        <w:tc>
          <w:tcPr>
            <w:tcW w:w="1834"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2023</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left"/>
              <w:rPr/>
            </w:pPr>
            <w:r>
              <w:rPr/>
              <w:t xml:space="preserve">  </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left"/>
              <w:rPr/>
            </w:pPr>
            <w:r>
              <w:rPr/>
              <w:t xml:space="preserve">  </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operating loss carryforwards </w:t>
            </w:r>
          </w:p>
        </w:tc>
        <w:tc>
          <w:tcPr>
            <w:tcW w:w="36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35,856</w:t>
            </w:r>
          </w:p>
        </w:tc>
        <w:tc>
          <w:tcPr>
            <w:tcW w:w="258" w:type="dxa"/>
            <w:tcBorders/>
            <w:vAlign w:val="center"/>
          </w:tcPr>
          <w:p>
            <w:pPr>
              <w:pStyle w:val="TableContents"/>
              <w:pBdr/>
              <w:bidi w:val="0"/>
              <w:spacing w:before="0" w:after="0"/>
              <w:ind w:left="0" w:right="0" w:hanging="0"/>
              <w:jc w:val="left"/>
              <w:rPr/>
            </w:pPr>
            <w:r>
              <w:rPr/>
              <w:t xml:space="preserve">  </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8" w:type="dxa"/>
            <w:tcBorders/>
            <w:vAlign w:val="center"/>
          </w:tcPr>
          <w:p>
            <w:pPr>
              <w:pStyle w:val="TableContents"/>
              <w:pBdr/>
              <w:bidi w:val="0"/>
              <w:spacing w:before="0" w:after="0"/>
              <w:ind w:left="0" w:right="0" w:hanging="0"/>
              <w:jc w:val="right"/>
              <w:rPr/>
            </w:pPr>
            <w:r>
              <w:rPr/>
              <w:t>33,580</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expenses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197</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Intangibles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2,634</w:t>
            </w:r>
          </w:p>
        </w:tc>
        <w:tc>
          <w:tcPr>
            <w:tcW w:w="258" w:type="dxa"/>
            <w:tcBorders/>
            <w:vAlign w:val="center"/>
          </w:tcPr>
          <w:p>
            <w:pPr>
              <w:pStyle w:val="TableContents"/>
              <w:pBdr/>
              <w:bidi w:val="0"/>
              <w:spacing w:before="0" w:after="0"/>
              <w:ind w:left="0" w:right="0" w:hanging="0"/>
              <w:jc w:val="left"/>
              <w:rPr/>
            </w:pPr>
            <w:r>
              <w:rPr/>
              <w:t xml:space="preserve">  </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2,547</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Inventory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158</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172</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283"/>
              <w:ind w:left="0" w:right="0" w:hanging="0"/>
              <w:jc w:val="left"/>
              <w:rPr/>
            </w:pPr>
            <w:r>
              <w:rPr/>
              <w:t xml:space="preserve">      </w:t>
            </w:r>
            <w:r>
              <w:rPr/>
              <w:t>Allowance for credit losses</w:t>
            </w:r>
          </w:p>
        </w:tc>
        <w:tc>
          <w:tcPr>
            <w:tcW w:w="366" w:type="dxa"/>
            <w:tcBorders/>
            <w:vAlign w:val="center"/>
          </w:tcPr>
          <w:p>
            <w:pPr>
              <w:pStyle w:val="TableContents"/>
              <w:bidi w:val="0"/>
              <w:spacing w:before="0" w:after="283"/>
              <w:ind w:left="0" w:right="0" w:hanging="0"/>
              <w:jc w:val="left"/>
              <w:rPr/>
            </w:pPr>
            <w:r>
              <w:rPr/>
            </w:r>
          </w:p>
        </w:tc>
        <w:tc>
          <w:tcPr>
            <w:tcW w:w="1404" w:type="dxa"/>
            <w:tcBorders/>
            <w:vAlign w:val="center"/>
          </w:tcPr>
          <w:p>
            <w:pPr>
              <w:pStyle w:val="TableContents"/>
              <w:bidi w:val="0"/>
              <w:spacing w:before="0" w:after="0"/>
              <w:ind w:left="0" w:right="0" w:hanging="0"/>
              <w:jc w:val="right"/>
              <w:rPr/>
            </w:pPr>
            <w:r>
              <w:rPr/>
              <w:t>12</w:t>
            </w:r>
          </w:p>
        </w:tc>
        <w:tc>
          <w:tcPr>
            <w:tcW w:w="258" w:type="dxa"/>
            <w:tcBorders/>
            <w:vAlign w:val="center"/>
          </w:tcPr>
          <w:p>
            <w:pPr>
              <w:pStyle w:val="TableContents"/>
              <w:bidi w:val="0"/>
              <w:spacing w:before="0" w:after="283"/>
              <w:ind w:left="0" w:right="0" w:hanging="0"/>
              <w:jc w:val="left"/>
              <w:rPr/>
            </w:pPr>
            <w:r>
              <w:rPr/>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bidi w:val="0"/>
              <w:spacing w:before="0" w:after="283"/>
              <w:ind w:left="0" w:right="0" w:hanging="0"/>
              <w:jc w:val="left"/>
              <w:rPr/>
            </w:pPr>
            <w:r>
              <w:rPr/>
            </w:r>
          </w:p>
        </w:tc>
        <w:tc>
          <w:tcPr>
            <w:tcW w:w="1468" w:type="dxa"/>
            <w:tcBorders/>
            <w:vAlign w:val="center"/>
          </w:tcPr>
          <w:p>
            <w:pPr>
              <w:pStyle w:val="TableContents"/>
              <w:bidi w:val="0"/>
              <w:spacing w:before="0" w:after="0"/>
              <w:ind w:left="0" w:right="0" w:hanging="0"/>
              <w:jc w:val="right"/>
              <w:rPr/>
            </w:pPr>
            <w:r>
              <w:rPr/>
              <w:t>9</w:t>
            </w:r>
          </w:p>
        </w:tc>
        <w:tc>
          <w:tcPr>
            <w:tcW w:w="275" w:type="dxa"/>
            <w:tcBorders/>
            <w:vAlign w:val="center"/>
          </w:tcPr>
          <w:p>
            <w:pPr>
              <w:pStyle w:val="TableContents"/>
              <w:bidi w:val="0"/>
              <w:spacing w:before="0" w:after="283"/>
              <w:jc w:val="left"/>
              <w:rPr/>
            </w:pPr>
            <w:r>
              <w:rPr/>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Charitable contributions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R&amp;D credit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2,074</w:t>
            </w:r>
          </w:p>
        </w:tc>
        <w:tc>
          <w:tcPr>
            <w:tcW w:w="258" w:type="dxa"/>
            <w:tcBorders/>
            <w:vAlign w:val="center"/>
          </w:tcPr>
          <w:p>
            <w:pPr>
              <w:pStyle w:val="TableContents"/>
              <w:pBdr/>
              <w:bidi w:val="0"/>
              <w:spacing w:before="0" w:after="0"/>
              <w:ind w:left="0" w:right="0" w:hanging="0"/>
              <w:jc w:val="left"/>
              <w:rPr/>
            </w:pPr>
            <w:r>
              <w:rPr/>
              <w:t xml:space="preserve">  </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1,257</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Lease liabilities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1,033</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152</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 compensation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3,251</w:t>
            </w:r>
          </w:p>
        </w:tc>
        <w:tc>
          <w:tcPr>
            <w:tcW w:w="258" w:type="dxa"/>
            <w:tcBorders/>
            <w:vAlign w:val="center"/>
          </w:tcPr>
          <w:p>
            <w:pPr>
              <w:pStyle w:val="TableContents"/>
              <w:pBdr/>
              <w:bidi w:val="0"/>
              <w:spacing w:before="0" w:after="0"/>
              <w:ind w:left="0" w:right="0" w:hanging="0"/>
              <w:jc w:val="left"/>
              <w:rPr/>
            </w:pPr>
            <w:r>
              <w:rPr/>
              <w:t xml:space="preserve">  </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2,925</w:t>
            </w:r>
          </w:p>
        </w:tc>
        <w:tc>
          <w:tcPr>
            <w:tcW w:w="275" w:type="dxa"/>
            <w:tcBorders/>
            <w:vAlign w:val="center"/>
          </w:tcPr>
          <w:p>
            <w:pPr>
              <w:pStyle w:val="TableContents"/>
              <w:pBdr/>
              <w:bidi w:val="0"/>
              <w:spacing w:before="0" w:after="0"/>
              <w:ind w:left="0" w:right="0" w:hanging="0"/>
              <w:jc w:val="left"/>
              <w:rPr/>
            </w:pPr>
            <w:r>
              <w:rPr/>
              <w:t xml:space="preserve">  </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45,457</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40,849</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valuation allowance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(44,310</w:t>
            </w:r>
          </w:p>
        </w:tc>
        <w:tc>
          <w:tcPr>
            <w:tcW w:w="258" w:type="dxa"/>
            <w:tcBorders/>
            <w:vAlign w:val="center"/>
          </w:tcPr>
          <w:p>
            <w:pPr>
              <w:pStyle w:val="TableContents"/>
              <w:bidi w:val="0"/>
              <w:spacing w:before="0" w:after="0"/>
              <w:ind w:left="0" w:right="0" w:hanging="0"/>
              <w:jc w:val="left"/>
              <w:rPr/>
            </w:pPr>
            <w:r>
              <w:rPr/>
              <w:t>)</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(40,564</w:t>
            </w:r>
          </w:p>
        </w:tc>
        <w:tc>
          <w:tcPr>
            <w:tcW w:w="275" w:type="dxa"/>
            <w:tcBorders/>
            <w:vAlign w:val="center"/>
          </w:tcPr>
          <w:p>
            <w:pPr>
              <w:pStyle w:val="TableContents"/>
              <w:bidi w:val="0"/>
              <w:spacing w:before="0" w:after="0"/>
              <w:jc w:val="left"/>
              <w:rPr/>
            </w:pPr>
            <w:r>
              <w:rPr/>
              <w:t>)</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tax assets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1,147</w:t>
            </w:r>
          </w:p>
        </w:tc>
        <w:tc>
          <w:tcPr>
            <w:tcW w:w="258" w:type="dxa"/>
            <w:tcBorders/>
            <w:shd w:fill="CCEEFF" w:val="clear"/>
            <w:vAlign w:val="center"/>
          </w:tcPr>
          <w:p>
            <w:pPr>
              <w:pStyle w:val="TableContents"/>
              <w:pBdr/>
              <w:bidi w:val="0"/>
              <w:spacing w:before="0" w:after="0"/>
              <w:ind w:left="0" w:right="0" w:hanging="0"/>
              <w:jc w:val="left"/>
              <w:rPr/>
            </w:pPr>
            <w:r>
              <w:rPr/>
              <w:t xml:space="preserve">  </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285</w:t>
            </w:r>
          </w:p>
        </w:tc>
        <w:tc>
          <w:tcPr>
            <w:tcW w:w="275" w:type="dxa"/>
            <w:tcBorders/>
            <w:shd w:fill="CCEEFF" w:val="clear"/>
            <w:vAlign w:val="center"/>
          </w:tcPr>
          <w:p>
            <w:pPr>
              <w:pStyle w:val="TableContents"/>
              <w:pBdr/>
              <w:bidi w:val="0"/>
              <w:spacing w:before="0" w:after="0"/>
              <w:ind w:left="0" w:right="0" w:hanging="0"/>
              <w:jc w:val="left"/>
              <w:rPr/>
            </w:pPr>
            <w:r>
              <w:rPr/>
              <w:t xml:space="preserve">  </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w:t>
            </w:r>
          </w:p>
        </w:tc>
        <w:tc>
          <w:tcPr>
            <w:tcW w:w="258" w:type="dxa"/>
            <w:tcBorders/>
            <w:vAlign w:val="center"/>
          </w:tcPr>
          <w:p>
            <w:pPr>
              <w:pStyle w:val="TableContents"/>
              <w:bidi w:val="0"/>
              <w:spacing w:before="0" w:after="0"/>
              <w:ind w:left="0" w:right="0" w:hanging="0"/>
              <w:jc w:val="left"/>
              <w:rPr/>
            </w:pPr>
            <w:r>
              <w:rPr/>
              <w:t>)</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(163</w:t>
            </w:r>
          </w:p>
        </w:tc>
        <w:tc>
          <w:tcPr>
            <w:tcW w:w="275" w:type="dxa"/>
            <w:tcBorders/>
            <w:vAlign w:val="center"/>
          </w:tcPr>
          <w:p>
            <w:pPr>
              <w:pStyle w:val="TableContents"/>
              <w:bidi w:val="0"/>
              <w:spacing w:before="0" w:after="0"/>
              <w:jc w:val="left"/>
              <w:rPr/>
            </w:pPr>
            <w:r>
              <w:rPr/>
              <w:t>)</w:t>
            </w:r>
          </w:p>
        </w:tc>
      </w:tr>
      <w:tr>
        <w:trPr/>
        <w:tc>
          <w:tcPr>
            <w:tcW w:w="6019" w:type="dxa"/>
            <w:tcBorders/>
            <w:shd w:fill="CCEEFF" w:val="clear"/>
            <w:vAlign w:val="center"/>
          </w:tcPr>
          <w:p>
            <w:pPr>
              <w:pStyle w:val="TableContents"/>
              <w:bidi w:val="0"/>
              <w:spacing w:before="0" w:after="283"/>
              <w:ind w:left="0" w:right="0" w:hanging="0"/>
              <w:jc w:val="left"/>
              <w:rPr/>
            </w:pPr>
            <w:r>
              <w:rPr/>
              <w:t>Fixed assets</w:t>
            </w:r>
          </w:p>
        </w:tc>
        <w:tc>
          <w:tcPr>
            <w:tcW w:w="366" w:type="dxa"/>
            <w:tcBorders/>
            <w:shd w:fill="CCEEFF" w:val="clear"/>
            <w:vAlign w:val="center"/>
          </w:tcPr>
          <w:p>
            <w:pPr>
              <w:pStyle w:val="TableContents"/>
              <w:bidi w:val="0"/>
              <w:spacing w:before="0" w:after="283"/>
              <w:ind w:left="0" w:right="0" w:hanging="0"/>
              <w:jc w:val="left"/>
              <w:rPr/>
            </w:pPr>
            <w:r>
              <w:rPr/>
            </w:r>
          </w:p>
        </w:tc>
        <w:tc>
          <w:tcPr>
            <w:tcW w:w="1404" w:type="dxa"/>
            <w:tcBorders/>
            <w:shd w:fill="CCEEFF" w:val="clear"/>
            <w:vAlign w:val="center"/>
          </w:tcPr>
          <w:p>
            <w:pPr>
              <w:pStyle w:val="TableContents"/>
              <w:bidi w:val="0"/>
              <w:spacing w:before="0" w:after="0"/>
              <w:ind w:left="0" w:right="0" w:hanging="0"/>
              <w:jc w:val="right"/>
              <w:rPr/>
            </w:pPr>
            <w:r>
              <w:rPr/>
              <w:t>(6)</w:t>
            </w:r>
          </w:p>
        </w:tc>
        <w:tc>
          <w:tcPr>
            <w:tcW w:w="25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bidi w:val="0"/>
              <w:spacing w:before="0" w:after="283"/>
              <w:ind w:left="0" w:right="0" w:hanging="0"/>
              <w:jc w:val="left"/>
              <w:rPr/>
            </w:pPr>
            <w:r>
              <w:rPr/>
            </w:r>
          </w:p>
        </w:tc>
        <w:tc>
          <w:tcPr>
            <w:tcW w:w="1468"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283"/>
              <w:jc w:val="left"/>
              <w:rPr/>
            </w:pPr>
            <w:r>
              <w:rPr/>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Right of use asset </w:t>
            </w:r>
          </w:p>
        </w:tc>
        <w:tc>
          <w:tcPr>
            <w:tcW w:w="366" w:type="dxa"/>
            <w:tcBorders/>
            <w:vAlign w:val="center"/>
          </w:tcPr>
          <w:p>
            <w:pPr>
              <w:pStyle w:val="TableContents"/>
              <w:pBdr/>
              <w:bidi w:val="0"/>
              <w:spacing w:before="0" w:after="0"/>
              <w:ind w:left="0" w:right="0" w:hanging="0"/>
              <w:jc w:val="left"/>
              <w:rPr/>
            </w:pPr>
            <w:r>
              <w:rPr/>
              <w:t xml:space="preserve">  </w:t>
            </w:r>
          </w:p>
        </w:tc>
        <w:tc>
          <w:tcPr>
            <w:tcW w:w="140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(934</w:t>
            </w:r>
          </w:p>
        </w:tc>
        <w:tc>
          <w:tcPr>
            <w:tcW w:w="258" w:type="dxa"/>
            <w:tcBorders/>
            <w:vAlign w:val="center"/>
          </w:tcPr>
          <w:p>
            <w:pPr>
              <w:pStyle w:val="TableContents"/>
              <w:bidi w:val="0"/>
              <w:spacing w:before="0" w:after="0"/>
              <w:ind w:left="0" w:right="0" w:hanging="0"/>
              <w:jc w:val="left"/>
              <w:rPr/>
            </w:pPr>
            <w:r>
              <w:rPr/>
              <w:t>)</w:t>
            </w:r>
          </w:p>
        </w:tc>
        <w:tc>
          <w:tcPr>
            <w:tcW w:w="49" w:type="dxa"/>
            <w:tcBorders/>
            <w:vAlign w:val="center"/>
          </w:tcPr>
          <w:p>
            <w:pPr>
              <w:pStyle w:val="TableContents"/>
              <w:bidi w:val="0"/>
              <w:spacing w:before="0" w:after="283"/>
              <w:ind w:left="0" w:right="0" w:hanging="0"/>
              <w:jc w:val="left"/>
              <w:rPr/>
            </w:pPr>
            <w:r>
              <w:rPr/>
            </w:r>
          </w:p>
        </w:tc>
        <w:tc>
          <w:tcPr>
            <w:tcW w:w="366" w:type="dxa"/>
            <w:tcBorders/>
            <w:vAlign w:val="center"/>
          </w:tcPr>
          <w:p>
            <w:pPr>
              <w:pStyle w:val="TableContents"/>
              <w:pBdr/>
              <w:bidi w:val="0"/>
              <w:spacing w:before="0" w:after="0"/>
              <w:ind w:left="0" w:right="0" w:hanging="0"/>
              <w:jc w:val="left"/>
              <w:rPr/>
            </w:pPr>
            <w:r>
              <w:rPr/>
              <w:t xml:space="preserve">  </w:t>
            </w:r>
          </w:p>
        </w:tc>
        <w:tc>
          <w:tcPr>
            <w:tcW w:w="146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(122</w:t>
            </w:r>
          </w:p>
        </w:tc>
        <w:tc>
          <w:tcPr>
            <w:tcW w:w="275" w:type="dxa"/>
            <w:tcBorders/>
            <w:vAlign w:val="center"/>
          </w:tcPr>
          <w:p>
            <w:pPr>
              <w:pStyle w:val="TableContents"/>
              <w:bidi w:val="0"/>
              <w:spacing w:before="0" w:after="0"/>
              <w:jc w:val="left"/>
              <w:rPr/>
            </w:pPr>
            <w:r>
              <w:rPr/>
              <w:t>)</w:t>
            </w:r>
          </w:p>
        </w:tc>
      </w:tr>
      <w:tr>
        <w:trPr/>
        <w:tc>
          <w:tcPr>
            <w:tcW w:w="60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tax liabilities </w:t>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0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(1,147</w:t>
            </w:r>
          </w:p>
        </w:tc>
        <w:tc>
          <w:tcPr>
            <w:tcW w:w="258" w:type="dxa"/>
            <w:tcBorders/>
            <w:shd w:fill="CCEEFF" w:val="clear"/>
            <w:vAlign w:val="center"/>
          </w:tcPr>
          <w:p>
            <w:pPr>
              <w:pStyle w:val="TableContents"/>
              <w:bidi w:val="0"/>
              <w:spacing w:before="0" w:after="0"/>
              <w:ind w:left="0" w:right="0" w:hanging="0"/>
              <w:jc w:val="left"/>
              <w:rPr/>
            </w:pPr>
            <w:r>
              <w:rPr/>
              <w:t>)</w:t>
            </w:r>
          </w:p>
        </w:tc>
        <w:tc>
          <w:tcPr>
            <w:tcW w:w="49" w:type="dxa"/>
            <w:tcBorders/>
            <w:shd w:fill="CCEEFF" w:val="clear"/>
            <w:vAlign w:val="center"/>
          </w:tcPr>
          <w:p>
            <w:pPr>
              <w:pStyle w:val="TableContents"/>
              <w:bidi w:val="0"/>
              <w:spacing w:before="0" w:after="283"/>
              <w:ind w:left="0" w:right="0" w:hanging="0"/>
              <w:jc w:val="left"/>
              <w:rPr/>
            </w:pPr>
            <w:r>
              <w:rPr/>
            </w:r>
          </w:p>
        </w:tc>
        <w:tc>
          <w:tcPr>
            <w:tcW w:w="366" w:type="dxa"/>
            <w:tcBorders/>
            <w:shd w:fill="CCEEFF" w:val="clear"/>
            <w:vAlign w:val="center"/>
          </w:tcPr>
          <w:p>
            <w:pPr>
              <w:pStyle w:val="TableContents"/>
              <w:pBdr/>
              <w:bidi w:val="0"/>
              <w:spacing w:before="0" w:after="0"/>
              <w:ind w:left="0" w:right="0" w:hanging="0"/>
              <w:jc w:val="left"/>
              <w:rPr/>
            </w:pPr>
            <w:r>
              <w:rPr/>
              <w:t xml:space="preserve">  </w:t>
            </w:r>
          </w:p>
        </w:tc>
        <w:tc>
          <w:tcPr>
            <w:tcW w:w="146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(285</w:t>
            </w:r>
          </w:p>
        </w:tc>
        <w:tc>
          <w:tcPr>
            <w:tcW w:w="275" w:type="dxa"/>
            <w:tcBorders/>
            <w:shd w:fill="CCEEFF" w:val="clear"/>
            <w:vAlign w:val="center"/>
          </w:tcPr>
          <w:p>
            <w:pPr>
              <w:pStyle w:val="TableContents"/>
              <w:bidi w:val="0"/>
              <w:spacing w:before="0" w:after="0"/>
              <w:jc w:val="left"/>
              <w:rPr/>
            </w:pPr>
            <w:r>
              <w:rPr/>
              <w:t>)</w:t>
            </w:r>
          </w:p>
        </w:tc>
      </w:tr>
      <w:tr>
        <w:trPr/>
        <w:tc>
          <w:tcPr>
            <w:tcW w:w="60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net </w:t>
            </w:r>
          </w:p>
        </w:tc>
        <w:tc>
          <w:tcPr>
            <w:tcW w:w="3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4" w:type="dxa"/>
            <w:tcBorders/>
            <w:vAlign w:val="center"/>
          </w:tcPr>
          <w:p>
            <w:pPr>
              <w:pStyle w:val="TableContents"/>
              <w:pBdr/>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pPr>
            <w:r>
              <w:rPr/>
              <w:t xml:space="preserve">  </w:t>
            </w:r>
          </w:p>
        </w:tc>
        <w:tc>
          <w:tcPr>
            <w:tcW w:w="49" w:type="dxa"/>
            <w:tcBorders/>
            <w:vAlign w:val="center"/>
          </w:tcPr>
          <w:p>
            <w:pPr>
              <w:pStyle w:val="TableContents"/>
              <w:bidi w:val="0"/>
              <w:spacing w:before="0" w:after="283"/>
              <w:jc w:val="left"/>
              <w:rPr/>
            </w:pPr>
            <w:r>
              <w:rPr/>
            </w:r>
          </w:p>
        </w:tc>
        <w:tc>
          <w:tcPr>
            <w:tcW w:w="3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8" w:type="dxa"/>
            <w:tcBorders/>
            <w:vAlign w:val="center"/>
          </w:tcPr>
          <w:p>
            <w:pPr>
              <w:pStyle w:val="TableContents"/>
              <w:pBdr/>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A reconciliation of the income tax benefit computed at the U.S. federal statutory income tax rate of  21% and the reported income tax benefit for the years ended </w:t>
      </w:r>
      <w:r>
        <w:rPr>
          <w:rFonts w:ascii="times new roman;times" w:hAnsi="times new roman;times"/>
          <w:sz w:val="20"/>
        </w:rPr>
        <w:t xml:space="preserve">December 31, 2024 </w:t>
      </w:r>
      <w:r>
        <w:rPr>
          <w:rFonts w:ascii="Times New Roman" w:hAnsi="Times New Roman"/>
          <w:sz w:val="20"/>
        </w:rPr>
        <w:t>and 2023 is as follows: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683"/>
        <w:gridCol w:w="1008"/>
        <w:gridCol w:w="630"/>
        <w:gridCol w:w="275"/>
        <w:gridCol w:w="1009"/>
        <w:gridCol w:w="600"/>
      </w:tblGrid>
      <w:tr>
        <w:trPr/>
        <w:tc>
          <w:tcPr>
            <w:tcW w:w="6683" w:type="dxa"/>
            <w:tcBorders/>
            <w:vAlign w:val="center"/>
          </w:tcPr>
          <w:p>
            <w:pPr>
              <w:pStyle w:val="TableContents"/>
              <w:bidi w:val="0"/>
              <w:spacing w:before="0" w:after="0"/>
              <w:ind w:left="0" w:right="0" w:hanging="0"/>
              <w:jc w:val="left"/>
              <w:rPr/>
            </w:pPr>
            <w:r>
              <w:rPr/>
              <w:t xml:space="preserve">  </w:t>
            </w:r>
          </w:p>
        </w:tc>
        <w:tc>
          <w:tcPr>
            <w:tcW w:w="2922" w:type="dxa"/>
            <w:gridSpan w:val="4"/>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600" w:type="dxa"/>
            <w:tcBorders/>
            <w:vAlign w:val="center"/>
          </w:tcPr>
          <w:p>
            <w:pPr>
              <w:pStyle w:val="TableContents"/>
              <w:bidi w:val="0"/>
              <w:spacing w:before="0" w:after="0"/>
              <w:ind w:left="0" w:right="0" w:hanging="0"/>
              <w:jc w:val="left"/>
              <w:rPr/>
            </w:pPr>
            <w:r>
              <w:rPr/>
              <w:t xml:space="preserve">  </w:t>
            </w:r>
          </w:p>
        </w:tc>
      </w:tr>
      <w:tr>
        <w:trPr/>
        <w:tc>
          <w:tcPr>
            <w:tcW w:w="6683" w:type="dxa"/>
            <w:tcBorders/>
            <w:vAlign w:val="center"/>
          </w:tcPr>
          <w:p>
            <w:pPr>
              <w:pStyle w:val="TableContents"/>
              <w:bidi w:val="0"/>
              <w:spacing w:before="0" w:after="0"/>
              <w:ind w:left="0" w:right="0" w:hanging="0"/>
              <w:jc w:val="left"/>
              <w:rPr/>
            </w:pPr>
            <w:r>
              <w:rPr/>
              <w:t xml:space="preserve">  </w:t>
            </w:r>
          </w:p>
        </w:tc>
        <w:tc>
          <w:tcPr>
            <w:tcW w:w="1008"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630" w:type="dxa"/>
            <w:tcBorders/>
            <w:vAlign w:val="center"/>
          </w:tcPr>
          <w:p>
            <w:pPr>
              <w:pStyle w:val="TableContents"/>
              <w:bidi w:val="0"/>
              <w:spacing w:before="0" w:after="0"/>
              <w:ind w:left="0" w:right="0" w:hanging="0"/>
              <w:jc w:val="left"/>
              <w:rPr/>
            </w:pPr>
            <w:r>
              <w:rPr/>
              <w:t xml:space="preserve">  </w:t>
            </w:r>
          </w:p>
        </w:tc>
        <w:tc>
          <w:tcPr>
            <w:tcW w:w="275" w:type="dxa"/>
            <w:tcBorders/>
            <w:vAlign w:val="center"/>
          </w:tcPr>
          <w:p>
            <w:pPr>
              <w:pStyle w:val="TableContents"/>
              <w:bidi w:val="0"/>
              <w:spacing w:before="0" w:after="0"/>
              <w:ind w:left="0" w:right="0" w:hanging="0"/>
              <w:jc w:val="center"/>
              <w:rPr/>
            </w:pPr>
            <w:r>
              <w:rPr/>
              <w:t xml:space="preserve">  </w:t>
            </w:r>
          </w:p>
        </w:tc>
        <w:tc>
          <w:tcPr>
            <w:tcW w:w="1009"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600" w:type="dxa"/>
            <w:tcBorders/>
            <w:vAlign w:val="center"/>
          </w:tcPr>
          <w:p>
            <w:pPr>
              <w:pStyle w:val="TableContents"/>
              <w:bidi w:val="0"/>
              <w:spacing w:before="0" w:after="0"/>
              <w:ind w:left="0" w:right="0" w:hanging="0"/>
              <w:jc w:val="left"/>
              <w:rPr/>
            </w:pPr>
            <w:r>
              <w:rPr/>
              <w:t xml:space="preserve">  </w:t>
            </w:r>
          </w:p>
        </w:tc>
      </w:tr>
      <w:tr>
        <w:trPr/>
        <w:tc>
          <w:tcPr>
            <w:tcW w:w="6683"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Statutory rate </w:t>
            </w:r>
          </w:p>
        </w:tc>
        <w:tc>
          <w:tcPr>
            <w:tcW w:w="1008"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(21.0</w:t>
            </w:r>
          </w:p>
        </w:tc>
        <w:tc>
          <w:tcPr>
            <w:tcW w:w="630" w:type="dxa"/>
            <w:tcBorders/>
            <w:shd w:fill="CCEEFF" w:val="clear"/>
            <w:vAlign w:val="bottom"/>
          </w:tcPr>
          <w:p>
            <w:pPr>
              <w:pStyle w:val="TableContents"/>
              <w:widowControl/>
              <w:bidi w:val="0"/>
              <w:spacing w:before="0" w:after="283"/>
              <w:ind w:left="0" w:right="0" w:hanging="0"/>
              <w:jc w:val="right"/>
              <w:rPr/>
            </w:pPr>
            <w:r>
              <w:rPr>
                <w:rFonts w:ascii="times new roman;times" w:hAnsi="times new roman;times"/>
                <w:b w:val="false"/>
                <w:i w:val="false"/>
                <w:caps w:val="false"/>
                <w:smallCaps w:val="false"/>
                <w:color w:val="000000"/>
                <w:spacing w:val="0"/>
                <w:sz w:val="20"/>
              </w:rPr>
              <w:t>)</w:t>
            </w:r>
            <w:r>
              <w:rPr/>
              <w:t>%</w:t>
            </w:r>
          </w:p>
        </w:tc>
        <w:tc>
          <w:tcPr>
            <w:tcW w:w="275" w:type="dxa"/>
            <w:tcBorders/>
            <w:shd w:fill="CCEEFF" w:val="clear"/>
            <w:vAlign w:val="bottom"/>
          </w:tcPr>
          <w:p>
            <w:pPr>
              <w:pStyle w:val="TableContents"/>
              <w:bidi w:val="0"/>
              <w:spacing w:before="0" w:after="0"/>
              <w:ind w:left="0" w:right="0" w:hanging="0"/>
              <w:jc w:val="left"/>
              <w:rPr/>
            </w:pPr>
            <w:r>
              <w:rPr/>
              <w:t xml:space="preserve">  </w:t>
            </w:r>
          </w:p>
        </w:tc>
        <w:tc>
          <w:tcPr>
            <w:tcW w:w="100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(21.0</w:t>
            </w:r>
          </w:p>
        </w:tc>
        <w:tc>
          <w:tcPr>
            <w:tcW w:w="60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State tax recovery, net of federal benefit </w:t>
            </w:r>
          </w:p>
        </w:tc>
        <w:tc>
          <w:tcPr>
            <w:tcW w:w="1008"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(5.8</w:t>
            </w:r>
          </w:p>
        </w:tc>
        <w:tc>
          <w:tcPr>
            <w:tcW w:w="630" w:type="dxa"/>
            <w:tcBorders/>
            <w:vAlign w:val="bottom"/>
          </w:tcPr>
          <w:p>
            <w:pPr>
              <w:pStyle w:val="TableContents"/>
              <w:widowControl/>
              <w:bidi w:val="0"/>
              <w:spacing w:before="0" w:after="283"/>
              <w:ind w:left="0" w:right="0" w:hanging="0"/>
              <w:jc w:val="right"/>
              <w:rPr/>
            </w:pPr>
            <w:r>
              <w:rPr>
                <w:rFonts w:ascii="times new roman;times" w:hAnsi="times new roman;times"/>
                <w:b w:val="false"/>
                <w:i w:val="false"/>
                <w:caps w:val="false"/>
                <w:smallCaps w:val="false"/>
                <w:color w:val="000000"/>
                <w:spacing w:val="0"/>
                <w:sz w:val="20"/>
              </w:rPr>
              <w:t>)</w:t>
            </w:r>
            <w:r>
              <w:rPr/>
              <w:t>%</w:t>
            </w:r>
          </w:p>
        </w:tc>
        <w:tc>
          <w:tcPr>
            <w:tcW w:w="275" w:type="dxa"/>
            <w:tcBorders/>
            <w:vAlign w:val="bottom"/>
          </w:tcPr>
          <w:p>
            <w:pPr>
              <w:pStyle w:val="TableContents"/>
              <w:bidi w:val="0"/>
              <w:spacing w:before="0" w:after="0"/>
              <w:ind w:left="0" w:right="0" w:hanging="0"/>
              <w:jc w:val="left"/>
              <w:rPr/>
            </w:pPr>
            <w:r>
              <w:rPr/>
              <w:t xml:space="preserve">  </w:t>
            </w:r>
          </w:p>
        </w:tc>
        <w:tc>
          <w:tcPr>
            <w:tcW w:w="1009"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(5.1</w:t>
            </w:r>
          </w:p>
        </w:tc>
        <w:tc>
          <w:tcPr>
            <w:tcW w:w="600"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3" w:type="dxa"/>
            <w:tcBorders/>
            <w:shd w:fill="CCEEFF" w:val="clear"/>
            <w:vAlign w:val="bottom"/>
          </w:tcPr>
          <w:p>
            <w:pPr>
              <w:pStyle w:val="TableContents"/>
              <w:bidi w:val="0"/>
              <w:spacing w:before="0" w:after="283"/>
              <w:ind w:left="0" w:right="0" w:hanging="0"/>
              <w:jc w:val="left"/>
              <w:rPr/>
            </w:pPr>
            <w:r>
              <w:rPr/>
              <w:t>State tax rate change</w:t>
            </w:r>
          </w:p>
        </w:tc>
        <w:tc>
          <w:tcPr>
            <w:tcW w:w="1008" w:type="dxa"/>
            <w:tcBorders/>
            <w:shd w:fill="CCEEFF" w:val="clear"/>
            <w:vAlign w:val="bottom"/>
          </w:tcPr>
          <w:p>
            <w:pPr>
              <w:pStyle w:val="TableContents"/>
              <w:bidi w:val="0"/>
              <w:spacing w:before="0" w:after="0"/>
              <w:jc w:val="right"/>
              <w:rPr/>
            </w:pPr>
            <w:r>
              <w:rPr/>
              <w:t>(1.5</w:t>
            </w:r>
          </w:p>
        </w:tc>
        <w:tc>
          <w:tcPr>
            <w:tcW w:w="630" w:type="dxa"/>
            <w:tcBorders/>
            <w:shd w:fill="CCEEFF" w:val="clear"/>
            <w:vAlign w:val="bottom"/>
          </w:tcPr>
          <w:p>
            <w:pPr>
              <w:pStyle w:val="TableContents"/>
              <w:widowControl/>
              <w:bidi w:val="0"/>
              <w:spacing w:before="0" w:after="283"/>
              <w:ind w:left="0" w:right="0" w:hanging="0"/>
              <w:jc w:val="right"/>
              <w:rPr/>
            </w:pPr>
            <w:r>
              <w:rPr>
                <w:rFonts w:ascii="times new roman" w:hAnsi="times new roman"/>
                <w:b w:val="false"/>
                <w:i w:val="false"/>
                <w:caps w:val="false"/>
                <w:smallCaps w:val="false"/>
                <w:color w:val="000000"/>
                <w:spacing w:val="0"/>
                <w:sz w:val="20"/>
              </w:rPr>
              <w:t>)</w:t>
            </w:r>
            <w:r>
              <w:rPr/>
              <w:t>%</w:t>
            </w:r>
          </w:p>
        </w:tc>
        <w:tc>
          <w:tcPr>
            <w:tcW w:w="275" w:type="dxa"/>
            <w:tcBorders/>
            <w:shd w:fill="CCEEFF" w:val="clear"/>
            <w:vAlign w:val="bottom"/>
          </w:tcPr>
          <w:p>
            <w:pPr>
              <w:pStyle w:val="TableContents"/>
              <w:bidi w:val="0"/>
              <w:spacing w:before="0" w:after="283"/>
              <w:ind w:left="0" w:right="0" w:hanging="0"/>
              <w:jc w:val="left"/>
              <w:rPr/>
            </w:pPr>
            <w:r>
              <w:rPr/>
            </w:r>
          </w:p>
        </w:tc>
        <w:tc>
          <w:tcPr>
            <w:tcW w:w="1009" w:type="dxa"/>
            <w:tcBorders/>
            <w:shd w:fill="CCEEFF" w:val="clear"/>
            <w:vAlign w:val="bottom"/>
          </w:tcPr>
          <w:p>
            <w:pPr>
              <w:pStyle w:val="TableContents"/>
              <w:bidi w:val="0"/>
              <w:spacing w:before="0" w:after="0"/>
              <w:jc w:val="right"/>
              <w:rPr/>
            </w:pPr>
            <w:r>
              <w:rPr/>
              <w:t>2.8</w:t>
            </w:r>
          </w:p>
        </w:tc>
        <w:tc>
          <w:tcPr>
            <w:tcW w:w="600" w:type="dxa"/>
            <w:tcBorders/>
            <w:shd w:fill="CCEEFF" w:val="clear"/>
            <w:vAlign w:val="bottom"/>
          </w:tcPr>
          <w:p>
            <w:pPr>
              <w:pStyle w:val="TableContents"/>
              <w:bidi w:val="0"/>
              <w:spacing w:before="0" w:after="283"/>
              <w:jc w:val="left"/>
              <w:rPr/>
            </w:pPr>
            <w:r>
              <w:rPr/>
              <w:t>%</w:t>
            </w:r>
          </w:p>
        </w:tc>
      </w:tr>
      <w:tr>
        <w:trPr/>
        <w:tc>
          <w:tcPr>
            <w:tcW w:w="6683" w:type="dxa"/>
            <w:tcBorders/>
            <w:vAlign w:val="bottom"/>
          </w:tcPr>
          <w:p>
            <w:pPr>
              <w:pStyle w:val="TableContents"/>
              <w:bidi w:val="0"/>
              <w:spacing w:before="0" w:after="283"/>
              <w:ind w:left="0" w:right="0" w:hanging="0"/>
              <w:jc w:val="left"/>
              <w:rPr/>
            </w:pPr>
            <w:r>
              <w:rPr/>
              <w:t>Stock compensation</w:t>
            </w:r>
          </w:p>
        </w:tc>
        <w:tc>
          <w:tcPr>
            <w:tcW w:w="1008" w:type="dxa"/>
            <w:tcBorders/>
            <w:vAlign w:val="bottom"/>
          </w:tcPr>
          <w:p>
            <w:pPr>
              <w:pStyle w:val="TableContents"/>
              <w:bidi w:val="0"/>
              <w:spacing w:before="0" w:after="0"/>
              <w:jc w:val="right"/>
              <w:rPr/>
            </w:pPr>
            <w:r>
              <w:rPr/>
              <w:t>1.1</w:t>
            </w:r>
          </w:p>
        </w:tc>
        <w:tc>
          <w:tcPr>
            <w:tcW w:w="630"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75" w:type="dxa"/>
            <w:tcBorders/>
            <w:vAlign w:val="bottom"/>
          </w:tcPr>
          <w:p>
            <w:pPr>
              <w:pStyle w:val="TableContents"/>
              <w:bidi w:val="0"/>
              <w:spacing w:before="0" w:after="283"/>
              <w:ind w:left="0" w:right="0" w:hanging="0"/>
              <w:jc w:val="left"/>
              <w:rPr/>
            </w:pPr>
            <w:r>
              <w:rPr/>
            </w:r>
          </w:p>
        </w:tc>
        <w:tc>
          <w:tcPr>
            <w:tcW w:w="1009" w:type="dxa"/>
            <w:tcBorders/>
            <w:vAlign w:val="bottom"/>
          </w:tcPr>
          <w:p>
            <w:pPr>
              <w:pStyle w:val="TableContents"/>
              <w:bidi w:val="0"/>
              <w:spacing w:before="0" w:after="0"/>
              <w:jc w:val="right"/>
              <w:rPr/>
            </w:pPr>
            <w:r>
              <w:rPr/>
              <w:t>10.7</w:t>
            </w:r>
          </w:p>
        </w:tc>
        <w:tc>
          <w:tcPr>
            <w:tcW w:w="600" w:type="dxa"/>
            <w:tcBorders/>
            <w:vAlign w:val="bottom"/>
          </w:tcPr>
          <w:p>
            <w:pPr>
              <w:pStyle w:val="TableContents"/>
              <w:bidi w:val="0"/>
              <w:spacing w:before="0" w:after="283"/>
              <w:jc w:val="left"/>
              <w:rPr/>
            </w:pPr>
            <w:r>
              <w:rPr/>
              <w:t>%</w:t>
            </w:r>
          </w:p>
        </w:tc>
      </w:tr>
      <w:tr>
        <w:trPr/>
        <w:tc>
          <w:tcPr>
            <w:tcW w:w="6683" w:type="dxa"/>
            <w:tcBorders/>
            <w:shd w:fill="CCEEFF" w:val="clear"/>
            <w:vAlign w:val="bottom"/>
          </w:tcPr>
          <w:p>
            <w:pPr>
              <w:pStyle w:val="TableContents"/>
              <w:bidi w:val="0"/>
              <w:spacing w:before="0" w:after="283"/>
              <w:ind w:left="0" w:right="0" w:hanging="0"/>
              <w:jc w:val="left"/>
              <w:rPr/>
            </w:pPr>
            <w:r>
              <w:rPr/>
              <w:t>State tax NOL sale</w:t>
            </w:r>
          </w:p>
        </w:tc>
        <w:tc>
          <w:tcPr>
            <w:tcW w:w="1008" w:type="dxa"/>
            <w:tcBorders/>
            <w:shd w:fill="CCEEFF" w:val="clear"/>
            <w:vAlign w:val="bottom"/>
          </w:tcPr>
          <w:p>
            <w:pPr>
              <w:pStyle w:val="TableContents"/>
              <w:bidi w:val="0"/>
              <w:spacing w:before="0" w:after="0"/>
              <w:jc w:val="right"/>
              <w:rPr/>
            </w:pPr>
            <w:r>
              <w:rPr/>
              <w:t>(0.8</w:t>
            </w:r>
          </w:p>
        </w:tc>
        <w:tc>
          <w:tcPr>
            <w:tcW w:w="630" w:type="dxa"/>
            <w:tcBorders/>
            <w:shd w:fill="CCEEFF" w:val="clear"/>
            <w:vAlign w:val="bottom"/>
          </w:tcPr>
          <w:p>
            <w:pPr>
              <w:pStyle w:val="TableContents"/>
              <w:widowControl/>
              <w:bidi w:val="0"/>
              <w:spacing w:before="0" w:after="283"/>
              <w:ind w:left="0" w:right="0" w:hanging="0"/>
              <w:jc w:val="right"/>
              <w:rPr/>
            </w:pPr>
            <w:r>
              <w:rPr>
                <w:rFonts w:ascii="times new roman" w:hAnsi="times new roman"/>
                <w:b w:val="false"/>
                <w:i w:val="false"/>
                <w:caps w:val="false"/>
                <w:smallCaps w:val="false"/>
                <w:color w:val="000000"/>
                <w:spacing w:val="0"/>
                <w:sz w:val="20"/>
              </w:rPr>
              <w:t>)</w:t>
            </w:r>
            <w:r>
              <w:rPr/>
              <w:t>%</w:t>
            </w:r>
          </w:p>
        </w:tc>
        <w:tc>
          <w:tcPr>
            <w:tcW w:w="275" w:type="dxa"/>
            <w:tcBorders/>
            <w:shd w:fill="CCEEFF" w:val="clear"/>
            <w:vAlign w:val="bottom"/>
          </w:tcPr>
          <w:p>
            <w:pPr>
              <w:pStyle w:val="TableContents"/>
              <w:bidi w:val="0"/>
              <w:spacing w:before="0" w:after="283"/>
              <w:ind w:left="0" w:right="0" w:hanging="0"/>
              <w:jc w:val="left"/>
              <w:rPr/>
            </w:pPr>
            <w:r>
              <w:rPr/>
            </w:r>
          </w:p>
        </w:tc>
        <w:tc>
          <w:tcPr>
            <w:tcW w:w="1009" w:type="dxa"/>
            <w:tcBorders/>
            <w:shd w:fill="CCEEFF" w:val="clear"/>
            <w:vAlign w:val="bottom"/>
          </w:tcPr>
          <w:p>
            <w:pPr>
              <w:pStyle w:val="TableContents"/>
              <w:bidi w:val="0"/>
              <w:spacing w:before="0" w:after="0"/>
              <w:jc w:val="right"/>
              <w:rPr/>
            </w:pPr>
            <w:r>
              <w:rPr/>
              <w:t>(0.9</w:t>
            </w:r>
          </w:p>
        </w:tc>
        <w:tc>
          <w:tcPr>
            <w:tcW w:w="600" w:type="dxa"/>
            <w:tcBorders/>
            <w:shd w:fill="CCEEFF" w:val="cle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668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Nondeductible expenses </w:t>
            </w:r>
          </w:p>
        </w:tc>
        <w:tc>
          <w:tcPr>
            <w:tcW w:w="1008"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0.4</w:t>
            </w:r>
          </w:p>
        </w:tc>
        <w:tc>
          <w:tcPr>
            <w:tcW w:w="630" w:type="dxa"/>
            <w:tcBorders/>
            <w:vAlign w:val="bottom"/>
          </w:tcPr>
          <w:p>
            <w:pPr>
              <w:pStyle w:val="TableContents"/>
              <w:bidi w:val="0"/>
              <w:spacing w:before="0" w:after="283"/>
              <w:jc w:val="left"/>
              <w:rPr/>
            </w:pPr>
            <w:r>
              <w:rPr/>
              <w:t>%</w:t>
            </w:r>
          </w:p>
        </w:tc>
        <w:tc>
          <w:tcPr>
            <w:tcW w:w="275" w:type="dxa"/>
            <w:tcBorders/>
            <w:vAlign w:val="bottom"/>
          </w:tcPr>
          <w:p>
            <w:pPr>
              <w:pStyle w:val="TableContents"/>
              <w:bidi w:val="0"/>
              <w:spacing w:before="0" w:after="0"/>
              <w:ind w:left="0" w:right="0" w:hanging="0"/>
              <w:jc w:val="left"/>
              <w:rPr/>
            </w:pPr>
            <w:r>
              <w:rPr/>
              <w:t xml:space="preserve">  </w:t>
            </w:r>
          </w:p>
        </w:tc>
        <w:tc>
          <w:tcPr>
            <w:tcW w:w="1009"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w:t>
            </w:r>
          </w:p>
        </w:tc>
        <w:tc>
          <w:tcPr>
            <w:tcW w:w="600" w:type="dxa"/>
            <w:tcBorders/>
            <w:vAlign w:val="bottom"/>
          </w:tcPr>
          <w:p>
            <w:pPr>
              <w:pStyle w:val="TableContents"/>
              <w:widowControl/>
              <w:bidi w:val="0"/>
              <w:spacing w:before="0" w:after="283"/>
              <w:ind w:left="0" w:right="0" w:hanging="0"/>
              <w:jc w:val="left"/>
              <w:rPr/>
            </w:pPr>
            <w:r>
              <w:rPr/>
              <w:t>)</w:t>
            </w:r>
            <w:r>
              <w:rPr>
                <w:rFonts w:ascii="times new roman;times" w:hAnsi="times new roman;times"/>
                <w:b w:val="false"/>
                <w:i w:val="false"/>
                <w:caps w:val="false"/>
                <w:smallCaps w:val="false"/>
                <w:color w:val="000000"/>
                <w:spacing w:val="0"/>
                <w:sz w:val="20"/>
              </w:rPr>
              <w:t>%</w:t>
            </w:r>
          </w:p>
        </w:tc>
      </w:tr>
      <w:tr>
        <w:trPr/>
        <w:tc>
          <w:tcPr>
            <w:tcW w:w="6683" w:type="dxa"/>
            <w:tcBorders/>
            <w:shd w:fill="CCEEFF" w:val="clear"/>
            <w:vAlign w:val="bottom"/>
          </w:tcPr>
          <w:p>
            <w:pPr>
              <w:pStyle w:val="TableContents"/>
              <w:bidi w:val="0"/>
              <w:spacing w:before="0" w:after="283"/>
              <w:ind w:left="0" w:right="0" w:hanging="0"/>
              <w:jc w:val="left"/>
              <w:rPr/>
            </w:pPr>
            <w:r>
              <w:rPr/>
              <w:t>Credits</w:t>
            </w:r>
          </w:p>
        </w:tc>
        <w:tc>
          <w:tcPr>
            <w:tcW w:w="1008" w:type="dxa"/>
            <w:tcBorders/>
            <w:shd w:fill="CCEEFF" w:val="clear"/>
            <w:vAlign w:val="bottom"/>
          </w:tcPr>
          <w:p>
            <w:pPr>
              <w:pStyle w:val="TableContents"/>
              <w:bidi w:val="0"/>
              <w:spacing w:before="0" w:after="0"/>
              <w:jc w:val="right"/>
              <w:rPr/>
            </w:pPr>
            <w:r>
              <w:rPr/>
              <w:t>(4.0</w:t>
            </w:r>
          </w:p>
        </w:tc>
        <w:tc>
          <w:tcPr>
            <w:tcW w:w="630" w:type="dxa"/>
            <w:tcBorders/>
            <w:shd w:fill="CCEEFF" w:val="clear"/>
            <w:vAlign w:val="bottom"/>
          </w:tcPr>
          <w:p>
            <w:pPr>
              <w:pStyle w:val="TableContents"/>
              <w:widowControl/>
              <w:bidi w:val="0"/>
              <w:spacing w:before="0" w:after="283"/>
              <w:ind w:left="0" w:right="0" w:hanging="0"/>
              <w:jc w:val="right"/>
              <w:rPr/>
            </w:pPr>
            <w:r>
              <w:rPr>
                <w:rFonts w:ascii="times new roman" w:hAnsi="times new roman"/>
                <w:b w:val="false"/>
                <w:i w:val="false"/>
                <w:caps w:val="false"/>
                <w:smallCaps w:val="false"/>
                <w:color w:val="000000"/>
                <w:spacing w:val="0"/>
                <w:sz w:val="20"/>
              </w:rPr>
              <w:t>)</w:t>
            </w:r>
            <w:r>
              <w:rPr/>
              <w:t>%</w:t>
            </w:r>
          </w:p>
        </w:tc>
        <w:tc>
          <w:tcPr>
            <w:tcW w:w="275" w:type="dxa"/>
            <w:tcBorders/>
            <w:shd w:fill="CCEEFF" w:val="clear"/>
            <w:vAlign w:val="bottom"/>
          </w:tcPr>
          <w:p>
            <w:pPr>
              <w:pStyle w:val="TableContents"/>
              <w:bidi w:val="0"/>
              <w:spacing w:before="0" w:after="283"/>
              <w:ind w:left="0" w:right="0" w:hanging="0"/>
              <w:jc w:val="left"/>
              <w:rPr/>
            </w:pPr>
            <w:r>
              <w:rPr/>
            </w:r>
          </w:p>
        </w:tc>
        <w:tc>
          <w:tcPr>
            <w:tcW w:w="1009" w:type="dxa"/>
            <w:tcBorders/>
            <w:shd w:fill="CCEEFF" w:val="clear"/>
            <w:vAlign w:val="bottom"/>
          </w:tcPr>
          <w:p>
            <w:pPr>
              <w:pStyle w:val="TableContents"/>
              <w:bidi w:val="0"/>
              <w:spacing w:before="0" w:after="0"/>
              <w:jc w:val="right"/>
              <w:rPr/>
            </w:pPr>
            <w:r>
              <w:rPr/>
              <w:t>-</w:t>
            </w:r>
          </w:p>
        </w:tc>
        <w:tc>
          <w:tcPr>
            <w:tcW w:w="600" w:type="dxa"/>
            <w:tcBorders/>
            <w:shd w:fill="CCEEFF" w:val="clear"/>
            <w:vAlign w:val="bottom"/>
          </w:tcPr>
          <w:p>
            <w:pPr>
              <w:pStyle w:val="TableContents"/>
              <w:bidi w:val="0"/>
              <w:spacing w:before="0" w:after="283"/>
              <w:jc w:val="left"/>
              <w:rPr/>
            </w:pPr>
            <w:r>
              <w:rPr/>
              <w:t>%</w:t>
            </w:r>
          </w:p>
        </w:tc>
      </w:tr>
      <w:tr>
        <w:trPr/>
        <w:tc>
          <w:tcPr>
            <w:tcW w:w="668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in valuation allowance for deferred tax assets </w:t>
            </w:r>
          </w:p>
        </w:tc>
        <w:tc>
          <w:tcPr>
            <w:tcW w:w="1008"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30.8</w:t>
            </w:r>
          </w:p>
        </w:tc>
        <w:tc>
          <w:tcPr>
            <w:tcW w:w="630"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75" w:type="dxa"/>
            <w:tcBorders/>
            <w:vAlign w:val="bottom"/>
          </w:tcPr>
          <w:p>
            <w:pPr>
              <w:pStyle w:val="TableContents"/>
              <w:bidi w:val="0"/>
              <w:spacing w:before="0" w:after="0"/>
              <w:ind w:left="0" w:right="0" w:hanging="0"/>
              <w:jc w:val="left"/>
              <w:rPr/>
            </w:pPr>
            <w:r>
              <w:rPr/>
              <w:t xml:space="preserve">  </w:t>
            </w:r>
          </w:p>
        </w:tc>
        <w:tc>
          <w:tcPr>
            <w:tcW w:w="1009"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14.7</w:t>
            </w:r>
          </w:p>
        </w:tc>
        <w:tc>
          <w:tcPr>
            <w:tcW w:w="600"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3"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tax benefit </w:t>
            </w:r>
          </w:p>
        </w:tc>
        <w:tc>
          <w:tcPr>
            <w:tcW w:w="1008"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(0.8</w:t>
            </w:r>
          </w:p>
        </w:tc>
        <w:tc>
          <w:tcPr>
            <w:tcW w:w="630" w:type="dxa"/>
            <w:tcBorders/>
            <w:shd w:fill="CCEEFF" w:val="clear"/>
            <w:vAlign w:val="bottom"/>
          </w:tcPr>
          <w:p>
            <w:pPr>
              <w:pStyle w:val="TableContents"/>
              <w:bidi w:val="0"/>
              <w:spacing w:before="0" w:after="283"/>
              <w:jc w:val="left"/>
              <w:rPr/>
            </w:pPr>
            <w:r>
              <w:rPr/>
              <w:t>)</w:t>
            </w:r>
          </w:p>
        </w:tc>
        <w:tc>
          <w:tcPr>
            <w:tcW w:w="275" w:type="dxa"/>
            <w:tcBorders/>
            <w:shd w:fill="CCEEFF" w:val="clear"/>
            <w:vAlign w:val="bottom"/>
          </w:tcPr>
          <w:p>
            <w:pPr>
              <w:pStyle w:val="TableContents"/>
              <w:bidi w:val="0"/>
              <w:spacing w:before="0" w:after="0"/>
              <w:ind w:left="0" w:right="0" w:hanging="0"/>
              <w:jc w:val="left"/>
              <w:rPr/>
            </w:pPr>
            <w:r>
              <w:rPr/>
              <w:t xml:space="preserve">  </w:t>
            </w:r>
          </w:p>
        </w:tc>
        <w:tc>
          <w:tcPr>
            <w:tcW w:w="100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w:t>
            </w:r>
          </w:p>
        </w:tc>
        <w:tc>
          <w:tcPr>
            <w:tcW w:w="60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F-22</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times" w:hAnsi="times new roman;times"/>
          <w:sz w:val="20"/>
        </w:rPr>
        <w:t xml:space="preserve">As of December 31, 2024 and 2023, the Company had accumulated Federal net operating losses totaling $143.6 million and $134.1 million, respectively. Also, as of December 31, 2024 and 2023, the Company had post-apportioned net operating losses totaling $61.2 million and $54.6 million, respectively. The net operating losses may be available to carry forward and offset future years' taxable income. U.S. federal losses can be carried forward indefinitely, and state losses expire in various amounts beginning in </w:t>
      </w:r>
      <w:r>
        <w:rPr>
          <w:rFonts w:ascii="Times New Roman" w:hAnsi="Times New Roman"/>
          <w:sz w:val="20"/>
        </w:rPr>
        <w:t>2026</w:t>
      </w:r>
      <w:r>
        <w:rPr>
          <w:rFonts w:ascii="times new roman;times" w:hAnsi="times new roman;times"/>
          <w:sz w:val="20"/>
        </w:rPr>
        <w:t>. The Company also had accumulated losses totaling $</w:t>
      </w:r>
      <w:r>
        <w:rPr>
          <w:rFonts w:ascii="Times New Roman" w:hAnsi="Times New Roman"/>
          <w:sz w:val="20"/>
        </w:rPr>
        <w:t xml:space="preserve">4.3 </w:t>
      </w:r>
      <w:r>
        <w:rPr>
          <w:rFonts w:ascii="times new roman;times" w:hAnsi="times new roman;times"/>
          <w:sz w:val="20"/>
        </w:rPr>
        <w:t>million for each of the years ended December 31, 2024 and 2023, respectively, in Germany which can be carried forward indefinitely.</w:t>
      </w:r>
      <w:r>
        <w:rPr>
          <w:rFonts w:ascii="Times New Roman" w:hAnsi="Times New Roman"/>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The amount of the annual limitation, if any, will be determined based on the value of the Company immediately prior to an ownership 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Times New Roman" w:hAnsi="Times New Roman"/>
          <w:color w:val="222222"/>
          <w:sz w:val="22"/>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Company may be eligible, from time to time, to receive cash from the sale of its net operating losses under New Jersey's Department of the Treasury - Division of Taxation NOL Transfer Program. During the year ended December 31, 2024 and 2023, the Company sold New Jersey NOL carry forwards, resulting in the receipt of net cash payments of $0.1 million and $0.2 million, respectively. There can be no assurance as to the continuation or magnitude of this program in the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2024, the Company had Federal and NJ research and development credits of $1.2 million and $0.3 million respectively. The Federal R&amp;D credits can be carried forward 20 years and will begin to expire in 2038. The New Jersey R&amp;D credits can be carried forward seven years and will begin to expire in 2031.</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t>Uncertain Tax Positions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pStyle w:val="TextBody"/>
        <w:bidi w:val="0"/>
        <w:spacing w:lineRule="auto" w:line="288" w:before="160" w:after="0"/>
        <w:ind w:left="0" w:right="0" w:hanging="0"/>
        <w:jc w:val="left"/>
        <w:rPr>
          <w:rFonts w:ascii="times new roman;times" w:hAnsi="times new roman;times"/>
          <w:color w:val="000000"/>
          <w:sz w:val="20"/>
        </w:rPr>
      </w:pPr>
      <w:r>
        <w:rPr>
          <w:rFonts w:ascii="times new roman;times" w:hAnsi="times new roman;times"/>
          <w:color w:val="000000"/>
          <w:sz w:val="20"/>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Company’s U.S. federal and state net operating losses have occurred since inception in 2018 and as such, tax years subject to potential tax examinations could apply from that date because the utilization of net operating losses from prior years opens the relevant year to audit by the IRS and/or state taxing authorities. The Company currently has no tax years under examination.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2024,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widowControl/>
        <w:bidi w:val="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13.</w:t>
      </w:r>
      <w:r>
        <w:rPr>
          <w:rFonts w:ascii="times new roman;times" w:hAnsi="times new roman;times"/>
          <w:sz w:val="20"/>
        </w:rPr>
        <w:t>  </w:t>
      </w:r>
      <w:r>
        <w:rPr>
          <w:rFonts w:ascii="Times New Roman" w:hAnsi="Times New Roman"/>
          <w:b/>
          <w:sz w:val="20"/>
        </w:rPr>
        <w:t>Stock Based Compensation</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All common stock share and per share data reflects the reverse stock split effective February 15, 2023.</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On June 21, 2018, the Company adopted the 2018 Omnibus Equity Incentive Plan (“Plan”). This plan reserved 0.4 million shares with an increase to be added annually beginning in 2019 through 2028 up to 4% of the total number of shares of common stock issued and outstanding on a fully diluted basis as of the end of the immediately preceding fiscal year, provided that the aggregate number of additional shares shall not exceed a total of 3.0 million shares, and a maximum of 2.7 million shares pursuant to the exercise of stock options.</w:t>
      </w:r>
      <w:r>
        <w:rPr>
          <w:rFonts w:ascii="Times New Roman" w:hAnsi="Times New Roman"/>
          <w:color w:val="000000"/>
          <w:sz w:val="20"/>
        </w:rPr>
        <w:t xml:space="preserve"> Effective </w:t>
      </w:r>
      <w:r>
        <w:rPr>
          <w:rFonts w:ascii="Times New Roman" w:hAnsi="Times New Roman"/>
          <w:b w:val="false"/>
          <w:i w:val="false"/>
          <w:caps w:val="false"/>
          <w:smallCaps w:val="false"/>
          <w:color w:val="000000"/>
          <w:spacing w:val="0"/>
          <w:sz w:val="20"/>
        </w:rPr>
        <w:t>January 1, 2025, the number of shares reserved under the Plan increased by 0.4 million to approximately 1.7 million.</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The Company’s policy is to issue new shares of its common stock upon the exercise of stock options, new grants of restricted stock awards, and settlement of restricted stock units. Stock options issued under the plan have a contractual life of </w:t>
      </w:r>
      <w:r>
        <w:rPr>
          <w:rFonts w:ascii="times new roman;times" w:hAnsi="times new roman;times"/>
          <w:sz w:val="20"/>
        </w:rPr>
        <w:t>10</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years and are generally forfeited upon separation from the Company.</w:t>
      </w:r>
    </w:p>
    <w:p>
      <w:pPr>
        <w:pStyle w:val="TextBody"/>
        <w:widowControl/>
        <w:bidi w:val="0"/>
        <w:spacing w:lineRule="auto" w:line="288" w:before="24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following table presents stock compensation expense recognized by the Company for the years ended December 31, 2024 and 2023. </w:t>
      </w:r>
      <w:r>
        <w:rPr>
          <w:rFonts w:ascii="Times New Roman" w:hAnsi="Times New Roman"/>
          <w:b w:val="false"/>
          <w:i w:val="false"/>
          <w:caps w:val="false"/>
          <w:smallCaps w:val="false"/>
          <w:color w:val="000000"/>
          <w:spacing w:val="0"/>
          <w:sz w:val="20"/>
        </w:rPr>
        <w:t>Total unrecognized compensation cost related to equity awards as of </w:t>
      </w:r>
      <w:r>
        <w:rPr>
          <w:rFonts w:ascii="Times New Roman" w:hAnsi="Times New Roman"/>
          <w:b w:val="false"/>
          <w:i w:val="false"/>
          <w:caps w:val="false"/>
          <w:smallCaps w:val="false"/>
          <w:color w:val="000000"/>
          <w:spacing w:val="0"/>
          <w:sz w:val="20"/>
        </w:rPr>
        <w:t>December 31, 2024 </w:t>
      </w:r>
      <w:r>
        <w:rPr>
          <w:rFonts w:ascii="Times New Roman" w:hAnsi="Times New Roman"/>
          <w:b w:val="false"/>
          <w:i w:val="false"/>
          <w:caps w:val="false"/>
          <w:smallCaps w:val="false"/>
          <w:color w:val="000000"/>
          <w:spacing w:val="0"/>
          <w:sz w:val="20"/>
        </w:rPr>
        <w:t>was $2.0 million and is expected to be recognized over the next 1.5 years.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5842"/>
        <w:gridCol w:w="240"/>
        <w:gridCol w:w="385"/>
        <w:gridCol w:w="1271"/>
        <w:gridCol w:w="270"/>
        <w:gridCol w:w="271"/>
        <w:gridCol w:w="384"/>
        <w:gridCol w:w="1271"/>
        <w:gridCol w:w="271"/>
      </w:tblGrid>
      <w:tr>
        <w:trPr/>
        <w:tc>
          <w:tcPr>
            <w:tcW w:w="5842"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3852" w:type="dxa"/>
            <w:gridSpan w:val="6"/>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240" w:type="dxa"/>
            <w:tcBorders/>
            <w:vAlign w:val="center"/>
          </w:tcPr>
          <w:p>
            <w:pPr>
              <w:pStyle w:val="TableContents"/>
              <w:bidi w:val="0"/>
              <w:spacing w:before="0" w:after="0"/>
              <w:ind w:left="0" w:right="0" w:hanging="0"/>
              <w:jc w:val="left"/>
              <w:rPr/>
            </w:pPr>
            <w:r>
              <w:rPr/>
              <w:t xml:space="preserve">  </w:t>
            </w:r>
          </w:p>
        </w:tc>
        <w:tc>
          <w:tcPr>
            <w:tcW w:w="1656" w:type="dxa"/>
            <w:gridSpan w:val="2"/>
            <w:tcBorders/>
            <w:vAlign w:val="center"/>
          </w:tcPr>
          <w:p>
            <w:pPr>
              <w:pStyle w:val="TableContents"/>
              <w:bidi w:val="0"/>
              <w:spacing w:before="0" w:after="0"/>
              <w:ind w:left="0" w:right="0" w:hanging="0"/>
              <w:jc w:val="center"/>
              <w:rPr>
                <w:rFonts w:ascii="times new roman;times" w:hAnsi="times new roman;times"/>
                <w:sz w:val="16"/>
              </w:rPr>
            </w:pPr>
            <w:r>
              <w:rPr>
                <w:rFonts w:ascii="times new roman;times" w:hAnsi="times new roman;times"/>
                <w:b/>
                <w:sz w:val="16"/>
              </w:rPr>
              <w:t>2024</w:t>
            </w:r>
            <w:r>
              <w:rPr>
                <w:rFonts w:ascii="times new roman;times" w:hAnsi="times new roman;times"/>
                <w:sz w:val="16"/>
              </w:rPr>
              <w:t xml:space="preserve"> </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center"/>
              <w:rPr/>
            </w:pPr>
            <w:r>
              <w:rPr/>
              <w:t xml:space="preserve">  </w:t>
            </w:r>
          </w:p>
        </w:tc>
        <w:tc>
          <w:tcPr>
            <w:tcW w:w="1655" w:type="dxa"/>
            <w:gridSpan w:val="2"/>
            <w:tcBorders/>
            <w:vAlign w:val="center"/>
          </w:tcPr>
          <w:p>
            <w:pPr>
              <w:pStyle w:val="TableContents"/>
              <w:bidi w:val="0"/>
              <w:spacing w:before="0" w:after="0"/>
              <w:ind w:left="0" w:right="0" w:hanging="0"/>
              <w:jc w:val="center"/>
              <w:rPr>
                <w:rFonts w:ascii="times new roman;times" w:hAnsi="times new roman;times"/>
                <w:sz w:val="16"/>
              </w:rPr>
            </w:pPr>
            <w:r>
              <w:rPr>
                <w:rFonts w:ascii="times new roman;times" w:hAnsi="times new roman;times"/>
                <w:b/>
                <w:sz w:val="16"/>
              </w:rPr>
              <w:t>2023</w:t>
            </w:r>
            <w:r>
              <w:rPr>
                <w:rFonts w:ascii="times new roman;times" w:hAnsi="times new roman;times"/>
                <w:sz w:val="16"/>
              </w:rPr>
              <w:t xml:space="preserve"> </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Selling, general and administrative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3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shd w:fill="CCEEFF" w:val="clear"/>
            <w:vAlign w:val="center"/>
          </w:tcPr>
          <w:p>
            <w:pPr>
              <w:pStyle w:val="TableContents"/>
              <w:bidi w:val="0"/>
              <w:spacing w:before="0" w:after="0"/>
              <w:jc w:val="right"/>
              <w:rPr/>
            </w:pPr>
            <w:r>
              <w:rPr/>
              <w:t>1,729</w:t>
            </w:r>
          </w:p>
        </w:tc>
        <w:tc>
          <w:tcPr>
            <w:tcW w:w="270" w:type="dxa"/>
            <w:tcBorders/>
            <w:shd w:fill="CCEEFF" w:val="clear"/>
            <w:vAlign w:val="center"/>
          </w:tcPr>
          <w:p>
            <w:pPr>
              <w:pStyle w:val="TableContents"/>
              <w:bidi w:val="0"/>
              <w:spacing w:before="0" w:after="0"/>
              <w:ind w:left="0" w:right="0" w:hanging="0"/>
              <w:jc w:val="left"/>
              <w:rPr/>
            </w:pPr>
            <w:r>
              <w:rPr/>
              <w:t xml:space="preserve">  </w:t>
            </w:r>
          </w:p>
        </w:tc>
        <w:tc>
          <w:tcPr>
            <w:tcW w:w="271" w:type="dxa"/>
            <w:tcBorders/>
            <w:shd w:fill="CCEEFF" w:val="clear"/>
            <w:vAlign w:val="center"/>
          </w:tcPr>
          <w:p>
            <w:pPr>
              <w:pStyle w:val="TableContents"/>
              <w:bidi w:val="0"/>
              <w:spacing w:before="0" w:after="0"/>
              <w:ind w:left="0" w:right="0" w:hanging="0"/>
              <w:jc w:val="left"/>
              <w:rPr/>
            </w:pPr>
            <w:r>
              <w:rPr/>
              <w:t xml:space="preserve">  </w:t>
            </w:r>
          </w:p>
        </w:tc>
        <w:tc>
          <w:tcPr>
            <w:tcW w:w="3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shd w:fill="CCEEFF" w:val="clear"/>
            <w:vAlign w:val="center"/>
          </w:tcPr>
          <w:p>
            <w:pPr>
              <w:pStyle w:val="TableContents"/>
              <w:pBdr/>
              <w:bidi w:val="0"/>
              <w:spacing w:before="0" w:after="0"/>
              <w:ind w:left="0" w:right="0" w:hanging="0"/>
              <w:jc w:val="right"/>
              <w:rPr/>
            </w:pPr>
            <w:r>
              <w:rPr/>
              <w:t>1,435</w:t>
            </w:r>
          </w:p>
        </w:tc>
        <w:tc>
          <w:tcPr>
            <w:tcW w:w="271" w:type="dxa"/>
            <w:tcBorders/>
            <w:shd w:fill="CCEEFF" w:val="clear"/>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development </w:t>
            </w:r>
          </w:p>
        </w:tc>
        <w:tc>
          <w:tcPr>
            <w:tcW w:w="240" w:type="dxa"/>
            <w:tcBorders/>
            <w:vAlign w:val="center"/>
          </w:tcPr>
          <w:p>
            <w:pPr>
              <w:pStyle w:val="TableContents"/>
              <w:bidi w:val="0"/>
              <w:spacing w:before="0" w:after="0"/>
              <w:ind w:left="0" w:right="0" w:hanging="0"/>
              <w:jc w:val="left"/>
              <w:rPr/>
            </w:pPr>
            <w:r>
              <w:rPr/>
              <w:t xml:space="preserve">  </w:t>
            </w:r>
          </w:p>
        </w:tc>
        <w:tc>
          <w:tcPr>
            <w:tcW w:w="385" w:type="dxa"/>
            <w:tcBorders/>
            <w:vAlign w:val="center"/>
          </w:tcPr>
          <w:p>
            <w:pPr>
              <w:pStyle w:val="TableContents"/>
              <w:bidi w:val="0"/>
              <w:spacing w:before="0" w:after="0"/>
              <w:ind w:left="0" w:right="0" w:hanging="0"/>
              <w:jc w:val="left"/>
              <w:rPr/>
            </w:pPr>
            <w:r>
              <w:rPr/>
              <w:t xml:space="preserve">  </w:t>
            </w:r>
          </w:p>
        </w:tc>
        <w:tc>
          <w:tcPr>
            <w:tcW w:w="1271" w:type="dxa"/>
            <w:tcBorders/>
            <w:vAlign w:val="center"/>
          </w:tcPr>
          <w:p>
            <w:pPr>
              <w:pStyle w:val="TableContents"/>
              <w:pBdr/>
              <w:bidi w:val="0"/>
              <w:spacing w:before="0" w:after="0"/>
              <w:ind w:left="0" w:right="0" w:hanging="0"/>
              <w:jc w:val="right"/>
              <w:rPr/>
            </w:pPr>
            <w:r>
              <w:rPr/>
              <w:t>98</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left"/>
              <w:rPr/>
            </w:pPr>
            <w:r>
              <w:rPr/>
              <w:t xml:space="preserve">  </w:t>
            </w:r>
          </w:p>
        </w:tc>
        <w:tc>
          <w:tcPr>
            <w:tcW w:w="384" w:type="dxa"/>
            <w:tcBorders/>
            <w:vAlign w:val="center"/>
          </w:tcPr>
          <w:p>
            <w:pPr>
              <w:pStyle w:val="TableContents"/>
              <w:bidi w:val="0"/>
              <w:spacing w:before="0" w:after="0"/>
              <w:ind w:left="0" w:right="0" w:hanging="0"/>
              <w:jc w:val="left"/>
              <w:rPr/>
            </w:pPr>
            <w:r>
              <w:rPr/>
              <w:t xml:space="preserve">  </w:t>
            </w:r>
          </w:p>
        </w:tc>
        <w:tc>
          <w:tcPr>
            <w:tcW w:w="1271" w:type="dxa"/>
            <w:tcBorders/>
            <w:vAlign w:val="center"/>
          </w:tcPr>
          <w:p>
            <w:pPr>
              <w:pStyle w:val="TableContents"/>
              <w:pBdr/>
              <w:bidi w:val="0"/>
              <w:spacing w:before="0" w:after="0"/>
              <w:ind w:left="0" w:right="0" w:hanging="0"/>
              <w:jc w:val="right"/>
              <w:rPr/>
            </w:pPr>
            <w:r>
              <w:rPr/>
              <w:t>237</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385" w:type="dxa"/>
            <w:tcBorders/>
            <w:shd w:fill="CCEEFF" w:val="clear"/>
            <w:vAlign w:val="center"/>
          </w:tcPr>
          <w:p>
            <w:pPr>
              <w:pStyle w:val="TableContents"/>
              <w:bidi w:val="0"/>
              <w:spacing w:before="0" w:after="0"/>
              <w:ind w:left="0" w:right="0" w:hanging="0"/>
              <w:jc w:val="left"/>
              <w:rPr/>
            </w:pPr>
            <w:r>
              <w:rPr/>
              <w:t xml:space="preserve">  </w:t>
            </w:r>
          </w:p>
        </w:tc>
        <w:tc>
          <w:tcPr>
            <w:tcW w:w="1271" w:type="dxa"/>
            <w:tcBorders/>
            <w:shd w:fill="CCEEFF" w:val="clear"/>
            <w:vAlign w:val="center"/>
          </w:tcPr>
          <w:p>
            <w:pPr>
              <w:pStyle w:val="TableContents"/>
              <w:pBdr/>
              <w:bidi w:val="0"/>
              <w:spacing w:before="0" w:after="0"/>
              <w:ind w:left="0" w:right="0" w:hanging="0"/>
              <w:jc w:val="right"/>
              <w:rPr/>
            </w:pPr>
            <w:r>
              <w:rPr/>
              <w:t>43</w:t>
            </w:r>
          </w:p>
        </w:tc>
        <w:tc>
          <w:tcPr>
            <w:tcW w:w="270" w:type="dxa"/>
            <w:tcBorders/>
            <w:shd w:fill="CCEEFF" w:val="clear"/>
            <w:vAlign w:val="center"/>
          </w:tcPr>
          <w:p>
            <w:pPr>
              <w:pStyle w:val="TableContents"/>
              <w:bidi w:val="0"/>
              <w:spacing w:before="0" w:after="0"/>
              <w:ind w:left="0" w:right="0" w:hanging="0"/>
              <w:jc w:val="left"/>
              <w:rPr/>
            </w:pPr>
            <w:r>
              <w:rPr/>
              <w:t xml:space="preserve">  </w:t>
            </w:r>
          </w:p>
        </w:tc>
        <w:tc>
          <w:tcPr>
            <w:tcW w:w="271" w:type="dxa"/>
            <w:tcBorders/>
            <w:shd w:fill="CCEEFF" w:val="clear"/>
            <w:vAlign w:val="center"/>
          </w:tcPr>
          <w:p>
            <w:pPr>
              <w:pStyle w:val="TableContents"/>
              <w:bidi w:val="0"/>
              <w:spacing w:before="0" w:after="0"/>
              <w:ind w:left="0" w:right="0" w:hanging="0"/>
              <w:jc w:val="left"/>
              <w:rPr/>
            </w:pPr>
            <w:r>
              <w:rPr/>
              <w:t xml:space="preserve">  </w:t>
            </w:r>
          </w:p>
        </w:tc>
        <w:tc>
          <w:tcPr>
            <w:tcW w:w="384" w:type="dxa"/>
            <w:tcBorders/>
            <w:shd w:fill="CCEEFF" w:val="clear"/>
            <w:vAlign w:val="center"/>
          </w:tcPr>
          <w:p>
            <w:pPr>
              <w:pStyle w:val="TableContents"/>
              <w:bidi w:val="0"/>
              <w:spacing w:before="0" w:after="0"/>
              <w:ind w:left="0" w:right="0" w:hanging="0"/>
              <w:jc w:val="left"/>
              <w:rPr/>
            </w:pPr>
            <w:r>
              <w:rPr/>
              <w:t xml:space="preserve">  </w:t>
            </w:r>
          </w:p>
        </w:tc>
        <w:tc>
          <w:tcPr>
            <w:tcW w:w="1271" w:type="dxa"/>
            <w:tcBorders/>
            <w:shd w:fill="CCEEFF" w:val="clear"/>
            <w:vAlign w:val="center"/>
          </w:tcPr>
          <w:p>
            <w:pPr>
              <w:pStyle w:val="TableContents"/>
              <w:pBdr/>
              <w:bidi w:val="0"/>
              <w:spacing w:before="0" w:after="0"/>
              <w:ind w:left="0" w:right="0" w:hanging="0"/>
              <w:jc w:val="right"/>
              <w:rPr/>
            </w:pPr>
            <w:r>
              <w:rPr/>
              <w:t>26</w:t>
            </w:r>
          </w:p>
        </w:tc>
        <w:tc>
          <w:tcPr>
            <w:tcW w:w="271" w:type="dxa"/>
            <w:tcBorders/>
            <w:shd w:fill="CCEEFF" w:val="clear"/>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expense </w:t>
            </w:r>
          </w:p>
        </w:tc>
        <w:tc>
          <w:tcPr>
            <w:tcW w:w="240" w:type="dxa"/>
            <w:tcBorders/>
            <w:vAlign w:val="center"/>
          </w:tcPr>
          <w:p>
            <w:pPr>
              <w:pStyle w:val="TableContents"/>
              <w:bidi w:val="0"/>
              <w:spacing w:before="0" w:after="0"/>
              <w:ind w:left="0" w:right="0" w:hanging="0"/>
              <w:jc w:val="left"/>
              <w:rPr/>
            </w:pPr>
            <w:r>
              <w:rPr/>
              <w:t xml:space="preserve">  </w:t>
            </w:r>
          </w:p>
        </w:tc>
        <w:tc>
          <w:tcPr>
            <w:tcW w:w="3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vAlign w:val="center"/>
          </w:tcPr>
          <w:p>
            <w:pPr>
              <w:pStyle w:val="TableContents"/>
              <w:pBdr/>
              <w:bidi w:val="0"/>
              <w:spacing w:before="0" w:after="0"/>
              <w:ind w:left="0" w:right="0" w:hanging="0"/>
              <w:jc w:val="right"/>
              <w:rPr/>
            </w:pPr>
            <w:r>
              <w:rPr/>
              <w:t>1,870</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left"/>
              <w:rPr/>
            </w:pPr>
            <w:r>
              <w:rPr/>
              <w:t xml:space="preserve">  </w:t>
            </w:r>
          </w:p>
        </w:tc>
        <w:tc>
          <w:tcPr>
            <w:tcW w:w="3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vAlign w:val="center"/>
          </w:tcPr>
          <w:p>
            <w:pPr>
              <w:pStyle w:val="TableContents"/>
              <w:pBdr/>
              <w:bidi w:val="0"/>
              <w:spacing w:before="0" w:after="0"/>
              <w:ind w:left="0" w:right="0" w:hanging="0"/>
              <w:jc w:val="right"/>
              <w:rPr/>
            </w:pPr>
            <w:r>
              <w:rPr/>
              <w:t>1,698</w:t>
            </w:r>
          </w:p>
        </w:tc>
        <w:tc>
          <w:tcPr>
            <w:tcW w:w="27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presents a summary of stock option award activity during the year ended December 31, 2024:</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914"/>
        <w:gridCol w:w="258"/>
        <w:gridCol w:w="1372"/>
        <w:gridCol w:w="107"/>
        <w:gridCol w:w="89"/>
        <w:gridCol w:w="358"/>
        <w:gridCol w:w="1234"/>
        <w:gridCol w:w="89"/>
        <w:gridCol w:w="89"/>
        <w:gridCol w:w="455"/>
        <w:gridCol w:w="2087"/>
        <w:gridCol w:w="89"/>
        <w:gridCol w:w="147"/>
        <w:gridCol w:w="1917"/>
      </w:tblGrid>
      <w:tr>
        <w:trPr/>
        <w:tc>
          <w:tcPr>
            <w:tcW w:w="1914" w:type="dxa"/>
            <w:tcBorders/>
            <w:vAlign w:val="center"/>
          </w:tcPr>
          <w:p>
            <w:pPr>
              <w:pStyle w:val="TableContents"/>
              <w:bidi w:val="0"/>
              <w:spacing w:before="0" w:after="0"/>
              <w:ind w:left="0" w:right="0" w:hanging="0"/>
              <w:jc w:val="left"/>
              <w:rPr/>
            </w:pPr>
            <w:r>
              <w:rPr/>
              <w:t xml:space="preserve">  </w:t>
            </w:r>
          </w:p>
        </w:tc>
        <w:tc>
          <w:tcPr>
            <w:tcW w:w="1630"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Number of Options (in thousands) </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center"/>
              <w:rPr/>
            </w:pPr>
            <w:r>
              <w:rPr/>
              <w:t xml:space="preserve">  </w:t>
            </w:r>
          </w:p>
        </w:tc>
        <w:tc>
          <w:tcPr>
            <w:tcW w:w="1592"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Weighted Average Exercise Price </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center"/>
              <w:rPr/>
            </w:pPr>
            <w:r>
              <w:rPr/>
              <w:t xml:space="preserve">  </w:t>
            </w:r>
          </w:p>
        </w:tc>
        <w:tc>
          <w:tcPr>
            <w:tcW w:w="2542" w:type="dxa"/>
            <w:gridSpan w:val="2"/>
            <w:tcBorders/>
            <w:vAlign w:val="center"/>
          </w:tcPr>
          <w:p>
            <w:pPr>
              <w:pStyle w:val="TableContents"/>
              <w:bidi w:val="0"/>
              <w:spacing w:lineRule="auto" w:line="264" w:before="0" w:after="0"/>
              <w:ind w:left="0" w:right="0" w:hanging="0"/>
              <w:jc w:val="center"/>
              <w:rPr>
                <w:rFonts w:ascii="Times New Roman" w:hAnsi="Times New Roman"/>
                <w:b/>
                <w:sz w:val="16"/>
              </w:rPr>
            </w:pPr>
            <w:r>
              <w:rPr>
                <w:rFonts w:ascii="Times New Roman" w:hAnsi="Times New Roman"/>
                <w:b/>
                <w:sz w:val="16"/>
              </w:rPr>
              <w:t xml:space="preserve">Weighted Average Remaining Contractual Term (Years) </w:t>
            </w:r>
          </w:p>
        </w:tc>
        <w:tc>
          <w:tcPr>
            <w:tcW w:w="89"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pPr>
            <w:r>
              <w:rPr/>
              <w:t xml:space="preserve">  </w:t>
            </w:r>
          </w:p>
        </w:tc>
        <w:tc>
          <w:tcPr>
            <w:tcW w:w="1917"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Aggregate Intrinsic Value (in thousands) </w:t>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January 1, 2024</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1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37.46</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7" w:type="dxa"/>
            <w:tcBorders/>
            <w:shd w:fill="CCEEFF" w:val="clear"/>
            <w:vAlign w:val="center"/>
          </w:tcPr>
          <w:p>
            <w:pPr>
              <w:pStyle w:val="TableContents"/>
              <w:pBdr/>
              <w:bidi w:val="0"/>
              <w:spacing w:before="0" w:after="0"/>
              <w:ind w:left="0" w:right="0" w:hanging="0"/>
              <w:jc w:val="right"/>
              <w:rPr/>
            </w:pPr>
            <w:r>
              <w:rPr/>
              <w:t xml:space="preserve">  </w:t>
            </w:r>
            <w:r>
              <w:rPr>
                <w:rFonts w:ascii="Times New Roman" w:hAnsi="Times New Roman"/>
                <w:sz w:val="20"/>
              </w:rPr>
              <w:t>307</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258" w:type="dxa"/>
            <w:tcBorders/>
            <w:vAlign w:val="center"/>
          </w:tcPr>
          <w:p>
            <w:pPr>
              <w:pStyle w:val="TableContents"/>
              <w:bidi w:val="0"/>
              <w:spacing w:before="0" w:after="0"/>
              <w:ind w:left="0" w:right="0" w:hanging="0"/>
              <w:jc w:val="left"/>
              <w:rPr/>
            </w:pPr>
            <w:r>
              <w:rPr/>
              <w:t xml:space="preserve">  </w:t>
            </w:r>
          </w:p>
        </w:tc>
        <w:tc>
          <w:tcPr>
            <w:tcW w:w="137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98</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1234" w:type="dxa"/>
            <w:tcBorders/>
            <w:vAlign w:val="center"/>
          </w:tcPr>
          <w:p>
            <w:pPr>
              <w:pStyle w:val="TableContents"/>
              <w:bidi w:val="0"/>
              <w:spacing w:before="0" w:after="283"/>
              <w:jc w:val="left"/>
              <w:rPr/>
            </w:pPr>
            <w:r>
              <w:rPr/>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7" w:type="dxa"/>
            <w:tcBorders/>
            <w:vAlign w:val="center"/>
          </w:tcPr>
          <w:p>
            <w:pPr>
              <w:pStyle w:val="TableContents"/>
              <w:pBdr/>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pPr>
            <w:r>
              <w:rPr/>
            </w:r>
          </w:p>
        </w:tc>
        <w:tc>
          <w:tcPr>
            <w:tcW w:w="1917" w:type="dxa"/>
            <w:tcBorders/>
            <w:vAlign w:val="center"/>
          </w:tcPr>
          <w:p>
            <w:pPr>
              <w:pStyle w:val="TableContents"/>
              <w:pBdr/>
              <w:bidi w:val="0"/>
              <w:spacing w:before="0" w:after="0"/>
              <w:ind w:left="0" w:right="0" w:hanging="0"/>
              <w:jc w:val="right"/>
              <w:rPr/>
            </w:pPr>
            <w:r>
              <w:rPr/>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Exercised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1372" w:type="dxa"/>
            <w:tcBorders/>
            <w:shd w:fill="CCEEFF" w:val="clear"/>
            <w:vAlign w:val="center"/>
          </w:tcPr>
          <w:p>
            <w:pPr>
              <w:pStyle w:val="TableContents"/>
              <w:pBdr/>
              <w:bidi w:val="0"/>
              <w:spacing w:before="0" w:after="0"/>
              <w:ind w:left="0" w:right="0" w:hanging="0"/>
              <w:jc w:val="right"/>
              <w:rPr/>
            </w:pPr>
            <w:r>
              <w:rPr/>
              <w:t>—</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pPr>
            <w:r>
              <w:rPr/>
              <w:t xml:space="preserve">  </w:t>
            </w:r>
          </w:p>
        </w:tc>
        <w:tc>
          <w:tcPr>
            <w:tcW w:w="1234" w:type="dxa"/>
            <w:tcBorders/>
            <w:shd w:fill="CCEEFF" w:val="clear"/>
            <w:vAlign w:val="center"/>
          </w:tcPr>
          <w:p>
            <w:pPr>
              <w:pStyle w:val="TableContents"/>
              <w:bidi w:val="0"/>
              <w:spacing w:before="0" w:after="283"/>
              <w:jc w:val="left"/>
              <w:rPr/>
            </w:pPr>
            <w:r>
              <w:rPr/>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7" w:type="dxa"/>
            <w:tcBorders/>
            <w:shd w:fill="CCEEFF" w:val="clear"/>
            <w:vAlign w:val="center"/>
          </w:tcPr>
          <w:p>
            <w:pPr>
              <w:pStyle w:val="TableContents"/>
              <w:pBdr/>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pPr>
            <w:r>
              <w:rPr/>
            </w:r>
          </w:p>
        </w:tc>
        <w:tc>
          <w:tcPr>
            <w:tcW w:w="1917" w:type="dxa"/>
            <w:tcBorders/>
            <w:shd w:fill="CCEEFF" w:val="clear"/>
            <w:vAlign w:val="center"/>
          </w:tcPr>
          <w:p>
            <w:pPr>
              <w:pStyle w:val="TableContents"/>
              <w:pBdr/>
              <w:bidi w:val="0"/>
              <w:spacing w:before="0" w:after="0"/>
              <w:ind w:left="0" w:right="0" w:hanging="0"/>
              <w:jc w:val="right"/>
              <w:rPr/>
            </w:pPr>
            <w:r>
              <w:rPr/>
              <w:t> </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Cancelled </w:t>
            </w:r>
          </w:p>
        </w:tc>
        <w:tc>
          <w:tcPr>
            <w:tcW w:w="258" w:type="dxa"/>
            <w:tcBorders/>
            <w:vAlign w:val="center"/>
          </w:tcPr>
          <w:p>
            <w:pPr>
              <w:pStyle w:val="TableContents"/>
              <w:bidi w:val="0"/>
              <w:spacing w:before="0" w:after="0"/>
              <w:ind w:left="0" w:right="0" w:hanging="0"/>
              <w:jc w:val="left"/>
              <w:rPr/>
            </w:pPr>
            <w:r>
              <w:rPr/>
              <w:t xml:space="preserve">  </w:t>
            </w:r>
          </w:p>
        </w:tc>
        <w:tc>
          <w:tcPr>
            <w:tcW w:w="137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(66</w:t>
            </w:r>
          </w:p>
        </w:tc>
        <w:tc>
          <w:tcPr>
            <w:tcW w:w="107" w:type="dxa"/>
            <w:tcBorders/>
            <w:vAlign w:val="center"/>
          </w:tcPr>
          <w:p>
            <w:pPr>
              <w:pStyle w:val="TableContents"/>
              <w:bidi w:val="0"/>
              <w:spacing w:before="0" w:after="283"/>
              <w:jc w:val="left"/>
              <w:rPr/>
            </w:pPr>
            <w:r>
              <w:rPr/>
              <w:t>)</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123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7" w:type="dxa"/>
            <w:tcBorders/>
            <w:vAlign w:val="center"/>
          </w:tcPr>
          <w:p>
            <w:pPr>
              <w:pStyle w:val="TableContents"/>
              <w:pBdr/>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pPr>
            <w:r>
              <w:rPr/>
            </w:r>
          </w:p>
        </w:tc>
        <w:tc>
          <w:tcPr>
            <w:tcW w:w="1917" w:type="dxa"/>
            <w:tcBorders/>
            <w:vAlign w:val="center"/>
          </w:tcPr>
          <w:p>
            <w:pPr>
              <w:pStyle w:val="TableContents"/>
              <w:pBdr/>
              <w:bidi w:val="0"/>
              <w:spacing w:before="0" w:after="0"/>
              <w:ind w:left="0" w:right="0" w:hanging="0"/>
              <w:jc w:val="right"/>
              <w:rPr/>
            </w:pPr>
            <w:r>
              <w:rPr/>
              <w:t> </w:t>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December 31, 2024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1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548</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31.39</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6.9</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7" w:type="dxa"/>
            <w:tcBorders/>
            <w:shd w:fill="CCEEFF" w:val="clear"/>
            <w:vAlign w:val="center"/>
          </w:tcPr>
          <w:p>
            <w:pPr>
              <w:pStyle w:val="TableContents"/>
              <w:pBdr/>
              <w:bidi w:val="0"/>
              <w:spacing w:before="0" w:after="0"/>
              <w:ind w:left="0" w:right="0" w:hanging="0"/>
              <w:jc w:val="right"/>
              <w:rPr/>
            </w:pPr>
            <w:r>
              <w:rPr/>
              <w:t>3,902</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Exercisable, December 31, 2024 </w:t>
            </w:r>
          </w:p>
        </w:tc>
        <w:tc>
          <w:tcPr>
            <w:tcW w:w="258" w:type="dxa"/>
            <w:tcBorders/>
            <w:vAlign w:val="center"/>
          </w:tcPr>
          <w:p>
            <w:pPr>
              <w:pStyle w:val="TableContents"/>
              <w:bidi w:val="0"/>
              <w:spacing w:before="0" w:after="0"/>
              <w:ind w:left="0" w:right="0" w:hanging="0"/>
              <w:jc w:val="left"/>
              <w:rPr/>
            </w:pPr>
            <w:r>
              <w:rPr/>
              <w:t xml:space="preserve">  </w:t>
            </w:r>
          </w:p>
        </w:tc>
        <w:tc>
          <w:tcPr>
            <w:tcW w:w="137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364</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43.78</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7"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6.4</w:t>
            </w:r>
          </w:p>
        </w:tc>
        <w:tc>
          <w:tcPr>
            <w:tcW w:w="89"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7" w:type="dxa"/>
            <w:tcBorders/>
            <w:vAlign w:val="center"/>
          </w:tcPr>
          <w:p>
            <w:pPr>
              <w:pStyle w:val="TableContents"/>
              <w:pBdr/>
              <w:bidi w:val="0"/>
              <w:spacing w:before="0" w:after="0"/>
              <w:ind w:left="0" w:right="0" w:hanging="0"/>
              <w:jc w:val="right"/>
              <w:rPr/>
            </w:pPr>
            <w:r>
              <w:rPr/>
              <w:t>2,075</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intrinsic value is calculated as the difference between the fair market value at December 31, 2024 and the exercise price per share of the stock option. The options granted to employees generally vest over a three year period.</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The following table provides additional information about stock options that are outstanding and exercisable at December 31, 2024:</w:t>
      </w:r>
    </w:p>
    <w:p>
      <w:pPr>
        <w:pStyle w:val="TextBody"/>
        <w:bidi w:val="0"/>
        <w:spacing w:lineRule="auto" w:line="288" w:before="0" w:after="0"/>
        <w:ind w:left="0" w:right="0" w:hanging="0"/>
        <w:jc w:val="left"/>
        <w:rPr>
          <w:color w:val="FF0000"/>
        </w:rPr>
      </w:pPr>
      <w:r>
        <w:rPr>
          <w:color w:val="FF0000"/>
        </w:rPr>
        <w:t> </w:t>
      </w:r>
    </w:p>
    <w:tbl>
      <w:tblPr>
        <w:tblW w:w="5000" w:type="pct"/>
        <w:jc w:val="left"/>
        <w:tblInd w:w="0" w:type="dxa"/>
        <w:tblLayout w:type="fixed"/>
        <w:tblCellMar>
          <w:top w:w="0" w:type="dxa"/>
          <w:left w:w="0" w:type="dxa"/>
          <w:bottom w:w="0" w:type="dxa"/>
          <w:right w:w="0" w:type="dxa"/>
        </w:tblCellMar>
      </w:tblPr>
      <w:tblGrid>
        <w:gridCol w:w="1268"/>
        <w:gridCol w:w="101"/>
        <w:gridCol w:w="318"/>
        <w:gridCol w:w="1789"/>
        <w:gridCol w:w="101"/>
        <w:gridCol w:w="101"/>
        <w:gridCol w:w="743"/>
        <w:gridCol w:w="3429"/>
        <w:gridCol w:w="101"/>
        <w:gridCol w:w="101"/>
        <w:gridCol w:w="307"/>
        <w:gridCol w:w="1724"/>
        <w:gridCol w:w="122"/>
      </w:tblGrid>
      <w:tr>
        <w:trPr/>
        <w:tc>
          <w:tcPr>
            <w:tcW w:w="1268"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Exercise Price </w:t>
            </w:r>
          </w:p>
        </w:tc>
        <w:tc>
          <w:tcPr>
            <w:tcW w:w="101" w:type="dxa"/>
            <w:tcBorders/>
            <w:vAlign w:val="center"/>
          </w:tcPr>
          <w:p>
            <w:pPr>
              <w:pStyle w:val="TableContents"/>
              <w:bidi w:val="0"/>
              <w:spacing w:before="0" w:after="0"/>
              <w:ind w:left="0" w:right="0" w:hanging="0"/>
              <w:jc w:val="center"/>
              <w:rPr/>
            </w:pPr>
            <w:r>
              <w:rPr/>
              <w:t xml:space="preserve">  </w:t>
            </w:r>
          </w:p>
        </w:tc>
        <w:tc>
          <w:tcPr>
            <w:tcW w:w="2107"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Options Outstanding (in thousands)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center"/>
              <w:rPr/>
            </w:pPr>
            <w:r>
              <w:rPr/>
              <w:t xml:space="preserve">  </w:t>
            </w:r>
          </w:p>
        </w:tc>
        <w:tc>
          <w:tcPr>
            <w:tcW w:w="4172" w:type="dxa"/>
            <w:gridSpan w:val="2"/>
            <w:tcBorders/>
            <w:vAlign w:val="center"/>
          </w:tcPr>
          <w:p>
            <w:pPr>
              <w:pStyle w:val="TableContents"/>
              <w:bidi w:val="0"/>
              <w:spacing w:before="0" w:after="0"/>
              <w:ind w:left="0" w:right="0" w:hanging="0"/>
              <w:jc w:val="center"/>
              <w:rPr>
                <w:b/>
                <w:sz w:val="16"/>
              </w:rPr>
            </w:pPr>
            <w:r>
              <w:rPr>
                <w:b/>
                <w:sz w:val="16"/>
              </w:rPr>
              <w:t xml:space="preserve">Options Outstanding Weighted Average Remaining Contractual Life (Years)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2031"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Options Exercisable (in thousands) </w:t>
            </w:r>
          </w:p>
        </w:tc>
        <w:tc>
          <w:tcPr>
            <w:tcW w:w="122" w:type="dxa"/>
            <w:tcBorders/>
            <w:vAlign w:val="center"/>
          </w:tcPr>
          <w:p>
            <w:pPr>
              <w:pStyle w:val="TableContents"/>
              <w:bidi w:val="0"/>
              <w:spacing w:before="0" w:after="0"/>
              <w:ind w:left="0" w:right="0" w:hanging="0"/>
              <w:jc w:val="left"/>
              <w:rPr/>
            </w:pPr>
            <w:r>
              <w:rPr/>
              <w:t xml:space="preserve">  </w:t>
            </w:r>
          </w:p>
        </w:tc>
      </w:tr>
      <w:tr>
        <w:trPr/>
        <w:tc>
          <w:tcPr>
            <w:tcW w:w="1268"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$4.05 - $4.85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18" w:type="dxa"/>
            <w:tcBorders/>
            <w:shd w:fill="CCEEFF" w:val="clear"/>
            <w:vAlign w:val="center"/>
          </w:tcPr>
          <w:p>
            <w:pPr>
              <w:pStyle w:val="TableContents"/>
              <w:pBdr/>
              <w:bidi w:val="0"/>
              <w:spacing w:before="0" w:after="0"/>
              <w:ind w:left="0" w:right="0" w:hanging="0"/>
              <w:jc w:val="left"/>
              <w:rPr/>
            </w:pPr>
            <w:r>
              <w:rPr/>
              <w:t xml:space="preserve">  </w:t>
            </w:r>
          </w:p>
        </w:tc>
        <w:tc>
          <w:tcPr>
            <w:tcW w:w="178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201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743" w:type="dxa"/>
            <w:tcBorders/>
            <w:shd w:fill="CCEEFF" w:val="clear"/>
            <w:vAlign w:val="center"/>
          </w:tcPr>
          <w:p>
            <w:pPr>
              <w:pStyle w:val="TableContents"/>
              <w:pBdr/>
              <w:bidi w:val="0"/>
              <w:spacing w:before="0" w:after="0"/>
              <w:ind w:left="0" w:right="0" w:hanging="0"/>
              <w:jc w:val="left"/>
              <w:rPr/>
            </w:pPr>
            <w:r>
              <w:rPr/>
              <w:t xml:space="preserve">  </w:t>
            </w:r>
          </w:p>
        </w:tc>
        <w:tc>
          <w:tcPr>
            <w:tcW w:w="3429"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8.6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07" w:type="dxa"/>
            <w:tcBorders/>
            <w:shd w:fill="CCEEFF" w:val="clear"/>
            <w:vAlign w:val="center"/>
          </w:tcPr>
          <w:p>
            <w:pPr>
              <w:pStyle w:val="TableContents"/>
              <w:pBdr/>
              <w:bidi w:val="0"/>
              <w:spacing w:before="0" w:after="0"/>
              <w:ind w:left="0" w:right="0" w:hanging="0"/>
              <w:jc w:val="left"/>
              <w:rPr/>
            </w:pPr>
            <w:r>
              <w:rPr/>
              <w:t xml:space="preserve">  </w:t>
            </w:r>
          </w:p>
        </w:tc>
        <w:tc>
          <w:tcPr>
            <w:tcW w:w="172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108 </w:t>
            </w:r>
          </w:p>
        </w:tc>
        <w:tc>
          <w:tcPr>
            <w:tcW w:w="122" w:type="dxa"/>
            <w:tcBorders/>
            <w:shd w:fill="CCEEFF" w:val="clear"/>
            <w:vAlign w:val="center"/>
          </w:tcPr>
          <w:p>
            <w:pPr>
              <w:pStyle w:val="TableContents"/>
              <w:bidi w:val="0"/>
              <w:spacing w:before="0" w:after="0"/>
              <w:ind w:left="0" w:right="0" w:hanging="0"/>
              <w:jc w:val="left"/>
              <w:rPr/>
            </w:pPr>
            <w:r>
              <w:rPr/>
              <w:t xml:space="preserve">  </w:t>
            </w:r>
          </w:p>
        </w:tc>
      </w:tr>
      <w:tr>
        <w:trPr/>
        <w:tc>
          <w:tcPr>
            <w:tcW w:w="1268" w:type="dxa"/>
            <w:tcBorders/>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$4.86 - $12.98 </w:t>
            </w:r>
          </w:p>
        </w:tc>
        <w:tc>
          <w:tcPr>
            <w:tcW w:w="101" w:type="dxa"/>
            <w:tcBorders/>
            <w:vAlign w:val="center"/>
          </w:tcPr>
          <w:p>
            <w:pPr>
              <w:pStyle w:val="TableContents"/>
              <w:pBdr/>
              <w:bidi w:val="0"/>
              <w:spacing w:before="0" w:after="0"/>
              <w:ind w:left="0" w:right="0" w:hanging="0"/>
              <w:jc w:val="left"/>
              <w:rPr/>
            </w:pPr>
            <w:r>
              <w:rPr/>
              <w:t xml:space="preserve">  </w:t>
            </w:r>
          </w:p>
        </w:tc>
        <w:tc>
          <w:tcPr>
            <w:tcW w:w="318" w:type="dxa"/>
            <w:tcBorders/>
            <w:vAlign w:val="center"/>
          </w:tcPr>
          <w:p>
            <w:pPr>
              <w:pStyle w:val="TableContents"/>
              <w:pBdr/>
              <w:bidi w:val="0"/>
              <w:spacing w:before="0" w:after="0"/>
              <w:ind w:left="0" w:right="0" w:hanging="0"/>
              <w:jc w:val="left"/>
              <w:rPr/>
            </w:pPr>
            <w:r>
              <w:rPr/>
              <w:t xml:space="preserve">  </w:t>
            </w:r>
          </w:p>
        </w:tc>
        <w:tc>
          <w:tcPr>
            <w:tcW w:w="178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186 </w:t>
            </w:r>
          </w:p>
        </w:tc>
        <w:tc>
          <w:tcPr>
            <w:tcW w:w="101" w:type="dxa"/>
            <w:tcBorders/>
            <w:vAlign w:val="center"/>
          </w:tcPr>
          <w:p>
            <w:pPr>
              <w:pStyle w:val="TableContents"/>
              <w:pBdr/>
              <w:bidi w:val="0"/>
              <w:spacing w:before="0" w:after="0"/>
              <w:ind w:left="0" w:right="0" w:hanging="0"/>
              <w:jc w:val="left"/>
              <w:rPr/>
            </w:pPr>
            <w:r>
              <w:rPr/>
              <w:t xml:space="preserve">  </w:t>
            </w:r>
          </w:p>
        </w:tc>
        <w:tc>
          <w:tcPr>
            <w:tcW w:w="101" w:type="dxa"/>
            <w:tcBorders/>
            <w:vAlign w:val="center"/>
          </w:tcPr>
          <w:p>
            <w:pPr>
              <w:pStyle w:val="TableContents"/>
              <w:pBdr/>
              <w:bidi w:val="0"/>
              <w:spacing w:before="0" w:after="0"/>
              <w:ind w:left="0" w:right="0" w:hanging="0"/>
              <w:jc w:val="left"/>
              <w:rPr/>
            </w:pPr>
            <w:r>
              <w:rPr/>
              <w:t xml:space="preserve">  </w:t>
            </w:r>
          </w:p>
        </w:tc>
        <w:tc>
          <w:tcPr>
            <w:tcW w:w="743" w:type="dxa"/>
            <w:tcBorders/>
            <w:vAlign w:val="center"/>
          </w:tcPr>
          <w:p>
            <w:pPr>
              <w:pStyle w:val="TableContents"/>
              <w:pBdr/>
              <w:bidi w:val="0"/>
              <w:spacing w:before="0" w:after="0"/>
              <w:ind w:left="0" w:right="0" w:hanging="0"/>
              <w:jc w:val="left"/>
              <w:rPr/>
            </w:pPr>
            <w:r>
              <w:rPr/>
              <w:t xml:space="preserve">  </w:t>
            </w:r>
          </w:p>
        </w:tc>
        <w:tc>
          <w:tcPr>
            <w:tcW w:w="3429" w:type="dxa"/>
            <w:tcBorders/>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7.1 </w:t>
            </w:r>
          </w:p>
        </w:tc>
        <w:tc>
          <w:tcPr>
            <w:tcW w:w="101" w:type="dxa"/>
            <w:tcBorders/>
            <w:vAlign w:val="center"/>
          </w:tcPr>
          <w:p>
            <w:pPr>
              <w:pStyle w:val="TableContents"/>
              <w:pBdr/>
              <w:bidi w:val="0"/>
              <w:spacing w:before="0" w:after="0"/>
              <w:ind w:left="0" w:right="0" w:hanging="0"/>
              <w:jc w:val="left"/>
              <w:rPr/>
            </w:pPr>
            <w:r>
              <w:rPr/>
              <w:t xml:space="preserve">  </w:t>
            </w:r>
          </w:p>
        </w:tc>
        <w:tc>
          <w:tcPr>
            <w:tcW w:w="101" w:type="dxa"/>
            <w:tcBorders/>
            <w:vAlign w:val="center"/>
          </w:tcPr>
          <w:p>
            <w:pPr>
              <w:pStyle w:val="TableContents"/>
              <w:pBdr/>
              <w:bidi w:val="0"/>
              <w:spacing w:before="0" w:after="0"/>
              <w:ind w:left="0" w:right="0" w:hanging="0"/>
              <w:jc w:val="left"/>
              <w:rPr/>
            </w:pPr>
            <w:r>
              <w:rPr/>
              <w:t xml:space="preserve">  </w:t>
            </w:r>
          </w:p>
        </w:tc>
        <w:tc>
          <w:tcPr>
            <w:tcW w:w="307" w:type="dxa"/>
            <w:tcBorders/>
            <w:vAlign w:val="center"/>
          </w:tcPr>
          <w:p>
            <w:pPr>
              <w:pStyle w:val="TableContents"/>
              <w:pBdr/>
              <w:bidi w:val="0"/>
              <w:spacing w:before="0" w:after="0"/>
              <w:ind w:left="0" w:right="0" w:hanging="0"/>
              <w:jc w:val="left"/>
              <w:rPr/>
            </w:pPr>
            <w:r>
              <w:rPr/>
              <w:t xml:space="preserve">  </w:t>
            </w:r>
          </w:p>
        </w:tc>
        <w:tc>
          <w:tcPr>
            <w:tcW w:w="172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102 </w:t>
            </w:r>
          </w:p>
        </w:tc>
        <w:tc>
          <w:tcPr>
            <w:tcW w:w="122" w:type="dxa"/>
            <w:tcBorders/>
            <w:vAlign w:val="center"/>
          </w:tcPr>
          <w:p>
            <w:pPr>
              <w:pStyle w:val="TableContents"/>
              <w:bidi w:val="0"/>
              <w:spacing w:before="0" w:after="0"/>
              <w:ind w:left="0" w:right="0" w:hanging="0"/>
              <w:jc w:val="left"/>
              <w:rPr/>
            </w:pPr>
            <w:r>
              <w:rPr/>
              <w:t xml:space="preserve">  </w:t>
            </w:r>
          </w:p>
        </w:tc>
      </w:tr>
      <w:tr>
        <w:trPr/>
        <w:tc>
          <w:tcPr>
            <w:tcW w:w="1268"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$12.99 - $225.00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18" w:type="dxa"/>
            <w:tcBorders/>
            <w:shd w:fill="CCEEFF" w:val="clear"/>
            <w:vAlign w:val="center"/>
          </w:tcPr>
          <w:p>
            <w:pPr>
              <w:pStyle w:val="TableContents"/>
              <w:pBdr/>
              <w:bidi w:val="0"/>
              <w:spacing w:before="0" w:after="0"/>
              <w:ind w:left="0" w:right="0" w:hanging="0"/>
              <w:jc w:val="left"/>
              <w:rPr/>
            </w:pPr>
            <w:r>
              <w:rPr/>
              <w:t xml:space="preserve">  </w:t>
            </w:r>
          </w:p>
        </w:tc>
        <w:tc>
          <w:tcPr>
            <w:tcW w:w="178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743" w:type="dxa"/>
            <w:tcBorders/>
            <w:shd w:fill="CCEEFF" w:val="clear"/>
            <w:vAlign w:val="center"/>
          </w:tcPr>
          <w:p>
            <w:pPr>
              <w:pStyle w:val="TableContents"/>
              <w:pBdr/>
              <w:bidi w:val="0"/>
              <w:spacing w:before="0" w:after="0"/>
              <w:ind w:left="0" w:right="0" w:hanging="0"/>
              <w:jc w:val="left"/>
              <w:rPr/>
            </w:pPr>
            <w:r>
              <w:rPr/>
              <w:t xml:space="preserve">  </w:t>
            </w:r>
          </w:p>
        </w:tc>
        <w:tc>
          <w:tcPr>
            <w:tcW w:w="3429"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4.7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07" w:type="dxa"/>
            <w:tcBorders/>
            <w:shd w:fill="CCEEFF" w:val="clear"/>
            <w:vAlign w:val="center"/>
          </w:tcPr>
          <w:p>
            <w:pPr>
              <w:pStyle w:val="TableContents"/>
              <w:pBdr/>
              <w:bidi w:val="0"/>
              <w:spacing w:before="0" w:after="0"/>
              <w:ind w:left="0" w:right="0" w:hanging="0"/>
              <w:jc w:val="left"/>
              <w:rPr/>
            </w:pPr>
            <w:r>
              <w:rPr/>
              <w:t xml:space="preserve">  </w:t>
            </w:r>
          </w:p>
        </w:tc>
        <w:tc>
          <w:tcPr>
            <w:tcW w:w="172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154 </w:t>
            </w:r>
          </w:p>
        </w:tc>
        <w:tc>
          <w:tcPr>
            <w:tcW w:w="12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tLeast" w:line="264"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F-24</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presents a summary of restricted and deferred stock unit (“Unit” or "Units") activity during the year ended December 31, 2024:</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078"/>
        <w:gridCol w:w="142"/>
        <w:gridCol w:w="459"/>
        <w:gridCol w:w="2406"/>
        <w:gridCol w:w="141"/>
        <w:gridCol w:w="142"/>
        <w:gridCol w:w="906"/>
        <w:gridCol w:w="2772"/>
        <w:gridCol w:w="159"/>
      </w:tblGrid>
      <w:tr>
        <w:trPr/>
        <w:tc>
          <w:tcPr>
            <w:tcW w:w="3078"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2865"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Number of Shares (in thousands)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3678"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Weighted Average Grant Date Fair Value </w:t>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Nonvested, January 1, 2024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227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9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7.41 </w:t>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30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142" w:type="dxa"/>
            <w:tcBorders/>
            <w:vAlign w:val="center"/>
          </w:tcPr>
          <w:p>
            <w:pPr>
              <w:pStyle w:val="TableContents"/>
              <w:bidi w:val="0"/>
              <w:spacing w:before="0" w:after="0"/>
              <w:ind w:left="0" w:right="0" w:hanging="0"/>
              <w:jc w:val="left"/>
              <w:rPr/>
            </w:pPr>
            <w:r>
              <w:rPr/>
              <w:t xml:space="preserve">  </w:t>
            </w:r>
          </w:p>
        </w:tc>
        <w:tc>
          <w:tcPr>
            <w:tcW w:w="459" w:type="dxa"/>
            <w:tcBorders/>
            <w:vAlign w:val="center"/>
          </w:tcPr>
          <w:p>
            <w:pPr>
              <w:pStyle w:val="TableContents"/>
              <w:bidi w:val="0"/>
              <w:spacing w:before="0" w:after="0"/>
              <w:ind w:left="0" w:right="0" w:hanging="0"/>
              <w:jc w:val="left"/>
              <w:rPr/>
            </w:pPr>
            <w:r>
              <w:rPr/>
              <w:t xml:space="preserve">  </w:t>
            </w:r>
          </w:p>
        </w:tc>
        <w:tc>
          <w:tcPr>
            <w:tcW w:w="24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309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906" w:type="dxa"/>
            <w:tcBorders/>
            <w:vAlign w:val="center"/>
          </w:tcPr>
          <w:p>
            <w:pPr>
              <w:pStyle w:val="TableContents"/>
              <w:bidi w:val="0"/>
              <w:spacing w:before="0" w:after="0"/>
              <w:ind w:left="0" w:right="0" w:hanging="0"/>
              <w:jc w:val="left"/>
              <w:rPr/>
            </w:pPr>
            <w:r>
              <w:rPr/>
              <w:t xml:space="preserve">  </w:t>
            </w:r>
          </w:p>
        </w:tc>
        <w:tc>
          <w:tcPr>
            <w:tcW w:w="2772" w:type="dxa"/>
            <w:tcBorders/>
            <w:vAlign w:val="center"/>
          </w:tcPr>
          <w:p>
            <w:pPr>
              <w:pStyle w:val="TableContents"/>
              <w:pBdr/>
              <w:bidi w:val="0"/>
              <w:spacing w:before="0" w:after="0"/>
              <w:ind w:left="0" w:right="0" w:hanging="0"/>
              <w:jc w:val="right"/>
              <w:rPr/>
            </w:pPr>
            <w:r>
              <w:rPr/>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Vested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(66</w:t>
            </w:r>
          </w:p>
        </w:tc>
        <w:tc>
          <w:tcPr>
            <w:tcW w:w="141" w:type="dxa"/>
            <w:tcBorders/>
            <w:shd w:fill="CCEEFF" w:val="clear"/>
            <w:vAlign w:val="center"/>
          </w:tcPr>
          <w:p>
            <w:pPr>
              <w:pStyle w:val="TableContents"/>
              <w:bidi w:val="0"/>
              <w:spacing w:before="0" w:after="0"/>
              <w:jc w:val="left"/>
              <w:rPr/>
            </w:pPr>
            <w:r>
              <w:rPr/>
              <w:t>)</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906" w:type="dxa"/>
            <w:tcBorders/>
            <w:shd w:fill="CCEEFF" w:val="clear"/>
            <w:vAlign w:val="center"/>
          </w:tcPr>
          <w:p>
            <w:pPr>
              <w:pStyle w:val="TableContents"/>
              <w:bidi w:val="0"/>
              <w:spacing w:before="0" w:after="0"/>
              <w:ind w:left="0" w:right="0" w:hanging="0"/>
              <w:jc w:val="left"/>
              <w:rPr/>
            </w:pPr>
            <w:r>
              <w:rPr/>
              <w:t xml:space="preserve">  </w:t>
            </w:r>
          </w:p>
        </w:tc>
        <w:tc>
          <w:tcPr>
            <w:tcW w:w="2772" w:type="dxa"/>
            <w:tcBorders/>
            <w:shd w:fill="CCEEFF" w:val="clear"/>
            <w:vAlign w:val="center"/>
          </w:tcPr>
          <w:p>
            <w:pPr>
              <w:pStyle w:val="TableContents"/>
              <w:pBdr/>
              <w:bidi w:val="0"/>
              <w:spacing w:before="0" w:after="0"/>
              <w:ind w:left="0" w:right="0" w:hanging="0"/>
              <w:jc w:val="right"/>
              <w:rPr/>
            </w:pPr>
            <w:r>
              <w:rPr/>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30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Cancelled </w:t>
            </w:r>
          </w:p>
        </w:tc>
        <w:tc>
          <w:tcPr>
            <w:tcW w:w="142" w:type="dxa"/>
            <w:tcBorders/>
            <w:vAlign w:val="center"/>
          </w:tcPr>
          <w:p>
            <w:pPr>
              <w:pStyle w:val="TableContents"/>
              <w:bidi w:val="0"/>
              <w:spacing w:before="0" w:after="0"/>
              <w:ind w:left="0" w:right="0" w:hanging="0"/>
              <w:jc w:val="left"/>
              <w:rPr/>
            </w:pPr>
            <w:r>
              <w:rPr/>
              <w:t xml:space="preserve">  </w:t>
            </w:r>
          </w:p>
        </w:tc>
        <w:tc>
          <w:tcPr>
            <w:tcW w:w="459" w:type="dxa"/>
            <w:tcBorders/>
            <w:vAlign w:val="center"/>
          </w:tcPr>
          <w:p>
            <w:pPr>
              <w:pStyle w:val="TableContents"/>
              <w:bidi w:val="0"/>
              <w:spacing w:before="0" w:after="0"/>
              <w:ind w:left="0" w:right="0" w:hanging="0"/>
              <w:jc w:val="left"/>
              <w:rPr/>
            </w:pPr>
            <w:r>
              <w:rPr/>
              <w:t xml:space="preserve">  </w:t>
            </w:r>
          </w:p>
        </w:tc>
        <w:tc>
          <w:tcPr>
            <w:tcW w:w="24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w:t>
            </w:r>
          </w:p>
        </w:tc>
        <w:tc>
          <w:tcPr>
            <w:tcW w:w="141" w:type="dxa"/>
            <w:tcBorders/>
            <w:vAlign w:val="center"/>
          </w:tcPr>
          <w:p>
            <w:pPr>
              <w:pStyle w:val="TableContents"/>
              <w:bidi w:val="0"/>
              <w:spacing w:before="0" w:after="0"/>
              <w:jc w:val="left"/>
              <w:rPr/>
            </w:pPr>
            <w:r>
              <w:rPr/>
              <w:t>)</w:t>
            </w:r>
          </w:p>
        </w:tc>
        <w:tc>
          <w:tcPr>
            <w:tcW w:w="142" w:type="dxa"/>
            <w:tcBorders/>
            <w:vAlign w:val="center"/>
          </w:tcPr>
          <w:p>
            <w:pPr>
              <w:pStyle w:val="TableContents"/>
              <w:bidi w:val="0"/>
              <w:spacing w:before="0" w:after="0"/>
              <w:ind w:left="0" w:right="0" w:hanging="0"/>
              <w:jc w:val="left"/>
              <w:rPr/>
            </w:pPr>
            <w:r>
              <w:rPr/>
              <w:t xml:space="preserve">  </w:t>
            </w:r>
          </w:p>
        </w:tc>
        <w:tc>
          <w:tcPr>
            <w:tcW w:w="906" w:type="dxa"/>
            <w:tcBorders/>
            <w:vAlign w:val="center"/>
          </w:tcPr>
          <w:p>
            <w:pPr>
              <w:pStyle w:val="TableContents"/>
              <w:bidi w:val="0"/>
              <w:spacing w:before="0" w:after="0"/>
              <w:ind w:left="0" w:right="0" w:hanging="0"/>
              <w:jc w:val="left"/>
              <w:rPr/>
            </w:pPr>
            <w:r>
              <w:rPr/>
              <w:t xml:space="preserve">  </w:t>
            </w:r>
          </w:p>
        </w:tc>
        <w:tc>
          <w:tcPr>
            <w:tcW w:w="2772" w:type="dxa"/>
            <w:tcBorders/>
            <w:vAlign w:val="center"/>
          </w:tcPr>
          <w:p>
            <w:pPr>
              <w:pStyle w:val="TableContents"/>
              <w:pBdr/>
              <w:bidi w:val="0"/>
              <w:spacing w:before="0" w:after="0"/>
              <w:ind w:left="0" w:right="0" w:hanging="0"/>
              <w:jc w:val="right"/>
              <w:rPr/>
            </w:pPr>
            <w:r>
              <w:rPr/>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Nonvested, December 31, 2024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459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9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6.86 </w:t>
            </w:r>
          </w:p>
        </w:tc>
        <w:tc>
          <w:tcPr>
            <w:tcW w:w="159"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 general, Units granted to employees vest over two to four-year periods.</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over a 36-month period.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Valuation Information for Stock-Based Compensation</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 xml:space="preserve">The fair value of each stock option award during the years ended December 31, 2024 and 2023 was estimated on the date of grant using the Black-Scholes model. Effective July 1, 2023, expected volatility was based 100% on the Company's historical common stock volatility. For the period presented below, and prior to July 1, 2023, expected volatility was based on a composite comprising of (i) 50% of the Company's historical common stock volatility and (ii) the remaining 50% was based on historical volatility of its peers. The risk-free interest rate was based on the average U.S. Treasury rate that most closely resembled the expected life of the related award. The expected term of the award was calculated using the simplified method. No dividend was assumed as the Company does not pay regular dividends on its common stock and does not anticipate paying any dividends in the foreseeable future.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The weighted average assumptions used in the Black-Scholes option pricing model in valuing stock options granted in the years ended December 31, 2024 and 2023 are summarized in the table below.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743"/>
        <w:gridCol w:w="244"/>
        <w:gridCol w:w="284"/>
        <w:gridCol w:w="1322"/>
        <w:gridCol w:w="365"/>
        <w:gridCol w:w="244"/>
        <w:gridCol w:w="285"/>
        <w:gridCol w:w="1321"/>
        <w:gridCol w:w="397"/>
      </w:tblGrid>
      <w:tr>
        <w:trPr/>
        <w:tc>
          <w:tcPr>
            <w:tcW w:w="5743" w:type="dxa"/>
            <w:tcBorders/>
            <w:vAlign w:val="center"/>
          </w:tcPr>
          <w:p>
            <w:pPr>
              <w:pStyle w:val="TableContents"/>
              <w:bidi w:val="0"/>
              <w:spacing w:before="0" w:after="0"/>
              <w:ind w:left="0" w:right="0" w:hanging="0"/>
              <w:jc w:val="center"/>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283"/>
              <w:jc w:val="left"/>
              <w:rPr/>
            </w:pPr>
            <w:r>
              <w:rPr/>
            </w:r>
          </w:p>
        </w:tc>
        <w:tc>
          <w:tcPr>
            <w:tcW w:w="1322"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2024 </w:t>
            </w:r>
          </w:p>
        </w:tc>
        <w:tc>
          <w:tcPr>
            <w:tcW w:w="365"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285" w:type="dxa"/>
            <w:tcBorders/>
            <w:vAlign w:val="center"/>
          </w:tcPr>
          <w:p>
            <w:pPr>
              <w:pStyle w:val="TableContents"/>
              <w:bidi w:val="0"/>
              <w:spacing w:before="0" w:after="283"/>
              <w:jc w:val="left"/>
              <w:rPr/>
            </w:pPr>
            <w:r>
              <w:rPr/>
            </w:r>
          </w:p>
        </w:tc>
        <w:tc>
          <w:tcPr>
            <w:tcW w:w="1321"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397" w:type="dxa"/>
            <w:tcBorders/>
            <w:vAlign w:val="center"/>
          </w:tcPr>
          <w:p>
            <w:pPr>
              <w:pStyle w:val="TableContents"/>
              <w:bidi w:val="0"/>
              <w:spacing w:before="0" w:after="0"/>
              <w:ind w:left="0" w:right="0" w:hanging="0"/>
              <w:jc w:val="left"/>
              <w:rPr/>
            </w:pPr>
            <w:r>
              <w:rPr/>
              <w:t xml:space="preserve">  </w:t>
            </w:r>
          </w:p>
        </w:tc>
      </w:tr>
      <w:tr>
        <w:trPr/>
        <w:tc>
          <w:tcPr>
            <w:tcW w:w="57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Fair value at grant date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4.31 </w:t>
            </w:r>
          </w:p>
        </w:tc>
        <w:tc>
          <w:tcPr>
            <w:tcW w:w="365"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5"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3.95 </w:t>
            </w:r>
          </w:p>
        </w:tc>
        <w:tc>
          <w:tcPr>
            <w:tcW w:w="397" w:type="dxa"/>
            <w:tcBorders/>
            <w:shd w:fill="CCEEFF" w:val="clear"/>
            <w:vAlign w:val="center"/>
          </w:tcPr>
          <w:p>
            <w:pPr>
              <w:pStyle w:val="TableContents"/>
              <w:bidi w:val="0"/>
              <w:spacing w:before="0" w:after="0"/>
              <w:ind w:left="0" w:right="0" w:hanging="0"/>
              <w:jc w:val="left"/>
              <w:rPr/>
            </w:pPr>
            <w:r>
              <w:rPr/>
              <w:t xml:space="preserve">  </w:t>
            </w:r>
          </w:p>
        </w:tc>
      </w:tr>
      <w:tr>
        <w:trPr/>
        <w:tc>
          <w:tcPr>
            <w:tcW w:w="57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Expected volatility </w:t>
            </w:r>
          </w:p>
        </w:tc>
        <w:tc>
          <w:tcPr>
            <w:tcW w:w="244"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283"/>
              <w:ind w:left="0" w:right="0" w:hanging="0"/>
              <w:jc w:val="left"/>
              <w:rPr/>
            </w:pPr>
            <w:r>
              <w:rPr/>
            </w:r>
          </w:p>
        </w:tc>
        <w:tc>
          <w:tcPr>
            <w:tcW w:w="132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101.9%</w:t>
            </w:r>
          </w:p>
        </w:tc>
        <w:tc>
          <w:tcPr>
            <w:tcW w:w="365" w:type="dxa"/>
            <w:tcBorders/>
            <w:vAlign w:val="center"/>
          </w:tcPr>
          <w:p>
            <w:pPr>
              <w:pStyle w:val="TableContents"/>
              <w:bidi w:val="0"/>
              <w:spacing w:before="0" w:after="0"/>
              <w:ind w:left="0" w:right="0" w:hanging="0"/>
              <w:jc w:val="left"/>
              <w:rPr/>
            </w:pPr>
            <w:r>
              <w:rPr/>
            </w:r>
          </w:p>
        </w:tc>
        <w:tc>
          <w:tcPr>
            <w:tcW w:w="244" w:type="dxa"/>
            <w:tcBorders/>
            <w:vAlign w:val="center"/>
          </w:tcPr>
          <w:p>
            <w:pPr>
              <w:pStyle w:val="TableContents"/>
              <w:bidi w:val="0"/>
              <w:spacing w:before="0" w:after="0"/>
              <w:ind w:left="0" w:right="0" w:hanging="0"/>
              <w:jc w:val="left"/>
              <w:rPr/>
            </w:pPr>
            <w:r>
              <w:rPr/>
              <w:t xml:space="preserve">  </w:t>
            </w:r>
          </w:p>
        </w:tc>
        <w:tc>
          <w:tcPr>
            <w:tcW w:w="285" w:type="dxa"/>
            <w:tcBorders/>
            <w:vAlign w:val="center"/>
          </w:tcPr>
          <w:p>
            <w:pPr>
              <w:pStyle w:val="TableContents"/>
              <w:bidi w:val="0"/>
              <w:spacing w:before="0" w:after="283"/>
              <w:jc w:val="left"/>
              <w:rPr/>
            </w:pPr>
            <w:r>
              <w:rPr/>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122.4%</w:t>
            </w:r>
          </w:p>
        </w:tc>
        <w:tc>
          <w:tcPr>
            <w:tcW w:w="397" w:type="dxa"/>
            <w:tcBorders/>
            <w:vAlign w:val="center"/>
          </w:tcPr>
          <w:p>
            <w:pPr>
              <w:pStyle w:val="TableContents"/>
              <w:bidi w:val="0"/>
              <w:spacing w:before="0" w:after="0"/>
              <w:ind w:left="0" w:right="0" w:hanging="0"/>
              <w:jc w:val="left"/>
              <w:rPr/>
            </w:pPr>
            <w:r>
              <w:rPr/>
              <w:t xml:space="preserve">   </w:t>
            </w:r>
          </w:p>
        </w:tc>
      </w:tr>
      <w:tr>
        <w:trPr/>
        <w:tc>
          <w:tcPr>
            <w:tcW w:w="57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Risk-free interest rate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283"/>
              <w:jc w:val="left"/>
              <w:rPr/>
            </w:pPr>
            <w:r>
              <w:rPr/>
            </w:r>
          </w:p>
        </w:tc>
        <w:tc>
          <w:tcPr>
            <w:tcW w:w="132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w:t>
            </w:r>
          </w:p>
        </w:tc>
        <w:tc>
          <w:tcPr>
            <w:tcW w:w="365"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5" w:type="dxa"/>
            <w:tcBorders/>
            <w:shd w:fill="CCEEFF" w:val="clear"/>
            <w:vAlign w:val="center"/>
          </w:tcPr>
          <w:p>
            <w:pPr>
              <w:pStyle w:val="TableContents"/>
              <w:bidi w:val="0"/>
              <w:spacing w:before="0" w:after="283"/>
              <w:jc w:val="left"/>
              <w:rPr/>
            </w:pPr>
            <w:r>
              <w:rPr/>
            </w:r>
          </w:p>
        </w:tc>
        <w:tc>
          <w:tcPr>
            <w:tcW w:w="132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w:t>
            </w:r>
          </w:p>
        </w:tc>
        <w:tc>
          <w:tcPr>
            <w:tcW w:w="397" w:type="dxa"/>
            <w:tcBorders/>
            <w:shd w:fill="CCEEFF" w:val="clear"/>
            <w:vAlign w:val="center"/>
          </w:tcPr>
          <w:p>
            <w:pPr>
              <w:pStyle w:val="TableContents"/>
              <w:bidi w:val="0"/>
              <w:spacing w:before="0" w:after="0"/>
              <w:ind w:left="0" w:right="0" w:hanging="0"/>
              <w:jc w:val="left"/>
              <w:rPr/>
            </w:pPr>
            <w:r>
              <w:rPr/>
            </w:r>
          </w:p>
        </w:tc>
      </w:tr>
      <w:tr>
        <w:trPr/>
        <w:tc>
          <w:tcPr>
            <w:tcW w:w="57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Expected holding period, in years </w:t>
            </w:r>
          </w:p>
        </w:tc>
        <w:tc>
          <w:tcPr>
            <w:tcW w:w="244"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283"/>
              <w:jc w:val="left"/>
              <w:rPr/>
            </w:pPr>
            <w:r>
              <w:rPr/>
            </w:r>
          </w:p>
        </w:tc>
        <w:tc>
          <w:tcPr>
            <w:tcW w:w="132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4.0 </w:t>
            </w:r>
          </w:p>
        </w:tc>
        <w:tc>
          <w:tcPr>
            <w:tcW w:w="365"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285" w:type="dxa"/>
            <w:tcBorders/>
            <w:vAlign w:val="center"/>
          </w:tcPr>
          <w:p>
            <w:pPr>
              <w:pStyle w:val="TableContents"/>
              <w:bidi w:val="0"/>
              <w:spacing w:before="0" w:after="283"/>
              <w:jc w:val="left"/>
              <w:rPr/>
            </w:pPr>
            <w:r>
              <w:rPr/>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5.8 </w:t>
            </w:r>
          </w:p>
        </w:tc>
        <w:tc>
          <w:tcPr>
            <w:tcW w:w="397" w:type="dxa"/>
            <w:tcBorders/>
            <w:vAlign w:val="center"/>
          </w:tcPr>
          <w:p>
            <w:pPr>
              <w:pStyle w:val="TableContents"/>
              <w:bidi w:val="0"/>
              <w:spacing w:before="0" w:after="0"/>
              <w:ind w:left="0" w:right="0" w:hanging="0"/>
              <w:jc w:val="left"/>
              <w:rPr/>
            </w:pPr>
            <w:r>
              <w:rPr/>
              <w:t xml:space="preserve">  </w:t>
            </w:r>
          </w:p>
        </w:tc>
      </w:tr>
      <w:tr>
        <w:trPr/>
        <w:tc>
          <w:tcPr>
            <w:tcW w:w="57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 yield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283"/>
              <w:jc w:val="left"/>
              <w:rPr/>
            </w:pPr>
            <w:r>
              <w:rPr/>
            </w:r>
          </w:p>
        </w:tc>
        <w:tc>
          <w:tcPr>
            <w:tcW w:w="1322" w:type="dxa"/>
            <w:tcBorders/>
            <w:shd w:fill="CCEEFF" w:val="clear"/>
            <w:vAlign w:val="center"/>
          </w:tcPr>
          <w:p>
            <w:pPr>
              <w:pStyle w:val="TableContents"/>
              <w:bidi w:val="0"/>
              <w:spacing w:before="0" w:after="0"/>
              <w:ind w:left="0" w:right="0" w:hanging="0"/>
              <w:jc w:val="center"/>
              <w:rPr/>
            </w:pPr>
            <w:r>
              <w:rPr/>
              <w:t>—</w:t>
            </w:r>
          </w:p>
        </w:tc>
        <w:tc>
          <w:tcPr>
            <w:tcW w:w="365"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85" w:type="dxa"/>
            <w:tcBorders/>
            <w:shd w:fill="CCEEFF" w:val="clear"/>
            <w:vAlign w:val="center"/>
          </w:tcPr>
          <w:p>
            <w:pPr>
              <w:pStyle w:val="TableContents"/>
              <w:bidi w:val="0"/>
              <w:spacing w:before="0" w:after="283"/>
              <w:jc w:val="left"/>
              <w:rPr/>
            </w:pPr>
            <w:r>
              <w:rPr/>
            </w:r>
          </w:p>
        </w:tc>
        <w:tc>
          <w:tcPr>
            <w:tcW w:w="1321" w:type="dxa"/>
            <w:tcBorders/>
            <w:shd w:fill="CCEEFF" w:val="clear"/>
            <w:vAlign w:val="center"/>
          </w:tcPr>
          <w:p>
            <w:pPr>
              <w:pStyle w:val="TableContents"/>
              <w:bidi w:val="0"/>
              <w:spacing w:before="0" w:after="0"/>
              <w:ind w:left="0" w:right="0" w:hanging="0"/>
              <w:jc w:val="center"/>
              <w:rPr/>
            </w:pPr>
            <w:r>
              <w:rPr/>
              <w:t>—</w:t>
            </w:r>
          </w:p>
        </w:tc>
        <w:tc>
          <w:tcPr>
            <w:tcW w:w="397"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fair value of each Stock Unit is the market close price of the Company’s common stock on the trading day immediately preceding the date of grant.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F-25</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 w:hAnsi="times new roman;times"/>
          <w:b/>
          <w:sz w:val="20"/>
        </w:rPr>
      </w:pPr>
      <w:r>
        <w:rPr>
          <w:rFonts w:ascii="times new roman;times" w:hAnsi="times new roman;times"/>
          <w:b/>
          <w:sz w:val="20"/>
        </w:rPr>
        <w:t xml:space="preserve">Note 14. Segment Reporting </w:t>
      </w:r>
    </w:p>
    <w:p>
      <w:pPr>
        <w:pStyle w:val="TextBody"/>
        <w:bidi w:val="0"/>
        <w:jc w:val="left"/>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left"/>
        <w:rPr>
          <w:rFonts w:ascii="Times New Roman;serif" w:hAnsi="Times New Roman;serif"/>
          <w:sz w:val="24"/>
        </w:rPr>
      </w:pPr>
      <w:r>
        <w:rPr>
          <w:rFonts w:ascii="Times New Roman;serif" w:hAnsi="Times New Roman;serif"/>
          <w:sz w:val="20"/>
        </w:rPr>
        <w:t>Operating segments are defined as components of an enterprise about which separate discrete information is available for evaluation by the chief operating decision-maker (CODM), or decision-making group, in deciding how to allocate resources and in assessing performance. electroCore is a bioelectronic medicine and general wellness company dedicated to improving health and quality of life through its proprietary non-invasive vagus nerve stimulation (“nVNS”) technology platform and related product offerings. The Company views its operations and manages its business as one</w:t>
      </w:r>
      <w:r>
        <w:rPr>
          <w:rFonts w:ascii="Times New Roman;serif" w:hAnsi="Times New Roman;serif"/>
          <w:sz w:val="24"/>
        </w:rPr>
        <w:t xml:space="preserve"> </w:t>
      </w:r>
      <w:r>
        <w:rPr>
          <w:rFonts w:ascii="Times New Roman;serif" w:hAnsi="Times New Roman;serif"/>
          <w:sz w:val="20"/>
        </w:rPr>
        <w:t xml:space="preserve">operating segment: Medical Devices. The accounting policies of the Medical Devices segment are the same as those described in Note 2. Summary of Significant Accounting Policies. </w:t>
      </w:r>
    </w:p>
    <w:p>
      <w:pPr>
        <w:pStyle w:val="TextBody"/>
        <w:bidi w:val="0"/>
        <w:spacing w:lineRule="atLeast" w:line="240"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Our CODM is our President and Chief Executive Officer. The CODM uses loss from operations, as reported on our Consolidated Statements of Operations, in evaluating the performance of the Medical Devices segment and in determining how to allocate resources to the Company as a whole, The CODM does not review assets in evaluating the results of the Medical Devices segment, and therefore, such information is not presented below.</w:t>
      </w:r>
    </w:p>
    <w:p>
      <w:pPr>
        <w:pStyle w:val="TextBody"/>
        <w:bidi w:val="0"/>
        <w:spacing w:lineRule="auto" w:line="288" w:before="0" w:after="0"/>
        <w:ind w:left="0" w:right="0" w:hanging="0"/>
        <w:jc w:val="left"/>
        <w:rPr>
          <w:sz w:val="20"/>
        </w:rPr>
      </w:pPr>
      <w:r>
        <w:rPr>
          <w:sz w:val="20"/>
        </w:rPr>
      </w:r>
    </w:p>
    <w:p>
      <w:pPr>
        <w:pStyle w:val="TextBody"/>
        <w:bidi w:val="0"/>
        <w:spacing w:before="0" w:after="0"/>
        <w:ind w:left="0" w:right="0" w:hanging="0"/>
        <w:jc w:val="left"/>
        <w:rPr>
          <w:rFonts w:ascii="Times New Roman;serif" w:hAnsi="Times New Roman;serif"/>
          <w:sz w:val="20"/>
        </w:rPr>
      </w:pPr>
      <w:r>
        <w:rPr>
          <w:rFonts w:ascii="Times New Roman;serif" w:hAnsi="Times New Roman;serif"/>
          <w:sz w:val="20"/>
        </w:rPr>
        <w:t>The following table provides the operating financial results of the Medical Devices segment:</w:t>
      </w:r>
    </w:p>
    <w:p>
      <w:pPr>
        <w:pStyle w:val="TextBody"/>
        <w:bidi w:val="0"/>
        <w:spacing w:before="0" w:after="0"/>
        <w:jc w:val="left"/>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4842"/>
        <w:gridCol w:w="51"/>
        <w:gridCol w:w="456"/>
        <w:gridCol w:w="1864"/>
        <w:gridCol w:w="336"/>
        <w:gridCol w:w="61"/>
        <w:gridCol w:w="456"/>
        <w:gridCol w:w="1865"/>
        <w:gridCol w:w="274"/>
      </w:tblGrid>
      <w:tr>
        <w:trPr/>
        <w:tc>
          <w:tcPr>
            <w:tcW w:w="4842" w:type="dxa"/>
            <w:tcBorders/>
            <w:shd w:fill="FFFFFF" w:val="clear"/>
            <w:vAlign w:val="bottom"/>
          </w:tcPr>
          <w:p>
            <w:pPr>
              <w:pStyle w:val="TableContents"/>
              <w:bidi w:val="0"/>
              <w:spacing w:before="0" w:after="0"/>
              <w:ind w:left="0" w:right="0" w:hanging="0"/>
              <w:jc w:val="center"/>
              <w:rPr/>
            </w:pPr>
            <w:r>
              <w:rPr/>
            </w:r>
          </w:p>
        </w:tc>
        <w:tc>
          <w:tcPr>
            <w:tcW w:w="51" w:type="dxa"/>
            <w:tcBorders/>
            <w:shd w:fill="FFFFFF" w:val="clear"/>
            <w:vAlign w:val="bottom"/>
          </w:tcPr>
          <w:p>
            <w:pPr>
              <w:pStyle w:val="TableContents"/>
              <w:bidi w:val="0"/>
              <w:spacing w:before="0" w:after="0"/>
              <w:ind w:left="0" w:right="0" w:hanging="0"/>
              <w:jc w:val="left"/>
              <w:rPr/>
            </w:pPr>
            <w:r>
              <w:rPr/>
            </w:r>
          </w:p>
        </w:tc>
        <w:tc>
          <w:tcPr>
            <w:tcW w:w="5038" w:type="dxa"/>
            <w:gridSpan w:val="6"/>
            <w:tcBorders>
              <w:bottom w:val="single" w:sz="8" w:space="0" w:color="000000"/>
            </w:tcBorders>
            <w:shd w:fill="FFFFFF" w:val="clear"/>
            <w:tcMar>
              <w:bottom w:w="28" w:type="dxa"/>
            </w:tcMar>
            <w:vAlign w:val="bottom"/>
          </w:tcPr>
          <w:p>
            <w:pPr>
              <w:pStyle w:val="TableContents"/>
              <w:bidi w:val="0"/>
              <w:spacing w:before="0" w:after="0"/>
              <w:ind w:left="0" w:right="0" w:hanging="0"/>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274" w:type="dxa"/>
            <w:tcBorders/>
            <w:shd w:fill="FFFFFF" w:val="clear"/>
            <w:vAlign w:val="bottom"/>
          </w:tcPr>
          <w:p>
            <w:pPr>
              <w:pStyle w:val="TableContents"/>
              <w:bidi w:val="0"/>
              <w:spacing w:before="0" w:after="0"/>
              <w:ind w:left="0" w:right="0" w:hanging="0"/>
              <w:jc w:val="left"/>
              <w:rPr/>
            </w:pPr>
            <w:r>
              <w:rPr/>
            </w:r>
          </w:p>
        </w:tc>
      </w:tr>
      <w:tr>
        <w:trPr/>
        <w:tc>
          <w:tcPr>
            <w:tcW w:w="4842" w:type="dxa"/>
            <w:tcBorders/>
            <w:shd w:fill="FFFFFF" w:val="clear"/>
            <w:vAlign w:val="bottom"/>
          </w:tcPr>
          <w:p>
            <w:pPr>
              <w:pStyle w:val="TableContents"/>
              <w:bidi w:val="0"/>
              <w:spacing w:before="0" w:after="0"/>
              <w:ind w:left="0" w:right="0" w:hanging="0"/>
              <w:jc w:val="center"/>
              <w:rPr/>
            </w:pPr>
            <w:r>
              <w:rPr/>
            </w:r>
          </w:p>
        </w:tc>
        <w:tc>
          <w:tcPr>
            <w:tcW w:w="51" w:type="dxa"/>
            <w:tcBorders/>
            <w:shd w:fill="FFFFFF" w:val="clear"/>
            <w:vAlign w:val="bottom"/>
          </w:tcPr>
          <w:p>
            <w:pPr>
              <w:pStyle w:val="TableContents"/>
              <w:bidi w:val="0"/>
              <w:spacing w:before="0" w:after="0"/>
              <w:ind w:left="0" w:right="0" w:hanging="0"/>
              <w:jc w:val="left"/>
              <w:rPr/>
            </w:pPr>
            <w:r>
              <w:rPr/>
            </w:r>
          </w:p>
        </w:tc>
        <w:tc>
          <w:tcPr>
            <w:tcW w:w="2320" w:type="dxa"/>
            <w:gridSpan w:val="2"/>
            <w:tcBorders>
              <w:bottom w:val="single" w:sz="8" w:space="0" w:color="000000"/>
            </w:tcBorders>
            <w:shd w:fill="FFFFFF" w:val="clear"/>
            <w:tcMar>
              <w:bottom w:w="28" w:type="dxa"/>
            </w:tcMar>
            <w:vAlign w:val="bottom"/>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b/>
                <w:color w:val="000000"/>
                <w:sz w:val="20"/>
              </w:rPr>
              <w:t>2024</w:t>
            </w:r>
            <w:r>
              <w:rPr>
                <w:rFonts w:ascii="Times New Roman;serif" w:hAnsi="Times New Roman;serif"/>
                <w:sz w:val="20"/>
              </w:rPr>
              <w:t xml:space="preserve"> </w:t>
            </w:r>
          </w:p>
        </w:tc>
        <w:tc>
          <w:tcPr>
            <w:tcW w:w="336" w:type="dxa"/>
            <w:tcBorders/>
            <w:shd w:fill="FFFFFF" w:val="clear"/>
            <w:vAlign w:val="bottom"/>
          </w:tcPr>
          <w:p>
            <w:pPr>
              <w:pStyle w:val="TableContents"/>
              <w:bidi w:val="0"/>
              <w:spacing w:before="0" w:after="0"/>
              <w:ind w:left="0" w:right="0" w:hanging="0"/>
              <w:jc w:val="left"/>
              <w:rPr/>
            </w:pPr>
            <w:r>
              <w:rPr/>
            </w:r>
          </w:p>
        </w:tc>
        <w:tc>
          <w:tcPr>
            <w:tcW w:w="61" w:type="dxa"/>
            <w:tcBorders>
              <w:top w:val="single" w:sz="8" w:space="0" w:color="000000"/>
            </w:tcBorders>
            <w:shd w:fill="FFFFFF" w:val="clear"/>
            <w:tcMar>
              <w:top w:w="28" w:type="dxa"/>
            </w:tcMar>
            <w:vAlign w:val="bottom"/>
          </w:tcPr>
          <w:p>
            <w:pPr>
              <w:pStyle w:val="TableContents"/>
              <w:bidi w:val="0"/>
              <w:spacing w:before="0" w:after="0"/>
              <w:ind w:left="0" w:right="0" w:hanging="0"/>
              <w:jc w:val="left"/>
              <w:rPr/>
            </w:pPr>
            <w:r>
              <w:rPr/>
            </w:r>
          </w:p>
        </w:tc>
        <w:tc>
          <w:tcPr>
            <w:tcW w:w="2321" w:type="dxa"/>
            <w:gridSpan w:val="2"/>
            <w:tcBorders>
              <w:top w:val="single" w:sz="8" w:space="0" w:color="000000"/>
              <w:bottom w:val="single" w:sz="8" w:space="0" w:color="000000"/>
            </w:tcBorders>
            <w:shd w:fill="FFFFFF" w:val="clear"/>
            <w:tcMar>
              <w:top w:w="28" w:type="dxa"/>
              <w:bottom w:w="28" w:type="dxa"/>
            </w:tcMar>
            <w:vAlign w:val="bottom"/>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b/>
                <w:color w:val="000000"/>
                <w:sz w:val="20"/>
              </w:rPr>
              <w:t>2023</w:t>
            </w:r>
            <w:r>
              <w:rPr>
                <w:rFonts w:ascii="Times New Roman;serif" w:hAnsi="Times New Roman;serif"/>
                <w:sz w:val="20"/>
              </w:rPr>
              <w:t xml:space="preserve"> </w:t>
            </w:r>
          </w:p>
        </w:tc>
        <w:tc>
          <w:tcPr>
            <w:tcW w:w="274" w:type="dxa"/>
            <w:tcBorders/>
            <w:shd w:fill="FFFFFF" w:val="clear"/>
            <w:vAlign w:val="bottom"/>
          </w:tcPr>
          <w:p>
            <w:pPr>
              <w:pStyle w:val="TableContents"/>
              <w:bidi w:val="0"/>
              <w:spacing w:before="0" w:after="0"/>
              <w:ind w:left="0" w:right="0" w:hanging="0"/>
              <w:jc w:val="left"/>
              <w:rPr/>
            </w:pPr>
            <w:r>
              <w:rPr/>
            </w:r>
          </w:p>
        </w:tc>
      </w:tr>
      <w:tr>
        <w:trPr/>
        <w:tc>
          <w:tcPr>
            <w:tcW w:w="4842" w:type="dxa"/>
            <w:tcBorders/>
            <w:shd w:fill="CCEEFF" w:val="clear"/>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Net sales* </w:t>
            </w:r>
          </w:p>
        </w:tc>
        <w:tc>
          <w:tcPr>
            <w:tcW w:w="5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 </w:t>
            </w:r>
          </w:p>
        </w:tc>
        <w:tc>
          <w:tcPr>
            <w:tcW w:w="1864"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25,182 </w:t>
            </w:r>
          </w:p>
        </w:tc>
        <w:tc>
          <w:tcPr>
            <w:tcW w:w="336" w:type="dxa"/>
            <w:tcBorders/>
            <w:shd w:fill="CCEEFF" w:val="clear"/>
            <w:vAlign w:val="bottom"/>
          </w:tcPr>
          <w:p>
            <w:pPr>
              <w:pStyle w:val="TableContents"/>
              <w:bidi w:val="0"/>
              <w:spacing w:before="0" w:after="0"/>
              <w:ind w:left="0" w:right="0" w:hanging="0"/>
              <w:jc w:val="left"/>
              <w:rPr/>
            </w:pPr>
            <w:r>
              <w:rPr/>
            </w:r>
          </w:p>
        </w:tc>
        <w:tc>
          <w:tcPr>
            <w:tcW w:w="6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 </w:t>
            </w:r>
          </w:p>
        </w:tc>
        <w:tc>
          <w:tcPr>
            <w:tcW w:w="1865"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16,030 </w:t>
            </w:r>
          </w:p>
        </w:tc>
        <w:tc>
          <w:tcPr>
            <w:tcW w:w="274" w:type="dxa"/>
            <w:tcBorders/>
            <w:shd w:fill="CCEEFF" w:val="clear"/>
            <w:vAlign w:val="bottom"/>
          </w:tcPr>
          <w:p>
            <w:pPr>
              <w:pStyle w:val="TableContents"/>
              <w:bidi w:val="0"/>
              <w:spacing w:before="0" w:after="0"/>
              <w:ind w:left="0" w:right="0" w:hanging="0"/>
              <w:jc w:val="left"/>
              <w:rPr/>
            </w:pPr>
            <w:r>
              <w:rPr/>
            </w:r>
          </w:p>
        </w:tc>
      </w:tr>
      <w:tr>
        <w:trPr/>
        <w:tc>
          <w:tcPr>
            <w:tcW w:w="4842" w:type="dxa"/>
            <w:tcBorders/>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Cost of goods sold </w:t>
            </w:r>
          </w:p>
        </w:tc>
        <w:tc>
          <w:tcPr>
            <w:tcW w:w="51" w:type="dxa"/>
            <w:tcBorders/>
            <w:vAlign w:val="bottom"/>
          </w:tcPr>
          <w:p>
            <w:pPr>
              <w:pStyle w:val="TableContents"/>
              <w:bidi w:val="0"/>
              <w:spacing w:before="0" w:after="0"/>
              <w:ind w:left="0" w:right="0" w:hanging="0"/>
              <w:jc w:val="left"/>
              <w:rPr/>
            </w:pPr>
            <w:r>
              <w:rPr/>
            </w:r>
          </w:p>
        </w:tc>
        <w:tc>
          <w:tcPr>
            <w:tcW w:w="456" w:type="dxa"/>
            <w:tcBorders>
              <w:bottom w:val="single" w:sz="8" w:space="0" w:color="000000"/>
            </w:tcBorders>
            <w:tcMar>
              <w:bottom w:w="28" w:type="dxa"/>
            </w:tcMar>
            <w:vAlign w:val="bottom"/>
          </w:tcPr>
          <w:p>
            <w:pPr>
              <w:pStyle w:val="TableContents"/>
              <w:bidi w:val="0"/>
              <w:spacing w:before="0" w:after="0"/>
              <w:ind w:left="0" w:right="0" w:hanging="0"/>
              <w:jc w:val="left"/>
              <w:rPr/>
            </w:pPr>
            <w:r>
              <w:rPr/>
            </w:r>
          </w:p>
        </w:tc>
        <w:tc>
          <w:tcPr>
            <w:tcW w:w="1864" w:type="dxa"/>
            <w:tcBorders>
              <w:bottom w:val="single" w:sz="8" w:space="0" w:color="000000"/>
            </w:tcBorders>
            <w:tcMar>
              <w:bottom w:w="28" w:type="dxa"/>
            </w:tcM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3,785 </w:t>
            </w:r>
          </w:p>
        </w:tc>
        <w:tc>
          <w:tcPr>
            <w:tcW w:w="336" w:type="dxa"/>
            <w:tcBorders/>
            <w:vAlign w:val="bottom"/>
          </w:tcPr>
          <w:p>
            <w:pPr>
              <w:pStyle w:val="TableContents"/>
              <w:bidi w:val="0"/>
              <w:spacing w:before="0" w:after="0"/>
              <w:ind w:left="0" w:right="0" w:hanging="0"/>
              <w:jc w:val="left"/>
              <w:rPr/>
            </w:pPr>
            <w:r>
              <w:rPr/>
            </w:r>
          </w:p>
        </w:tc>
        <w:tc>
          <w:tcPr>
            <w:tcW w:w="61" w:type="dxa"/>
            <w:tcBorders/>
            <w:vAlign w:val="bottom"/>
          </w:tcPr>
          <w:p>
            <w:pPr>
              <w:pStyle w:val="TableContents"/>
              <w:bidi w:val="0"/>
              <w:spacing w:before="0" w:after="0"/>
              <w:ind w:left="0" w:right="0" w:hanging="0"/>
              <w:jc w:val="left"/>
              <w:rPr/>
            </w:pPr>
            <w:r>
              <w:rPr/>
            </w:r>
          </w:p>
        </w:tc>
        <w:tc>
          <w:tcPr>
            <w:tcW w:w="456" w:type="dxa"/>
            <w:tcBorders>
              <w:bottom w:val="single" w:sz="8" w:space="0" w:color="000000"/>
            </w:tcBorders>
            <w:tcMar>
              <w:bottom w:w="28" w:type="dxa"/>
            </w:tcMar>
            <w:vAlign w:val="bottom"/>
          </w:tcPr>
          <w:p>
            <w:pPr>
              <w:pStyle w:val="TableContents"/>
              <w:bidi w:val="0"/>
              <w:spacing w:before="0" w:after="0"/>
              <w:ind w:left="0" w:right="0" w:hanging="0"/>
              <w:jc w:val="left"/>
              <w:rPr/>
            </w:pPr>
            <w:r>
              <w:rPr/>
            </w:r>
          </w:p>
        </w:tc>
        <w:tc>
          <w:tcPr>
            <w:tcW w:w="1865" w:type="dxa"/>
            <w:tcBorders>
              <w:bottom w:val="single" w:sz="8" w:space="0" w:color="000000"/>
            </w:tcBorders>
            <w:tcMar>
              <w:bottom w:w="28" w:type="dxa"/>
            </w:tcM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2,804 </w:t>
            </w:r>
          </w:p>
        </w:tc>
        <w:tc>
          <w:tcPr>
            <w:tcW w:w="274" w:type="dxa"/>
            <w:tcBorders/>
            <w:vAlign w:val="bottom"/>
          </w:tcPr>
          <w:p>
            <w:pPr>
              <w:pStyle w:val="TableContents"/>
              <w:bidi w:val="0"/>
              <w:spacing w:before="0" w:after="0"/>
              <w:ind w:left="0" w:right="0" w:hanging="0"/>
              <w:jc w:val="left"/>
              <w:rPr/>
            </w:pPr>
            <w:r>
              <w:rPr/>
            </w:r>
          </w:p>
        </w:tc>
      </w:tr>
      <w:tr>
        <w:trPr/>
        <w:tc>
          <w:tcPr>
            <w:tcW w:w="4842" w:type="dxa"/>
            <w:tcBorders/>
            <w:shd w:fill="CCEEFF" w:val="clear"/>
            <w:vAlign w:val="bottom"/>
          </w:tcPr>
          <w:p>
            <w:pPr>
              <w:pStyle w:val="TableContents"/>
              <w:pBdr/>
              <w:bidi w:val="0"/>
              <w:spacing w:before="0" w:after="0"/>
              <w:ind w:left="0" w:right="0" w:hanging="0"/>
              <w:jc w:val="left"/>
              <w:rPr>
                <w:rFonts w:ascii="Times New Roman;serif" w:hAnsi="Times New Roman;serif"/>
                <w:sz w:val="20"/>
              </w:rPr>
            </w:pPr>
            <w:r>
              <w:rPr>
                <w:rFonts w:ascii="Times New Roman;serif" w:hAnsi="Times New Roman;serif"/>
                <w:sz w:val="20"/>
              </w:rPr>
              <w:t xml:space="preserve">Gross profit </w:t>
            </w:r>
          </w:p>
        </w:tc>
        <w:tc>
          <w:tcPr>
            <w:tcW w:w="5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4"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21,397 </w:t>
            </w:r>
          </w:p>
        </w:tc>
        <w:tc>
          <w:tcPr>
            <w:tcW w:w="336" w:type="dxa"/>
            <w:tcBorders/>
            <w:shd w:fill="CCEEFF" w:val="clear"/>
            <w:vAlign w:val="bottom"/>
          </w:tcPr>
          <w:p>
            <w:pPr>
              <w:pStyle w:val="TableContents"/>
              <w:bidi w:val="0"/>
              <w:spacing w:before="0" w:after="0"/>
              <w:ind w:left="0" w:right="0" w:hanging="0"/>
              <w:jc w:val="left"/>
              <w:rPr/>
            </w:pPr>
            <w:r>
              <w:rPr/>
            </w:r>
          </w:p>
        </w:tc>
        <w:tc>
          <w:tcPr>
            <w:tcW w:w="6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5"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13,226 </w:t>
            </w:r>
          </w:p>
        </w:tc>
        <w:tc>
          <w:tcPr>
            <w:tcW w:w="274" w:type="dxa"/>
            <w:tcBorders/>
            <w:shd w:fill="CCEEFF" w:val="clear"/>
            <w:vAlign w:val="bottom"/>
          </w:tcPr>
          <w:p>
            <w:pPr>
              <w:pStyle w:val="TableContents"/>
              <w:bidi w:val="0"/>
              <w:spacing w:before="0" w:after="0"/>
              <w:ind w:left="0" w:right="0" w:hanging="0"/>
              <w:jc w:val="left"/>
              <w:rPr/>
            </w:pPr>
            <w:r>
              <w:rPr/>
            </w:r>
          </w:p>
        </w:tc>
      </w:tr>
      <w:tr>
        <w:trPr/>
        <w:tc>
          <w:tcPr>
            <w:tcW w:w="4842" w:type="dxa"/>
            <w:tcBorders/>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Operating expenses: </w:t>
            </w:r>
          </w:p>
        </w:tc>
        <w:tc>
          <w:tcPr>
            <w:tcW w:w="5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4" w:type="dxa"/>
            <w:tcBorders/>
            <w:vAlign w:val="bottom"/>
          </w:tcPr>
          <w:p>
            <w:pPr>
              <w:pStyle w:val="TableContents"/>
              <w:bidi w:val="0"/>
              <w:spacing w:before="0" w:after="0"/>
              <w:ind w:left="0" w:right="0" w:hanging="0"/>
              <w:jc w:val="right"/>
              <w:rPr/>
            </w:pPr>
            <w:r>
              <w:rPr/>
            </w:r>
          </w:p>
        </w:tc>
        <w:tc>
          <w:tcPr>
            <w:tcW w:w="336" w:type="dxa"/>
            <w:tcBorders/>
            <w:vAlign w:val="bottom"/>
          </w:tcPr>
          <w:p>
            <w:pPr>
              <w:pStyle w:val="TableContents"/>
              <w:bidi w:val="0"/>
              <w:spacing w:before="0" w:after="0"/>
              <w:ind w:left="0" w:right="0" w:hanging="0"/>
              <w:jc w:val="left"/>
              <w:rPr/>
            </w:pPr>
            <w:r>
              <w:rPr/>
            </w:r>
          </w:p>
        </w:tc>
        <w:tc>
          <w:tcPr>
            <w:tcW w:w="6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5" w:type="dxa"/>
            <w:tcBorders/>
            <w:vAlign w:val="bottom"/>
          </w:tcPr>
          <w:p>
            <w:pPr>
              <w:pStyle w:val="TableContents"/>
              <w:bidi w:val="0"/>
              <w:spacing w:before="0" w:after="0"/>
              <w:ind w:left="0" w:right="0" w:hanging="0"/>
              <w:jc w:val="right"/>
              <w:rPr/>
            </w:pPr>
            <w:r>
              <w:rPr/>
            </w:r>
          </w:p>
        </w:tc>
        <w:tc>
          <w:tcPr>
            <w:tcW w:w="274" w:type="dxa"/>
            <w:tcBorders/>
            <w:vAlign w:val="bottom"/>
          </w:tcPr>
          <w:p>
            <w:pPr>
              <w:pStyle w:val="TableContents"/>
              <w:bidi w:val="0"/>
              <w:spacing w:before="0" w:after="0"/>
              <w:ind w:left="0" w:right="0" w:hanging="0"/>
              <w:jc w:val="left"/>
              <w:rPr/>
            </w:pPr>
            <w:r>
              <w:rPr/>
            </w:r>
          </w:p>
        </w:tc>
      </w:tr>
      <w:tr>
        <w:trPr/>
        <w:tc>
          <w:tcPr>
            <w:tcW w:w="4842" w:type="dxa"/>
            <w:tcBorders/>
            <w:shd w:fill="CCEEFF" w:val="clear"/>
            <w:vAlign w:val="bottom"/>
          </w:tcPr>
          <w:p>
            <w:pPr>
              <w:pStyle w:val="TableContents"/>
              <w:bidi w:val="0"/>
              <w:spacing w:before="0" w:after="0"/>
              <w:ind w:left="274" w:right="0" w:hanging="0"/>
              <w:jc w:val="left"/>
              <w:rPr>
                <w:rFonts w:ascii="Times New Roman;serif" w:hAnsi="Times New Roman;serif"/>
                <w:sz w:val="20"/>
              </w:rPr>
            </w:pPr>
            <w:r>
              <w:rPr>
                <w:rFonts w:ascii="Times New Roman;serif" w:hAnsi="Times New Roman;serif"/>
                <w:sz w:val="20"/>
              </w:rPr>
              <w:t>Research and development</w:t>
            </w:r>
          </w:p>
        </w:tc>
        <w:tc>
          <w:tcPr>
            <w:tcW w:w="5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4"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2,360 </w:t>
            </w:r>
          </w:p>
        </w:tc>
        <w:tc>
          <w:tcPr>
            <w:tcW w:w="336" w:type="dxa"/>
            <w:tcBorders/>
            <w:shd w:fill="CCEEFF" w:val="clear"/>
            <w:vAlign w:val="bottom"/>
          </w:tcPr>
          <w:p>
            <w:pPr>
              <w:pStyle w:val="TableContents"/>
              <w:bidi w:val="0"/>
              <w:spacing w:before="0" w:after="0"/>
              <w:ind w:left="0" w:right="0" w:hanging="0"/>
              <w:jc w:val="left"/>
              <w:rPr/>
            </w:pPr>
            <w:r>
              <w:rPr/>
            </w:r>
          </w:p>
        </w:tc>
        <w:tc>
          <w:tcPr>
            <w:tcW w:w="6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5"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5,321 </w:t>
            </w:r>
          </w:p>
        </w:tc>
        <w:tc>
          <w:tcPr>
            <w:tcW w:w="274" w:type="dxa"/>
            <w:tcBorders/>
            <w:shd w:fill="CCEEFF" w:val="clear"/>
            <w:vAlign w:val="bottom"/>
          </w:tcPr>
          <w:p>
            <w:pPr>
              <w:pStyle w:val="TableContents"/>
              <w:bidi w:val="0"/>
              <w:spacing w:before="0" w:after="0"/>
              <w:ind w:left="274" w:right="0" w:hanging="0"/>
              <w:jc w:val="left"/>
              <w:rPr/>
            </w:pPr>
            <w:r>
              <w:rPr/>
            </w:r>
          </w:p>
        </w:tc>
      </w:tr>
      <w:tr>
        <w:trPr/>
        <w:tc>
          <w:tcPr>
            <w:tcW w:w="4842" w:type="dxa"/>
            <w:tcBorders/>
            <w:vAlign w:val="bottom"/>
          </w:tcPr>
          <w:p>
            <w:pPr>
              <w:pStyle w:val="TableContents"/>
              <w:bidi w:val="0"/>
              <w:spacing w:before="0" w:after="0"/>
              <w:ind w:left="548" w:right="0" w:hanging="0"/>
              <w:jc w:val="left"/>
              <w:rPr>
                <w:rFonts w:ascii="Times New Roman;serif" w:hAnsi="Times New Roman;serif"/>
                <w:sz w:val="20"/>
              </w:rPr>
            </w:pPr>
            <w:r>
              <w:rPr>
                <w:rFonts w:ascii="Times New Roman;serif" w:hAnsi="Times New Roman;serif"/>
                <w:sz w:val="20"/>
              </w:rPr>
              <w:t>General and administrative</w:t>
            </w:r>
          </w:p>
        </w:tc>
        <w:tc>
          <w:tcPr>
            <w:tcW w:w="5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4" w:type="dxa"/>
            <w:tcBorders/>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14,406 </w:t>
            </w:r>
          </w:p>
        </w:tc>
        <w:tc>
          <w:tcPr>
            <w:tcW w:w="336" w:type="dxa"/>
            <w:tcBorders/>
            <w:vAlign w:val="bottom"/>
          </w:tcPr>
          <w:p>
            <w:pPr>
              <w:pStyle w:val="TableContents"/>
              <w:bidi w:val="0"/>
              <w:spacing w:before="0" w:after="0"/>
              <w:ind w:left="0" w:right="0" w:hanging="0"/>
              <w:jc w:val="left"/>
              <w:rPr/>
            </w:pPr>
            <w:r>
              <w:rPr/>
            </w:r>
          </w:p>
        </w:tc>
        <w:tc>
          <w:tcPr>
            <w:tcW w:w="6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5" w:type="dxa"/>
            <w:tcBorders/>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13,512 </w:t>
            </w:r>
          </w:p>
        </w:tc>
        <w:tc>
          <w:tcPr>
            <w:tcW w:w="274" w:type="dxa"/>
            <w:tcBorders/>
            <w:vAlign w:val="bottom"/>
          </w:tcPr>
          <w:p>
            <w:pPr>
              <w:pStyle w:val="TableContents"/>
              <w:bidi w:val="0"/>
              <w:spacing w:before="0" w:after="0"/>
              <w:ind w:left="274" w:right="0" w:hanging="0"/>
              <w:jc w:val="left"/>
              <w:rPr/>
            </w:pPr>
            <w:r>
              <w:rPr/>
            </w:r>
          </w:p>
        </w:tc>
      </w:tr>
      <w:tr>
        <w:trPr/>
        <w:tc>
          <w:tcPr>
            <w:tcW w:w="4842" w:type="dxa"/>
            <w:tcBorders/>
            <w:shd w:fill="CCEEFF" w:val="clear"/>
            <w:vAlign w:val="center"/>
          </w:tcPr>
          <w:p>
            <w:pPr>
              <w:pStyle w:val="TableContents"/>
              <w:bidi w:val="0"/>
              <w:spacing w:before="0" w:after="0"/>
              <w:jc w:val="left"/>
              <w:rPr/>
            </w:pPr>
            <w:r>
              <w:rPr/>
              <w:t>     </w:t>
            </w:r>
            <w:r>
              <w:rPr>
                <w:rFonts w:ascii="Times New Roman;serif" w:hAnsi="Times New Roman;serif"/>
                <w:sz w:val="20"/>
              </w:rPr>
              <w:t>Sales and marketing</w:t>
            </w:r>
          </w:p>
        </w:tc>
        <w:tc>
          <w:tcPr>
            <w:tcW w:w="5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jc w:val="left"/>
              <w:rPr/>
            </w:pPr>
            <w:r>
              <w:rPr/>
            </w:r>
          </w:p>
        </w:tc>
        <w:tc>
          <w:tcPr>
            <w:tcW w:w="1864" w:type="dxa"/>
            <w:tcBorders/>
            <w:shd w:fill="CCEEFF" w:val="clear"/>
            <w:vAlign w:val="bottom"/>
          </w:tcPr>
          <w:p>
            <w:pPr>
              <w:pStyle w:val="TableContents"/>
              <w:bidi w:val="0"/>
              <w:spacing w:before="0" w:after="283"/>
              <w:jc w:val="right"/>
              <w:rPr/>
            </w:pPr>
            <w:r>
              <w:rPr/>
              <w:t>16,793</w:t>
            </w:r>
          </w:p>
        </w:tc>
        <w:tc>
          <w:tcPr>
            <w:tcW w:w="336" w:type="dxa"/>
            <w:tcBorders/>
            <w:shd w:fill="CCEEFF" w:val="clear"/>
            <w:vAlign w:val="center"/>
          </w:tcPr>
          <w:p>
            <w:pPr>
              <w:pStyle w:val="TableContents"/>
              <w:bidi w:val="0"/>
              <w:spacing w:before="0" w:after="283"/>
              <w:jc w:val="left"/>
              <w:rPr/>
            </w:pPr>
            <w:r>
              <w:rPr/>
            </w:r>
          </w:p>
        </w:tc>
        <w:tc>
          <w:tcPr>
            <w:tcW w:w="6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jc w:val="left"/>
              <w:rPr/>
            </w:pPr>
            <w:r>
              <w:rPr/>
            </w:r>
          </w:p>
        </w:tc>
        <w:tc>
          <w:tcPr>
            <w:tcW w:w="1865" w:type="dxa"/>
            <w:tcBorders/>
            <w:shd w:fill="CCEEFF" w:val="clear"/>
            <w:vAlign w:val="bottom"/>
          </w:tcPr>
          <w:p>
            <w:pPr>
              <w:pStyle w:val="TableContents"/>
              <w:bidi w:val="0"/>
              <w:spacing w:before="0" w:after="283"/>
              <w:jc w:val="right"/>
              <w:rPr/>
            </w:pPr>
            <w:r>
              <w:rPr/>
              <w:t>13,662</w:t>
            </w:r>
          </w:p>
        </w:tc>
        <w:tc>
          <w:tcPr>
            <w:tcW w:w="274" w:type="dxa"/>
            <w:tcBorders/>
            <w:shd w:fill="CCEEFF" w:val="clear"/>
            <w:vAlign w:val="center"/>
          </w:tcPr>
          <w:p>
            <w:pPr>
              <w:pStyle w:val="TableContents"/>
              <w:bidi w:val="0"/>
              <w:spacing w:before="0" w:after="283"/>
              <w:jc w:val="left"/>
              <w:rPr/>
            </w:pPr>
            <w:r>
              <w:rPr/>
            </w:r>
          </w:p>
        </w:tc>
      </w:tr>
      <w:tr>
        <w:trPr/>
        <w:tc>
          <w:tcPr>
            <w:tcW w:w="4842" w:type="dxa"/>
            <w:tcBorders/>
            <w:vAlign w:val="bottom"/>
          </w:tcPr>
          <w:p>
            <w:pPr>
              <w:pStyle w:val="TableContents"/>
              <w:bidi w:val="0"/>
              <w:spacing w:before="0" w:after="0"/>
              <w:ind w:left="547" w:right="0" w:hanging="0"/>
              <w:jc w:val="left"/>
              <w:rPr>
                <w:rFonts w:ascii="Times New Roman;serif" w:hAnsi="Times New Roman;serif"/>
                <w:sz w:val="20"/>
              </w:rPr>
            </w:pPr>
            <w:r>
              <w:rPr>
                <w:rFonts w:ascii="Times New Roman;serif" w:hAnsi="Times New Roman;serif"/>
                <w:sz w:val="20"/>
              </w:rPr>
              <w:t xml:space="preserve">Total operating expenses </w:t>
            </w:r>
          </w:p>
        </w:tc>
        <w:tc>
          <w:tcPr>
            <w:tcW w:w="5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4" w:type="dxa"/>
            <w:tcBorders/>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33,559</w:t>
            </w:r>
          </w:p>
        </w:tc>
        <w:tc>
          <w:tcPr>
            <w:tcW w:w="336" w:type="dxa"/>
            <w:tcBorders/>
            <w:vAlign w:val="bottom"/>
          </w:tcPr>
          <w:p>
            <w:pPr>
              <w:pStyle w:val="TableContents"/>
              <w:bidi w:val="0"/>
              <w:spacing w:before="0" w:after="0"/>
              <w:ind w:left="0" w:right="0" w:hanging="0"/>
              <w:jc w:val="left"/>
              <w:rPr/>
            </w:pPr>
            <w:r>
              <w:rPr/>
            </w:r>
          </w:p>
        </w:tc>
        <w:tc>
          <w:tcPr>
            <w:tcW w:w="61" w:type="dxa"/>
            <w:tcBorders/>
            <w:vAlign w:val="bottom"/>
          </w:tcPr>
          <w:p>
            <w:pPr>
              <w:pStyle w:val="TableContents"/>
              <w:bidi w:val="0"/>
              <w:spacing w:before="0" w:after="0"/>
              <w:ind w:left="0" w:right="0" w:hanging="0"/>
              <w:jc w:val="left"/>
              <w:rPr/>
            </w:pPr>
            <w:r>
              <w:rPr/>
            </w:r>
          </w:p>
        </w:tc>
        <w:tc>
          <w:tcPr>
            <w:tcW w:w="456" w:type="dxa"/>
            <w:tcBorders/>
            <w:vAlign w:val="bottom"/>
          </w:tcPr>
          <w:p>
            <w:pPr>
              <w:pStyle w:val="TableContents"/>
              <w:bidi w:val="0"/>
              <w:spacing w:before="0" w:after="0"/>
              <w:ind w:left="0" w:right="0" w:hanging="0"/>
              <w:jc w:val="left"/>
              <w:rPr/>
            </w:pPr>
            <w:r>
              <w:rPr/>
            </w:r>
          </w:p>
        </w:tc>
        <w:tc>
          <w:tcPr>
            <w:tcW w:w="1865" w:type="dxa"/>
            <w:tcBorders/>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32,495 </w:t>
            </w:r>
          </w:p>
        </w:tc>
        <w:tc>
          <w:tcPr>
            <w:tcW w:w="274" w:type="dxa"/>
            <w:tcBorders/>
            <w:vAlign w:val="bottom"/>
          </w:tcPr>
          <w:p>
            <w:pPr>
              <w:pStyle w:val="TableContents"/>
              <w:bidi w:val="0"/>
              <w:spacing w:before="0" w:after="0"/>
              <w:ind w:left="0" w:right="0" w:hanging="0"/>
              <w:jc w:val="left"/>
              <w:rPr/>
            </w:pPr>
            <w:r>
              <w:rPr/>
            </w:r>
          </w:p>
        </w:tc>
      </w:tr>
      <w:tr>
        <w:trPr/>
        <w:tc>
          <w:tcPr>
            <w:tcW w:w="4842" w:type="dxa"/>
            <w:tcBorders/>
            <w:shd w:fill="CCEEFF" w:val="clear"/>
            <w:vAlign w:val="bottom"/>
          </w:tcPr>
          <w:p>
            <w:pPr>
              <w:pStyle w:val="TableContents"/>
              <w:bidi w:val="0"/>
              <w:spacing w:before="0" w:after="0"/>
              <w:ind w:left="547" w:right="0" w:hanging="0"/>
              <w:jc w:val="left"/>
              <w:rPr>
                <w:rFonts w:ascii="Times New Roman;serif" w:hAnsi="Times New Roman;serif"/>
                <w:sz w:val="20"/>
              </w:rPr>
            </w:pPr>
            <w:r>
              <w:rPr>
                <w:rFonts w:ascii="Times New Roman;serif" w:hAnsi="Times New Roman;serif"/>
                <w:sz w:val="20"/>
              </w:rPr>
              <w:t xml:space="preserve">Loss from operations </w:t>
            </w:r>
          </w:p>
        </w:tc>
        <w:tc>
          <w:tcPr>
            <w:tcW w:w="5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4"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(12,162 </w:t>
            </w:r>
          </w:p>
        </w:tc>
        <w:tc>
          <w:tcPr>
            <w:tcW w:w="336" w:type="dxa"/>
            <w:tcBorders/>
            <w:shd w:fill="CCEEFF" w:val="clear"/>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 </w:t>
            </w:r>
          </w:p>
        </w:tc>
        <w:tc>
          <w:tcPr>
            <w:tcW w:w="61" w:type="dxa"/>
            <w:tcBorders/>
            <w:shd w:fill="CCEEFF" w:val="clear"/>
            <w:vAlign w:val="bottom"/>
          </w:tcPr>
          <w:p>
            <w:pPr>
              <w:pStyle w:val="TableContents"/>
              <w:bidi w:val="0"/>
              <w:spacing w:before="0" w:after="0"/>
              <w:ind w:left="0" w:right="0" w:hanging="0"/>
              <w:jc w:val="left"/>
              <w:rPr/>
            </w:pPr>
            <w:r>
              <w:rPr/>
            </w:r>
          </w:p>
        </w:tc>
        <w:tc>
          <w:tcPr>
            <w:tcW w:w="456" w:type="dxa"/>
            <w:tcBorders/>
            <w:shd w:fill="CCEEFF" w:val="clear"/>
            <w:vAlign w:val="bottom"/>
          </w:tcPr>
          <w:p>
            <w:pPr>
              <w:pStyle w:val="TableContents"/>
              <w:bidi w:val="0"/>
              <w:spacing w:before="0" w:after="0"/>
              <w:ind w:left="0" w:right="0" w:hanging="0"/>
              <w:jc w:val="left"/>
              <w:rPr/>
            </w:pPr>
            <w:r>
              <w:rPr/>
            </w:r>
          </w:p>
        </w:tc>
        <w:tc>
          <w:tcPr>
            <w:tcW w:w="1865" w:type="dxa"/>
            <w:tcBorders/>
            <w:shd w:fill="CCEEFF" w:val="clear"/>
            <w:vAlign w:val="bottom"/>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 xml:space="preserve">(19,269 </w:t>
            </w:r>
          </w:p>
        </w:tc>
        <w:tc>
          <w:tcPr>
            <w:tcW w:w="274" w:type="dxa"/>
            <w:tcBorders/>
            <w:shd w:fill="CCEEFF" w:val="clear"/>
            <w:vAlign w:val="bottom"/>
          </w:tcPr>
          <w:p>
            <w:pPr>
              <w:pStyle w:val="TableContents"/>
              <w:bidi w:val="0"/>
              <w:spacing w:before="0" w:after="0"/>
              <w:ind w:left="0" w:right="0" w:hanging="0"/>
              <w:jc w:val="left"/>
              <w:rPr>
                <w:rFonts w:ascii="Times New Roman;serif" w:hAnsi="Times New Roman;serif"/>
                <w:sz w:val="20"/>
              </w:rPr>
            </w:pPr>
            <w:r>
              <w:rPr>
                <w:rFonts w:ascii="Times New Roman;serif" w:hAnsi="Times New Roman;serif"/>
                <w:sz w:val="20"/>
              </w:rPr>
              <w:t xml:space="preserve">) </w:t>
            </w:r>
          </w:p>
        </w:tc>
      </w:tr>
      <w:tr>
        <w:trPr/>
        <w:tc>
          <w:tcPr>
            <w:tcW w:w="4842" w:type="dxa"/>
            <w:tcBorders/>
            <w:vAlign w:val="center"/>
          </w:tcPr>
          <w:p>
            <w:pPr>
              <w:pStyle w:val="TableContents"/>
              <w:bidi w:val="0"/>
              <w:spacing w:before="0" w:after="283"/>
              <w:jc w:val="left"/>
              <w:rPr/>
            </w:pPr>
            <w:r>
              <w:rPr>
                <w:rFonts w:ascii="Times New Roman;serif" w:hAnsi="Times New Roman;serif"/>
                <w:color w:val="000000"/>
                <w:sz w:val="20"/>
              </w:rPr>
              <w:t>Other (income) expense:</w:t>
            </w:r>
            <w:r>
              <w:rPr/>
              <w:t xml:space="preserve"> </w:t>
            </w:r>
          </w:p>
        </w:tc>
        <w:tc>
          <w:tcPr>
            <w:tcW w:w="5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jc w:val="left"/>
              <w:rPr/>
            </w:pPr>
            <w:r>
              <w:rPr/>
            </w:r>
          </w:p>
        </w:tc>
        <w:tc>
          <w:tcPr>
            <w:tcW w:w="18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r>
          </w:p>
        </w:tc>
        <w:tc>
          <w:tcPr>
            <w:tcW w:w="6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jc w:val="left"/>
              <w:rPr/>
            </w:pPr>
            <w:r>
              <w:rPr/>
            </w:r>
          </w:p>
        </w:tc>
        <w:tc>
          <w:tcPr>
            <w:tcW w:w="1865"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ind w:left="274" w:right="0" w:hanging="0"/>
              <w:jc w:val="left"/>
              <w:rPr/>
            </w:pPr>
            <w:r>
              <w:rPr/>
            </w:r>
          </w:p>
        </w:tc>
      </w:tr>
      <w:tr>
        <w:trPr/>
        <w:tc>
          <w:tcPr>
            <w:tcW w:w="4842" w:type="dxa"/>
            <w:tcBorders/>
            <w:shd w:fill="CCEEFF" w:val="clear"/>
            <w:vAlign w:val="center"/>
          </w:tcPr>
          <w:p>
            <w:pPr>
              <w:pStyle w:val="TableContents"/>
              <w:bidi w:val="0"/>
              <w:spacing w:before="0" w:after="0"/>
              <w:jc w:val="left"/>
              <w:rPr>
                <w:rFonts w:ascii="Times New Roman;serif" w:hAnsi="Times New Roman;serif"/>
                <w:sz w:val="20"/>
              </w:rPr>
            </w:pPr>
            <w:r>
              <w:rPr>
                <w:rFonts w:ascii="Times New Roman;serif" w:hAnsi="Times New Roman;serif"/>
                <w:sz w:val="20"/>
              </w:rPr>
              <w:t xml:space="preserve">Interest and other income </w:t>
            </w:r>
          </w:p>
        </w:tc>
        <w:tc>
          <w:tcPr>
            <w:tcW w:w="5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ind w:left="0" w:right="0" w:hanging="0"/>
              <w:jc w:val="left"/>
              <w:rPr/>
            </w:pPr>
            <w:r>
              <w:rPr/>
            </w:r>
          </w:p>
        </w:tc>
        <w:tc>
          <w:tcPr>
            <w:tcW w:w="1864" w:type="dxa"/>
            <w:tcBorders/>
            <w:shd w:fill="CCEEFF" w:val="clear"/>
            <w:vAlign w:val="center"/>
          </w:tcPr>
          <w:p>
            <w:pPr>
              <w:pStyle w:val="TableContents"/>
              <w:bidi w:val="0"/>
              <w:spacing w:before="0" w:after="0"/>
              <w:ind w:left="0" w:right="0" w:hanging="0"/>
              <w:jc w:val="right"/>
              <w:rPr>
                <w:rFonts w:ascii="Times New Roman;serif" w:hAnsi="Times New Roman;serif"/>
                <w:sz w:val="20"/>
              </w:rPr>
            </w:pPr>
            <w:r>
              <w:rPr>
                <w:rFonts w:ascii="Times New Roman;serif" w:hAnsi="Times New Roman;serif"/>
                <w:sz w:val="20"/>
              </w:rPr>
              <w:t>(572</w:t>
            </w:r>
          </w:p>
        </w:tc>
        <w:tc>
          <w:tcPr>
            <w:tcW w:w="336" w:type="dxa"/>
            <w:tcBorders/>
            <w:shd w:fill="CCEEFF" w:val="clear"/>
            <w:vAlign w:val="center"/>
          </w:tcPr>
          <w:p>
            <w:pPr>
              <w:pStyle w:val="TableContents"/>
              <w:bidi w:val="0"/>
              <w:spacing w:before="0" w:after="0"/>
              <w:jc w:val="left"/>
              <w:rPr/>
            </w:pPr>
            <w:r>
              <w:rPr/>
              <w:t>)</w:t>
            </w:r>
          </w:p>
        </w:tc>
        <w:tc>
          <w:tcPr>
            <w:tcW w:w="6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ind w:left="0" w:right="0" w:hanging="0"/>
              <w:jc w:val="left"/>
              <w:rPr/>
            </w:pPr>
            <w:r>
              <w:rPr/>
            </w:r>
          </w:p>
        </w:tc>
        <w:tc>
          <w:tcPr>
            <w:tcW w:w="1865" w:type="dxa"/>
            <w:tcBorders/>
            <w:shd w:fill="CCEEFF" w:val="clear"/>
            <w:vAlign w:val="center"/>
          </w:tcPr>
          <w:p>
            <w:pPr>
              <w:pStyle w:val="TableContents"/>
              <w:bidi w:val="0"/>
              <w:spacing w:before="0" w:after="0"/>
              <w:jc w:val="right"/>
              <w:rPr>
                <w:rFonts w:ascii="Times New Roman;serif" w:hAnsi="Times New Roman;serif"/>
                <w:sz w:val="20"/>
              </w:rPr>
            </w:pPr>
            <w:r>
              <w:rPr>
                <w:rFonts w:ascii="Times New Roman;serif" w:hAnsi="Times New Roman;serif"/>
                <w:sz w:val="20"/>
              </w:rPr>
              <w:t>(433</w:t>
            </w:r>
          </w:p>
        </w:tc>
        <w:tc>
          <w:tcPr>
            <w:tcW w:w="274" w:type="dxa"/>
            <w:tcBorders/>
            <w:shd w:fill="CCEEFF" w:val="clear"/>
            <w:vAlign w:val="center"/>
          </w:tcPr>
          <w:p>
            <w:pPr>
              <w:pStyle w:val="TableContents"/>
              <w:bidi w:val="0"/>
              <w:spacing w:before="0" w:after="283"/>
              <w:jc w:val="left"/>
              <w:rPr/>
            </w:pPr>
            <w:r>
              <w:rPr/>
              <w:t>)</w:t>
            </w:r>
          </w:p>
        </w:tc>
      </w:tr>
      <w:tr>
        <w:trPr/>
        <w:tc>
          <w:tcPr>
            <w:tcW w:w="4842"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Other expense </w:t>
            </w:r>
          </w:p>
        </w:tc>
        <w:tc>
          <w:tcPr>
            <w:tcW w:w="5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ind w:left="0" w:right="0" w:hanging="0"/>
              <w:jc w:val="left"/>
              <w:rPr/>
            </w:pPr>
            <w:r>
              <w:rPr/>
            </w:r>
          </w:p>
        </w:tc>
        <w:tc>
          <w:tcPr>
            <w:tcW w:w="1864" w:type="dxa"/>
            <w:tcBorders/>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389</w:t>
            </w:r>
          </w:p>
        </w:tc>
        <w:tc>
          <w:tcPr>
            <w:tcW w:w="336" w:type="dxa"/>
            <w:tcBorders/>
            <w:vAlign w:val="center"/>
          </w:tcPr>
          <w:p>
            <w:pPr>
              <w:pStyle w:val="TableContents"/>
              <w:bidi w:val="0"/>
              <w:spacing w:before="0" w:after="283"/>
              <w:jc w:val="left"/>
              <w:rPr/>
            </w:pPr>
            <w:r>
              <w:rPr/>
            </w:r>
          </w:p>
        </w:tc>
        <w:tc>
          <w:tcPr>
            <w:tcW w:w="6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ind w:left="0" w:right="0" w:hanging="0"/>
              <w:jc w:val="left"/>
              <w:rPr/>
            </w:pPr>
            <w:r>
              <w:rPr/>
            </w:r>
          </w:p>
        </w:tc>
        <w:tc>
          <w:tcPr>
            <w:tcW w:w="1865" w:type="dxa"/>
            <w:tcBorders/>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184</w:t>
            </w:r>
          </w:p>
        </w:tc>
        <w:tc>
          <w:tcPr>
            <w:tcW w:w="274" w:type="dxa"/>
            <w:tcBorders/>
            <w:vAlign w:val="center"/>
          </w:tcPr>
          <w:p>
            <w:pPr>
              <w:pStyle w:val="TableContents"/>
              <w:bidi w:val="0"/>
              <w:spacing w:before="0" w:after="283"/>
              <w:jc w:val="left"/>
              <w:rPr/>
            </w:pPr>
            <w:r>
              <w:rPr/>
            </w:r>
          </w:p>
        </w:tc>
      </w:tr>
      <w:tr>
        <w:trPr/>
        <w:tc>
          <w:tcPr>
            <w:tcW w:w="4842" w:type="dxa"/>
            <w:tcBorders/>
            <w:shd w:fill="CCEEFF" w:val="clear"/>
            <w:vAlign w:val="center"/>
          </w:tcPr>
          <w:p>
            <w:pPr>
              <w:pStyle w:val="TableContents"/>
              <w:bidi w:val="0"/>
              <w:spacing w:before="0" w:after="283"/>
              <w:jc w:val="left"/>
              <w:rPr/>
            </w:pPr>
            <w:r>
              <w:rPr>
                <w:rFonts w:ascii="Times New Roman;serif" w:hAnsi="Times New Roman;serif"/>
                <w:color w:val="000000"/>
                <w:sz w:val="20"/>
              </w:rPr>
              <w:t>Total other income</w:t>
            </w:r>
            <w:r>
              <w:rPr/>
              <w:t xml:space="preserve"> </w:t>
            </w:r>
          </w:p>
        </w:tc>
        <w:tc>
          <w:tcPr>
            <w:tcW w:w="51" w:type="dxa"/>
            <w:tcBorders/>
            <w:shd w:fill="CCEEFF" w:val="clear"/>
            <w:vAlign w:val="center"/>
          </w:tcPr>
          <w:p>
            <w:pPr>
              <w:pStyle w:val="TableContents"/>
              <w:bidi w:val="0"/>
              <w:spacing w:before="0" w:after="283"/>
              <w:jc w:val="left"/>
              <w:rPr/>
            </w:pPr>
            <w:r>
              <w:rPr/>
            </w:r>
          </w:p>
        </w:tc>
        <w:tc>
          <w:tcPr>
            <w:tcW w:w="456"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r>
          </w:p>
        </w:tc>
        <w:tc>
          <w:tcPr>
            <w:tcW w:w="1864"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(183</w:t>
            </w:r>
          </w:p>
        </w:tc>
        <w:tc>
          <w:tcPr>
            <w:tcW w:w="336"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w:t>
            </w:r>
          </w:p>
        </w:tc>
        <w:tc>
          <w:tcPr>
            <w:tcW w:w="61" w:type="dxa"/>
            <w:tcBorders/>
            <w:shd w:fill="CCEEFF" w:val="clear"/>
            <w:vAlign w:val="center"/>
          </w:tcPr>
          <w:p>
            <w:pPr>
              <w:pStyle w:val="TableContents"/>
              <w:bidi w:val="0"/>
              <w:spacing w:before="0" w:after="283"/>
              <w:jc w:val="left"/>
              <w:rPr/>
            </w:pPr>
            <w:r>
              <w:rPr/>
            </w:r>
          </w:p>
        </w:tc>
        <w:tc>
          <w:tcPr>
            <w:tcW w:w="456"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pPr>
            <w:r>
              <w:rPr/>
            </w:r>
          </w:p>
        </w:tc>
        <w:tc>
          <w:tcPr>
            <w:tcW w:w="186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(249</w:t>
            </w:r>
          </w:p>
        </w:tc>
        <w:tc>
          <w:tcPr>
            <w:tcW w:w="274" w:type="dxa"/>
            <w:tcBorders/>
            <w:shd w:fill="CCEEFF" w:val="clear"/>
            <w:vAlign w:val="center"/>
          </w:tcPr>
          <w:p>
            <w:pPr>
              <w:pStyle w:val="TableContents"/>
              <w:bidi w:val="0"/>
              <w:spacing w:before="0" w:after="283"/>
              <w:jc w:val="left"/>
              <w:rPr/>
            </w:pPr>
            <w:r>
              <w:rPr/>
              <w:t>)</w:t>
            </w:r>
          </w:p>
        </w:tc>
      </w:tr>
      <w:tr>
        <w:trPr/>
        <w:tc>
          <w:tcPr>
            <w:tcW w:w="4842"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Loss before income taxes </w:t>
            </w:r>
          </w:p>
        </w:tc>
        <w:tc>
          <w:tcPr>
            <w:tcW w:w="5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ind w:left="0" w:right="0" w:hanging="0"/>
              <w:jc w:val="left"/>
              <w:rPr/>
            </w:pPr>
            <w:r>
              <w:rPr/>
            </w:r>
          </w:p>
        </w:tc>
        <w:tc>
          <w:tcPr>
            <w:tcW w:w="1864" w:type="dxa"/>
            <w:tcBorders/>
            <w:vAlign w:val="center"/>
          </w:tcPr>
          <w:p>
            <w:pPr>
              <w:pStyle w:val="TableContents"/>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(11,979</w:t>
            </w:r>
          </w:p>
        </w:tc>
        <w:tc>
          <w:tcPr>
            <w:tcW w:w="336"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w:t>
            </w:r>
          </w:p>
        </w:tc>
        <w:tc>
          <w:tcPr>
            <w:tcW w:w="61"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ind w:left="0" w:right="0" w:hanging="0"/>
              <w:jc w:val="left"/>
              <w:rPr/>
            </w:pPr>
            <w:r>
              <w:rPr/>
            </w:r>
          </w:p>
        </w:tc>
        <w:tc>
          <w:tcPr>
            <w:tcW w:w="1865" w:type="dxa"/>
            <w:tcBorders/>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(19,020</w:t>
            </w:r>
          </w:p>
        </w:tc>
        <w:tc>
          <w:tcPr>
            <w:tcW w:w="274" w:type="dxa"/>
            <w:tcBorders/>
            <w:vAlign w:val="center"/>
          </w:tcPr>
          <w:p>
            <w:pPr>
              <w:pStyle w:val="TableContents"/>
              <w:bidi w:val="0"/>
              <w:spacing w:before="0" w:after="283"/>
              <w:jc w:val="left"/>
              <w:rPr/>
            </w:pPr>
            <w:r>
              <w:rPr/>
              <w:t>)</w:t>
            </w:r>
          </w:p>
        </w:tc>
      </w:tr>
      <w:tr>
        <w:trPr/>
        <w:tc>
          <w:tcPr>
            <w:tcW w:w="4842" w:type="dxa"/>
            <w:tcBorders/>
            <w:shd w:fill="CCEEFF" w:val="clear"/>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Benefit from income taxes </w:t>
            </w:r>
          </w:p>
        </w:tc>
        <w:tc>
          <w:tcPr>
            <w:tcW w:w="5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ind w:left="0" w:right="0" w:hanging="0"/>
              <w:jc w:val="left"/>
              <w:rPr/>
            </w:pPr>
            <w:r>
              <w:rPr/>
            </w:r>
          </w:p>
        </w:tc>
        <w:tc>
          <w:tcPr>
            <w:tcW w:w="1864" w:type="dxa"/>
            <w:tcBorders/>
            <w:shd w:fill="CCEEFF" w:val="clear"/>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93</w:t>
            </w:r>
          </w:p>
        </w:tc>
        <w:tc>
          <w:tcPr>
            <w:tcW w:w="336" w:type="dxa"/>
            <w:tcBorders/>
            <w:shd w:fill="CCEEFF" w:val="clear"/>
            <w:vAlign w:val="center"/>
          </w:tcPr>
          <w:p>
            <w:pPr>
              <w:pStyle w:val="TableContents"/>
              <w:bidi w:val="0"/>
              <w:spacing w:before="0" w:after="283"/>
              <w:jc w:val="left"/>
              <w:rPr/>
            </w:pPr>
            <w:r>
              <w:rPr/>
            </w:r>
          </w:p>
        </w:tc>
        <w:tc>
          <w:tcPr>
            <w:tcW w:w="61" w:type="dxa"/>
            <w:tcBorders/>
            <w:shd w:fill="CCEEFF" w:val="clear"/>
            <w:vAlign w:val="center"/>
          </w:tcPr>
          <w:p>
            <w:pPr>
              <w:pStyle w:val="TableContents"/>
              <w:bidi w:val="0"/>
              <w:spacing w:before="0" w:after="283"/>
              <w:jc w:val="left"/>
              <w:rPr/>
            </w:pPr>
            <w:r>
              <w:rPr/>
            </w:r>
          </w:p>
        </w:tc>
        <w:tc>
          <w:tcPr>
            <w:tcW w:w="456" w:type="dxa"/>
            <w:tcBorders/>
            <w:shd w:fill="CCEEFF" w:val="clear"/>
            <w:vAlign w:val="center"/>
          </w:tcPr>
          <w:p>
            <w:pPr>
              <w:pStyle w:val="TableContents"/>
              <w:bidi w:val="0"/>
              <w:spacing w:before="0" w:after="283"/>
              <w:ind w:left="0" w:right="0" w:hanging="0"/>
              <w:jc w:val="left"/>
              <w:rPr/>
            </w:pPr>
            <w:r>
              <w:rPr/>
            </w:r>
          </w:p>
        </w:tc>
        <w:tc>
          <w:tcPr>
            <w:tcW w:w="1865" w:type="dxa"/>
            <w:tcBorders/>
            <w:shd w:fill="CCEEFF" w:val="clear"/>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186</w:t>
            </w:r>
          </w:p>
        </w:tc>
        <w:tc>
          <w:tcPr>
            <w:tcW w:w="274" w:type="dxa"/>
            <w:tcBorders/>
            <w:shd w:fill="CCEEFF" w:val="clear"/>
            <w:vAlign w:val="center"/>
          </w:tcPr>
          <w:p>
            <w:pPr>
              <w:pStyle w:val="TableContents"/>
              <w:bidi w:val="0"/>
              <w:spacing w:before="0" w:after="283"/>
              <w:jc w:val="left"/>
              <w:rPr/>
            </w:pPr>
            <w:r>
              <w:rPr/>
            </w:r>
          </w:p>
        </w:tc>
      </w:tr>
      <w:tr>
        <w:trPr/>
        <w:tc>
          <w:tcPr>
            <w:tcW w:w="4842" w:type="dxa"/>
            <w:tcBorders/>
            <w:vAlign w:val="center"/>
          </w:tcPr>
          <w:p>
            <w:pPr>
              <w:pStyle w:val="TableContents"/>
              <w:bidi w:val="0"/>
              <w:spacing w:before="0" w:after="283"/>
              <w:jc w:val="left"/>
              <w:rPr/>
            </w:pPr>
            <w:r>
              <w:rPr>
                <w:rFonts w:ascii="Times New Roman;serif" w:hAnsi="Times New Roman;serif"/>
                <w:color w:val="000000"/>
                <w:sz w:val="20"/>
              </w:rPr>
              <w:t>Net loss</w:t>
            </w:r>
            <w:r>
              <w:rPr/>
              <w:t xml:space="preserve"> </w:t>
            </w:r>
          </w:p>
        </w:tc>
        <w:tc>
          <w:tcPr>
            <w:tcW w:w="51" w:type="dxa"/>
            <w:tcBorders/>
            <w:vAlign w:val="center"/>
          </w:tcPr>
          <w:p>
            <w:pPr>
              <w:pStyle w:val="TableContents"/>
              <w:bidi w:val="0"/>
              <w:spacing w:before="0" w:after="283"/>
              <w:jc w:val="left"/>
              <w:rPr/>
            </w:pPr>
            <w:r>
              <w:rPr/>
            </w:r>
          </w:p>
        </w:tc>
        <w:tc>
          <w:tcPr>
            <w:tcW w:w="456" w:type="dxa"/>
            <w:tcBorders>
              <w:top w:val="single" w:sz="8" w:space="0" w:color="000000"/>
              <w:bottom w:val="double" w:sz="7" w:space="0" w:color="000000"/>
            </w:tcBorders>
            <w:tcMar>
              <w:top w:w="28" w:type="dxa"/>
              <w:bottom w:w="28" w:type="dxa"/>
            </w:tcMar>
            <w:vAlign w:val="center"/>
          </w:tcPr>
          <w:p>
            <w:pPr>
              <w:pStyle w:val="TableContents"/>
              <w:bidi w:val="0"/>
              <w:spacing w:before="0" w:after="283"/>
              <w:ind w:left="0" w:right="0" w:hanging="0"/>
              <w:jc w:val="left"/>
              <w:rPr/>
            </w:pPr>
            <w:r>
              <w:rPr/>
              <w:t>$</w:t>
            </w:r>
          </w:p>
        </w:tc>
        <w:tc>
          <w:tcPr>
            <w:tcW w:w="1864" w:type="dxa"/>
            <w:tcBorders>
              <w:top w:val="single" w:sz="8" w:space="0" w:color="000000"/>
              <w:bottom w:val="double" w:sz="7" w:space="0" w:color="000000"/>
            </w:tcBorders>
            <w:tcMar>
              <w:top w:w="28" w:type="dxa"/>
              <w:bottom w:w="28" w:type="dxa"/>
            </w:tcMar>
            <w:vAlign w:val="center"/>
          </w:tcPr>
          <w:p>
            <w:pPr>
              <w:pStyle w:val="TableContents"/>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(11,886</w:t>
            </w:r>
          </w:p>
        </w:tc>
        <w:tc>
          <w:tcPr>
            <w:tcW w:w="336" w:type="dxa"/>
            <w:tcBorders/>
            <w:vAlign w:val="bottom"/>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w:t>
            </w:r>
          </w:p>
        </w:tc>
        <w:tc>
          <w:tcPr>
            <w:tcW w:w="61" w:type="dxa"/>
            <w:tcBorders/>
            <w:vAlign w:val="center"/>
          </w:tcPr>
          <w:p>
            <w:pPr>
              <w:pStyle w:val="TableContents"/>
              <w:bidi w:val="0"/>
              <w:spacing w:before="0" w:after="283"/>
              <w:jc w:val="left"/>
              <w:rPr/>
            </w:pPr>
            <w:r>
              <w:rPr/>
            </w:r>
          </w:p>
        </w:tc>
        <w:tc>
          <w:tcPr>
            <w:tcW w:w="456" w:type="dxa"/>
            <w:tcBorders>
              <w:top w:val="single" w:sz="8" w:space="0" w:color="000000"/>
            </w:tcBorders>
            <w:tcMar>
              <w:top w:w="28" w:type="dxa"/>
            </w:tcMar>
            <w:vAlign w:val="center"/>
          </w:tcPr>
          <w:p>
            <w:pPr>
              <w:pStyle w:val="TableContents"/>
              <w:bidi w:val="0"/>
              <w:spacing w:before="0" w:after="283"/>
              <w:ind w:left="0" w:right="0" w:hanging="0"/>
              <w:jc w:val="right"/>
              <w:rPr/>
            </w:pPr>
            <w:r>
              <w:rPr/>
              <w:t>$</w:t>
            </w:r>
          </w:p>
        </w:tc>
        <w:tc>
          <w:tcPr>
            <w:tcW w:w="1865" w:type="dxa"/>
            <w:tcBorders>
              <w:top w:val="single" w:sz="8" w:space="0" w:color="000000"/>
              <w:bottom w:val="double" w:sz="7" w:space="0" w:color="000000"/>
            </w:tcBorders>
            <w:tcMar>
              <w:top w:w="28" w:type="dxa"/>
              <w:bottom w:w="28" w:type="dxa"/>
            </w:tcMar>
            <w:vAlign w:val="center"/>
          </w:tcPr>
          <w:p>
            <w:pPr>
              <w:pStyle w:val="TableContents"/>
              <w:bidi w:val="0"/>
              <w:spacing w:before="0" w:after="0"/>
              <w:jc w:val="right"/>
              <w:rPr>
                <w:rFonts w:ascii="Times New Roman;serif" w:hAnsi="Times New Roman;serif"/>
                <w:color w:val="000000"/>
                <w:sz w:val="20"/>
              </w:rPr>
            </w:pPr>
            <w:r>
              <w:rPr>
                <w:rFonts w:ascii="Times New Roman;serif" w:hAnsi="Times New Roman;serif"/>
                <w:color w:val="000000"/>
                <w:sz w:val="20"/>
              </w:rPr>
              <w:t>(18,834</w:t>
            </w:r>
          </w:p>
        </w:tc>
        <w:tc>
          <w:tcPr>
            <w:tcW w:w="274"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S</w:t>
      </w:r>
      <w:r>
        <w:rPr>
          <w:rFonts w:ascii="Times New Roman;serif" w:hAnsi="Times New Roman;serif"/>
          <w:sz w:val="20"/>
        </w:rPr>
        <w:t>ee Note 4 Revenue for geographical and disaggregation information.</w:t>
      </w:r>
    </w:p>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color w:val="000000"/>
          <w:sz w:val="20"/>
        </w:rPr>
      </w:pPr>
      <w:r>
        <w:rPr>
          <w:rFonts w:ascii="times new roman;times" w:hAnsi="times new roman;times"/>
          <w:b/>
          <w:color w:val="000000"/>
          <w:sz w:val="20"/>
        </w:rPr>
        <w:t>ELECTROCORE, INC. AND SUBSIDIARIES</w:t>
      </w:r>
      <w:r>
        <w:rPr>
          <w:rFonts w:ascii="times new roman;times" w:hAnsi="times new roman;times"/>
          <w:color w:val="000000"/>
          <w:sz w:val="20"/>
        </w:rPr>
        <w:br/>
      </w:r>
      <w:r>
        <w:rPr>
          <w:rFonts w:ascii="times new roman;times" w:hAnsi="times new roman;times"/>
          <w:b/>
          <w:color w:val="000000"/>
          <w:sz w:val="20"/>
        </w:rPr>
        <w:t>Notes to Consolidated Financial Statements — Continued</w:t>
      </w:r>
    </w:p>
    <w:p>
      <w:pPr>
        <w:pStyle w:val="TextBody"/>
        <w:widowControl/>
        <w:bidi w:val="0"/>
        <w:spacing w:before="0" w:after="0"/>
        <w:ind w:left="0" w:right="0" w:hanging="0"/>
        <w:jc w:val="left"/>
        <w:rPr>
          <w:rFonts w:ascii="times new roman;times" w:hAnsi="times new roman;times"/>
          <w:b/>
          <w:sz w:val="20"/>
        </w:rPr>
      </w:pPr>
      <w:r>
        <w:rPr>
          <w:rFonts w:ascii="times new roman;times" w:hAnsi="times new roman;times"/>
          <w:b/>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Note 15.</w:t>
      </w:r>
      <w:r>
        <w:rPr>
          <w:rFonts w:ascii="times new roman;times" w:hAnsi="times new roman;times"/>
          <w:b w:val="false"/>
          <w:i w:val="false"/>
          <w:caps w:val="false"/>
          <w:smallCaps w:val="false"/>
          <w:color w:val="000000"/>
          <w:spacing w:val="0"/>
          <w:sz w:val="20"/>
        </w:rPr>
        <w:t>  </w:t>
      </w:r>
      <w:r>
        <w:rPr>
          <w:rFonts w:ascii="times new roman;times" w:hAnsi="times new roman;times"/>
          <w:b/>
          <w:i w:val="false"/>
          <w:caps w:val="false"/>
          <w:smallCaps w:val="false"/>
          <w:color w:val="000000"/>
          <w:spacing w:val="0"/>
          <w:sz w:val="20"/>
        </w:rPr>
        <w:t>Commitments and Contingencies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Stockholders Litigation</w:t>
      </w:r>
    </w:p>
    <w:p>
      <w:pPr>
        <w:pStyle w:val="TextBody"/>
        <w:widowControl/>
        <w:bidi w:val="0"/>
        <w:spacing w:before="12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On September 26, 2019, and October 31, 2019, purported stockholders of the Company served putative class action lawsuits in the United States District Court for the District of New Jersey captioned </w:t>
      </w:r>
      <w:r>
        <w:rPr>
          <w:b w:val="false"/>
          <w:i/>
          <w:caps w:val="false"/>
          <w:smallCaps w:val="false"/>
          <w:color w:val="000000"/>
          <w:spacing w:val="0"/>
          <w:sz w:val="20"/>
        </w:rPr>
        <w:t>Allyn Turnofsky vs. electroCore, Inc</w:t>
      </w:r>
      <w:r>
        <w:rPr>
          <w:b w:val="false"/>
          <w:i w:val="false"/>
          <w:caps w:val="false"/>
          <w:smallCaps w:val="false"/>
          <w:color w:val="000000"/>
          <w:spacing w:val="0"/>
          <w:sz w:val="20"/>
        </w:rPr>
        <w:t>., et al., Case 3:19-cv-18400, and </w:t>
      </w:r>
      <w:r>
        <w:rPr>
          <w:b w:val="false"/>
          <w:i/>
          <w:caps w:val="false"/>
          <w:smallCaps w:val="false"/>
          <w:color w:val="000000"/>
          <w:spacing w:val="0"/>
          <w:sz w:val="20"/>
        </w:rPr>
        <w:t>Priewe vs. electroCore, Inc., et al.</w:t>
      </w:r>
      <w:r>
        <w:rPr>
          <w:b w:val="false"/>
          <w:i w:val="false"/>
          <w:caps w:val="false"/>
          <w:smallCaps w:val="false"/>
          <w:color w:val="000000"/>
          <w:spacing w:val="0"/>
          <w:sz w:val="20"/>
        </w:rPr>
        <w:t>, Case 1:19-cv-19653, respectively. In addition to the Company, the defendants include present and past directors and officers, and Evercore Group L.L.C., Cantor Fitzgerald &amp; Co., JMP Securities LLC and BTIG, LLC, the underwriters for the initial public offering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w:t>
      </w:r>
      <w:r>
        <w:rPr>
          <w:b w:val="false"/>
          <w:i/>
          <w:caps w:val="false"/>
          <w:smallCaps w:val="false"/>
          <w:color w:val="000000"/>
          <w:spacing w:val="0"/>
          <w:sz w:val="20"/>
        </w:rPr>
        <w:t>Priewe</w:t>
      </w:r>
      <w:r>
        <w:rPr>
          <w:b w:val="false"/>
          <w:i w:val="false"/>
          <w:caps w:val="false"/>
          <w:smallCaps w:val="false"/>
          <w:color w:val="000000"/>
          <w:spacing w:val="0"/>
          <w:sz w:val="20"/>
        </w:rPr>
        <w:t> case was voluntarily dismissed on February 19, 2020.</w:t>
      </w:r>
    </w:p>
    <w:p>
      <w:pPr>
        <w:pStyle w:val="TextBody"/>
        <w:widowControl/>
        <w:bidi w:val="0"/>
        <w:spacing w:lineRule="auto" w:line="288" w:before="180" w:after="180"/>
        <w:ind w:left="0" w:right="0" w:hanging="0"/>
        <w:jc w:val="both"/>
        <w:rPr>
          <w:rFonts w:ascii="Times New Roman;serif" w:hAnsi="Times New Roman;serif"/>
          <w:color w:val="000000"/>
          <w:sz w:val="20"/>
        </w:rPr>
      </w:pPr>
      <w:r>
        <w:rPr>
          <w:rFonts w:ascii="Times New Roman;serif" w:hAnsi="Times New Roman;serif"/>
          <w:b w:val="false"/>
          <w:i w:val="false"/>
          <w:caps w:val="false"/>
          <w:smallCaps w:val="false"/>
          <w:color w:val="000000"/>
          <w:spacing w:val="0"/>
          <w:sz w:val="20"/>
        </w:rPr>
        <w:t>In the </w:t>
      </w:r>
      <w:r>
        <w:rPr>
          <w:rFonts w:ascii="Times New Roman;serif" w:hAnsi="Times New Roman;serif"/>
          <w:b w:val="false"/>
          <w:i/>
          <w:color w:val="000000"/>
          <w:spacing w:val="0"/>
          <w:sz w:val="20"/>
        </w:rPr>
        <w:t>Turnofsky</w:t>
      </w:r>
      <w:r>
        <w:rPr>
          <w:rFonts w:ascii="Times New Roman;serif" w:hAnsi="Times New Roman;serif"/>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times new roman;times" w:hAnsi="times new roman;times"/>
          <w:b w:val="false"/>
          <w:i/>
          <w:color w:val="000000"/>
          <w:spacing w:val="0"/>
          <w:sz w:val="20"/>
        </w:rPr>
        <w:t>Turnofsky</w:t>
      </w:r>
      <w:r>
        <w:rPr>
          <w:rFonts w:ascii="times new roman;times" w:hAnsi="times new roman;times"/>
          <w:b w:val="false"/>
          <w:color w:val="000000"/>
          <w:spacing w:val="0"/>
          <w:sz w:val="20"/>
        </w:rPr>
        <w:t>. In addition to the prior claims, the amended complaint added an additional director defendant and two</w:t>
      </w:r>
      <w:r>
        <w:rPr>
          <w:rFonts w:ascii="times new roman;times" w:hAnsi="times new roman;times"/>
          <w:color w:val="000000"/>
          <w:spacing w:val="0"/>
          <w:sz w:val="20"/>
        </w:rPr>
        <w:t> </w:t>
      </w:r>
      <w:r>
        <w:rPr>
          <w:rFonts w:ascii="times new roman;times" w:hAnsi="times new roman;times"/>
          <w:b w:val="false"/>
          <w:color w:val="000000"/>
          <w:spacing w:val="0"/>
          <w:sz w:val="20"/>
        </w:rPr>
        <w:t>investors as defendants, and added a claim against the Company and the underwriters for violating Section 12(a)(2) of the Securities Act.</w:t>
      </w:r>
    </w:p>
    <w:p>
      <w:pPr>
        <w:pStyle w:val="TextBody"/>
        <w:bidi w:val="0"/>
        <w:spacing w:lineRule="auto" w:line="288" w:before="180" w:after="180"/>
        <w:ind w:left="0" w:right="0" w:hanging="0"/>
        <w:jc w:val="both"/>
        <w:rPr>
          <w:rFonts w:ascii="times new roman;times" w:hAnsi="times new roman;times"/>
          <w:color w:val="000000"/>
          <w:sz w:val="20"/>
        </w:rPr>
      </w:pPr>
      <w:r>
        <w:rPr>
          <w:rFonts w:ascii="times new roman;times" w:hAnsi="times new roman;times"/>
          <w:color w:val="000000"/>
          <w:sz w:val="20"/>
        </w:rPr>
        <w:t xml:space="preserve">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w:t>
      </w:r>
      <w:r>
        <w:rPr>
          <w:rFonts w:ascii="times new roman;times" w:hAnsi="times new roman;times"/>
          <w:i/>
          <w:color w:val="000000"/>
          <w:sz w:val="20"/>
        </w:rPr>
        <w:t>Turnofsky</w:t>
      </w:r>
      <w:r>
        <w:rPr>
          <w:rFonts w:ascii="times new roman;times" w:hAnsi="times new roman;times"/>
          <w:color w:val="000000"/>
          <w:sz w:val="20"/>
        </w:rPr>
        <w:t xml:space="preserve"> case. The defendants moved to dismiss, and briefing on the motion was complete on January 7, 2022. On July 13, 2023, the court dismissed the second amended complaint with leave to re-plead. The plaintiffs did not file a third amended complaint. On August 23, 2023, the plaintiffs provided the court with an order of dismissal, and the court entered the order on August 24, 2023. On September 8, 2023, plaintiff Carole Tibbs filed a notice of appeal to the United States Court of Appeals for the Third Circuit. The appeal has been docketed as number 23-2655. The principal brief of appellant and appendix were filed on January 5, 2024. The appellees’ brief was filed on February 15, 2024, and the appellant’s reply brief was filed on March 15, 2024. On December 5, 2024, the Third Circuit issued an opinion affirming Judge Quraishi's August 24, 2024 dismissal of the case and entered Judgment to that effect. The Plaintiffs did not move for rehearing, and the mandate of the Court of Appeals has issued.  The plaintiffs did not pursue any further appeal and the time to do has now expired.</w:t>
      </w:r>
    </w:p>
    <w:p>
      <w:pPr>
        <w:pStyle w:val="TextBody"/>
        <w:bidi w:val="0"/>
        <w:spacing w:lineRule="auto" w:line="288" w:before="0" w:after="180"/>
        <w:ind w:left="0" w:right="0" w:hanging="0"/>
        <w:jc w:val="both"/>
        <w:rPr>
          <w:rFonts w:ascii="times new roman;times" w:hAnsi="times new roman;times"/>
          <w:sz w:val="20"/>
        </w:rPr>
      </w:pPr>
      <w:r>
        <w:rPr>
          <w:rFonts w:ascii="times new roman;times" w:hAnsi="times new roman;times"/>
          <w:sz w:val="20"/>
        </w:rPr>
        <w:t>On March 4, 2021, purported stockholder Richard Maltz brought a purported stockholder derivative action in the United States District Court for the District of New Jersey. The action is captioned Richard Maltz, derivatively on behalf of electroCore, Inc., vs. Francis R. Amato,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Turnofsky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our Bylaws and Certificate of Incorporation.</w:t>
      </w:r>
    </w:p>
    <w:p>
      <w:pPr>
        <w:pStyle w:val="TextBody"/>
        <w:bidi w:val="0"/>
        <w:spacing w:lineRule="auto" w:line="288" w:before="0" w:after="180"/>
        <w:ind w:left="0" w:right="0" w:hanging="0"/>
        <w:jc w:val="both"/>
        <w:rPr>
          <w:rFonts w:ascii="times new roman;times" w:hAnsi="times new roman;times"/>
          <w:sz w:val="20"/>
        </w:rPr>
      </w:pPr>
      <w:r>
        <w:rPr>
          <w:rFonts w:ascii="times new roman;times" w:hAnsi="times new roman;times"/>
          <w:sz w:val="20"/>
        </w:rPr>
        <w:t xml:space="preserve">On March 8, 2021, purported stockholder Erin Yuson brought a purported stockholder derivative action in the United States District Court for the District of New Jersey. The action is captioned Erin Yuson, derivatively on behalf of electroCore, Inc., vs. Francis R. Amato,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our Bylaws and Certificate of Incorporation.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plaintiffs in the Maltz and Yuson derivative actions agreed to consolidate and stay those actions. The actions are stayed until and through the resolution of any motion for summary judgment in the Turnofsky federal securities class action. A stipulation to that effect was filed by the plaintiffs on April 14, 2021, and ordered by the court on April 30, 2021. On June 9, 2023, the cases were administratively dismissed without prejudice.</w:t>
      </w:r>
    </w:p>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both"/>
        <w:rPr/>
      </w:pPr>
      <w:r>
        <w:rPr/>
      </w:r>
    </w:p>
    <w:p>
      <w:pPr>
        <w:pStyle w:val="TextBody"/>
        <w:bidi w:val="0"/>
        <w:spacing w:lineRule="auto" w:line="288" w:before="0" w:after="180"/>
        <w:ind w:left="0" w:right="0" w:hanging="0"/>
        <w:jc w:val="both"/>
        <w:rPr>
          <w:rFonts w:ascii="times new roman;times" w:hAnsi="times new roman;times"/>
          <w:sz w:val="20"/>
        </w:rPr>
      </w:pPr>
      <w:r>
        <w:rPr>
          <w:rFonts w:ascii="times new roman;times" w:hAnsi="times new roman;times"/>
          <w:sz w:val="20"/>
        </w:rPr>
        <w:t>The company has and intends to the extent necessary to continue to vigorously defend itself if these matters are revived.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pStyle w:val="TextBody"/>
        <w:bidi w:val="0"/>
        <w:spacing w:lineRule="auto" w:line="288" w:before="0" w:after="180"/>
        <w:ind w:left="0" w:right="0" w:hanging="0"/>
        <w:jc w:val="left"/>
        <w:rPr>
          <w:rFonts w:ascii="times new roman;times" w:hAnsi="times new roman;times"/>
          <w:sz w:val="20"/>
        </w:rPr>
      </w:pPr>
      <w:r>
        <w:rPr>
          <w:rFonts w:ascii="times new roman;times" w:hAnsi="times new roman;times"/>
          <w:sz w:val="20"/>
        </w:rPr>
        <w:t xml:space="preserve">The Company is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Note 15 in the period they are incurred. </w:t>
      </w:r>
    </w:p>
    <w:p>
      <w:pPr>
        <w:pStyle w:val="TextBody"/>
        <w:bidi w:val="0"/>
        <w:spacing w:lineRule="auto" w:line="288" w:before="0" w:after="180"/>
        <w:ind w:left="0" w:right="0" w:hanging="0"/>
        <w:jc w:val="left"/>
        <w:rPr>
          <w:rFonts w:ascii="times new roman;times" w:hAnsi="times new roman;times"/>
          <w:b/>
          <w:i/>
          <w:sz w:val="20"/>
        </w:rPr>
      </w:pPr>
      <w:r>
        <w:rPr>
          <w:rFonts w:ascii="times new roman;times" w:hAnsi="times new roman;times"/>
          <w:b/>
          <w:i/>
          <w:sz w:val="20"/>
        </w:rPr>
        <w:t>Purchase Commitments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no material purchase obligations as of December 31, 2024.</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before="120" w:after="0"/>
        <w:ind w:left="0" w:right="0" w:hanging="0"/>
        <w:jc w:val="left"/>
        <w:rPr>
          <w:rFonts w:ascii="Times New Roman;serif" w:hAnsi="Times New Roman;serif"/>
          <w:b/>
          <w:sz w:val="20"/>
        </w:rPr>
      </w:pPr>
      <w:r>
        <w:rPr>
          <w:rFonts w:ascii="Times New Roman;serif" w:hAnsi="Times New Roman;serif"/>
          <w:b/>
          <w:sz w:val="20"/>
        </w:rPr>
        <w:t>Note 16. Severance and Other Related Charges</w:t>
      </w:r>
    </w:p>
    <w:p>
      <w:pPr>
        <w:pStyle w:val="TextBody"/>
        <w:bidi w:val="0"/>
        <w:spacing w:lineRule="auto" w:line="288" w:before="120" w:after="0"/>
        <w:ind w:left="0" w:right="0" w:hanging="0"/>
        <w:jc w:val="left"/>
        <w:rPr>
          <w:rFonts w:ascii="Times New Roman;serif" w:hAnsi="Times New Roman;serif"/>
          <w:sz w:val="20"/>
        </w:rPr>
      </w:pPr>
      <w:r>
        <w:rPr>
          <w:rFonts w:ascii="times new roman;times" w:hAnsi="times new roman;times"/>
          <w:sz w:val="20"/>
        </w:rPr>
        <w:t xml:space="preserve">During the year ended </w:t>
      </w:r>
      <w:r>
        <w:rPr>
          <w:rFonts w:ascii="Times New Roman;serif" w:hAnsi="Times New Roman;serif"/>
          <w:sz w:val="20"/>
        </w:rPr>
        <w:t>December 31, 2023</w:t>
      </w:r>
      <w:r>
        <w:rPr>
          <w:rFonts w:ascii="times new roman;times" w:hAnsi="times new roman;times"/>
          <w:sz w:val="20"/>
        </w:rPr>
        <w:t>, the Company entered into separation agreements with former employees of which agreements required aggregate payments totaling $464,000.</w:t>
      </w:r>
      <w:r>
        <w:rPr>
          <w:rFonts w:ascii="Times New Roman;serif" w:hAnsi="Times New Roman;serif"/>
          <w:sz w:val="20"/>
        </w:rPr>
        <w:t> </w:t>
      </w:r>
      <w:r>
        <w:rPr>
          <w:rFonts w:ascii="times new roman;times" w:hAnsi="times new roman;times"/>
          <w:sz w:val="20"/>
        </w:rPr>
        <w:t xml:space="preserve">The charge for these payments is included in Selling, general and administrative expense in the accompanying Statement of Operations for the year ended </w:t>
      </w:r>
      <w:r>
        <w:rPr>
          <w:rFonts w:ascii="Times New Roman;serif" w:hAnsi="Times New Roman;serif"/>
          <w:sz w:val="20"/>
        </w:rPr>
        <w:t>December 31, 2023</w:t>
      </w:r>
      <w:r>
        <w:rPr>
          <w:rFonts w:ascii="times new roman;times" w:hAnsi="times new roman;times"/>
          <w:sz w:val="20"/>
        </w:rPr>
        <w:t xml:space="preserve">. As of </w:t>
      </w:r>
      <w:r>
        <w:rPr>
          <w:rFonts w:ascii="Times New Roman;serif" w:hAnsi="Times New Roman;serif"/>
          <w:sz w:val="20"/>
        </w:rPr>
        <w:t>December 31, 2024</w:t>
      </w:r>
      <w:r>
        <w:rPr>
          <w:rFonts w:ascii="times new roman;times" w:hAnsi="times new roman;times"/>
          <w:sz w:val="20"/>
        </w:rPr>
        <w:t>, the Company had no outstanding payable in connection with these charges.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tLeast" w:line="240" w:before="0" w:after="160"/>
        <w:ind w:left="0" w:right="0" w:hanging="0"/>
        <w:jc w:val="left"/>
        <w:rPr>
          <w:rFonts w:ascii="times new roman;times" w:hAnsi="times new roman;times"/>
          <w:b/>
          <w:sz w:val="20"/>
        </w:rPr>
      </w:pPr>
      <w:r>
        <w:rPr>
          <w:rFonts w:ascii="times new roman;times" w:hAnsi="times new roman;times"/>
          <w:b/>
          <w:sz w:val="20"/>
        </w:rPr>
        <w:t>Note 17. Related Party Transactions</w:t>
      </w:r>
    </w:p>
    <w:p>
      <w:pPr>
        <w:pStyle w:val="TextBody"/>
        <w:bidi w:val="0"/>
        <w:spacing w:lineRule="atLeast"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Consulting Agreements</w:t>
      </w:r>
    </w:p>
    <w:p>
      <w:pPr>
        <w:pStyle w:val="TextBody"/>
        <w:bidi w:val="0"/>
        <w:spacing w:lineRule="atLeast" w:line="240" w:before="120" w:after="0"/>
        <w:ind w:left="0" w:right="0" w:hanging="0"/>
        <w:jc w:val="both"/>
        <w:rPr>
          <w:rFonts w:ascii="times new roman;times" w:hAnsi="times new roman;times"/>
          <w:sz w:val="20"/>
        </w:rPr>
      </w:pPr>
      <w:r>
        <w:rPr>
          <w:rFonts w:ascii="times new roman;times" w:hAnsi="times new roman;times"/>
          <w:sz w:val="20"/>
        </w:rPr>
        <w:t>On October 4, 2024, the Company and a former executive entered into a consulting agreement pursuant to which the former executive will provide financial and accounting consulting services to the Company on an hourly basis for 12 months after the effective date of his retirement, subject to potential extension upon mutual agreement.</w:t>
      </w:r>
    </w:p>
    <w:p>
      <w:pPr>
        <w:pStyle w:val="TextBody"/>
        <w:widowControl/>
        <w:bidi w:val="0"/>
        <w:spacing w:lineRule="atLeast" w:line="240" w:before="240" w:after="0"/>
        <w:ind w:left="0" w:right="0" w:hanging="0"/>
        <w:jc w:val="both"/>
        <w:rPr>
          <w:rFonts w:ascii="times new roman;times" w:hAnsi="times new roman;times"/>
          <w:sz w:val="24"/>
        </w:rPr>
      </w:pPr>
      <w:r>
        <w:rPr>
          <w:rFonts w:ascii="times new roman;times" w:hAnsi="times new roman;times"/>
          <w:sz w:val="20"/>
        </w:rPr>
        <w:t xml:space="preserve">On July 11, 2024, the Company and a member of its board of directors entered into a consulting agreement pursuant to which the board member is expected to begin providing consulting and advisory services to the Company’s Chief Executive Officer for a </w:t>
      </w:r>
      <w:r>
        <w:rPr>
          <w:rFonts w:ascii="times new roman;times" w:hAnsi="times new roman;times"/>
          <w:sz w:val="20"/>
        </w:rPr>
        <w:t>one</w:t>
      </w:r>
      <w:r>
        <w:rPr>
          <w:rFonts w:ascii="times new roman;times" w:hAnsi="times new roman;times"/>
          <w:sz w:val="20"/>
        </w:rPr>
        <w:t>-year</w:t>
      </w:r>
      <w:r>
        <w:rPr>
          <w:rFonts w:ascii="times new roman;times" w:hAnsi="times new roman;times"/>
          <w:sz w:val="24"/>
        </w:rPr>
        <w:t xml:space="preserve"> </w:t>
      </w:r>
      <w:r>
        <w:rPr>
          <w:rFonts w:ascii="times new roman;times" w:hAnsi="times new roman;times"/>
          <w:sz w:val="20"/>
        </w:rPr>
        <w:t>term as of the completion of his service on the Board, effective as of immediately prior to the Company’s 2025</w:t>
      </w:r>
      <w:r>
        <w:rPr>
          <w:rFonts w:ascii="times new roman;times" w:hAnsi="times new roman;times"/>
          <w:sz w:val="24"/>
        </w:rPr>
        <w:t xml:space="preserve"> </w:t>
      </w:r>
      <w:r>
        <w:rPr>
          <w:rFonts w:ascii="times new roman;times" w:hAnsi="times new roman;times"/>
          <w:sz w:val="20"/>
        </w:rPr>
        <w:t>Annual Meeting of Stockholders. </w:t>
      </w:r>
      <w:r>
        <w:rPr>
          <w:rFonts w:ascii="times new roman;times" w:hAnsi="times new roman;times"/>
          <w:b w:val="false"/>
          <w:i w:val="false"/>
          <w:caps w:val="false"/>
          <w:smallCaps w:val="false"/>
          <w:color w:val="000000"/>
          <w:spacing w:val="0"/>
          <w:sz w:val="20"/>
        </w:rPr>
        <w:t>The director will be paid an hourly or per diem fee for such services rendered, if any</w:t>
      </w:r>
      <w:r>
        <w:rPr>
          <w:rFonts w:ascii="times new roman;times" w:hAnsi="times new roman;times"/>
          <w:sz w:val="20"/>
        </w:rPr>
        <w:t>,</w:t>
      </w:r>
      <w:r>
        <w:rPr>
          <w:rFonts w:ascii="times new roman;times" w:hAnsi="times new roman;times"/>
          <w:sz w:val="24"/>
        </w:rPr>
        <w:t xml:space="preserve"> </w:t>
      </w:r>
      <w:r>
        <w:rPr>
          <w:rFonts w:ascii="times new roman;times" w:hAnsi="times new roman;times"/>
          <w:sz w:val="20"/>
        </w:rPr>
        <w:t>and was granted a stock option to purchase 50,000</w:t>
      </w:r>
      <w:r>
        <w:rPr>
          <w:rFonts w:ascii="times new roman;times" w:hAnsi="times new roman;times"/>
          <w:sz w:val="24"/>
        </w:rPr>
        <w:t xml:space="preserve"> </w:t>
      </w:r>
      <w:r>
        <w:rPr>
          <w:rFonts w:ascii="times new roman;times" w:hAnsi="times new roman;times"/>
          <w:sz w:val="20"/>
        </w:rPr>
        <w:t>shares of common stock of the Company at an exercise price of $6.43</w:t>
      </w:r>
      <w:r>
        <w:rPr>
          <w:rFonts w:ascii="times new roman;times" w:hAnsi="times new roman;times"/>
          <w:sz w:val="24"/>
        </w:rPr>
        <w:t xml:space="preserve"> </w:t>
      </w:r>
      <w:r>
        <w:rPr>
          <w:rFonts w:ascii="times new roman;times" w:hAnsi="times new roman;times"/>
          <w:sz w:val="20"/>
        </w:rPr>
        <w:t xml:space="preserve">per share, </w:t>
      </w:r>
      <w:r>
        <w:rPr>
          <w:rFonts w:ascii="times new roman;times" w:hAnsi="times new roman;times"/>
          <w:sz w:val="20"/>
        </w:rPr>
        <w:t>which shall vest and be exercisable in 12 equal monthly installments, subject to full vesting, if earlier, immediately prior to the 2025 Annual Meeting of Stockholders or a Change of Control so long as the director remains in continuous service to the Company through such date.</w:t>
      </w:r>
    </w:p>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right"/>
        <w:rPr>
          <w:rFonts w:ascii="times new roman;times" w:hAnsi="times new roman;times"/>
          <w:b/>
          <w:sz w:val="20"/>
        </w:rPr>
      </w:pPr>
      <w:bookmarkStart w:id="103" w:name="ex191_2.htm"/>
      <w:bookmarkStart w:id="104" w:name="ksex191_2"/>
      <w:bookmarkEnd w:id="103"/>
      <w:bookmarkEnd w:id="104"/>
      <w:r>
        <w:rPr>
          <w:rFonts w:ascii="times new roman;times" w:hAnsi="times new roman;times"/>
          <w:b/>
          <w:sz w:val="20"/>
        </w:rPr>
        <w:t>Exhibit 19.1</w:t>
      </w:r>
      <w:r>
        <w:br w:type="page"/>
      </w:r>
    </w:p>
    <w:p>
      <w:pPr>
        <w:pStyle w:val="TextBody"/>
        <w:widowControl w:val="false"/>
        <w:bidi w:val="0"/>
        <w:spacing w:before="0" w:after="0"/>
        <w:ind w:left="0" w:right="0" w:hanging="0"/>
        <w:jc w:val="left"/>
        <w:rPr/>
      </w:pPr>
      <w:r>
        <w:rPr/>
        <w:drawing>
          <wp:inline distT="0" distB="0" distL="0" distR="0">
            <wp:extent cx="558165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2"/>
                    <a:stretch>
                      <a:fillRect/>
                    </a:stretch>
                  </pic:blipFill>
                  <pic:spPr bwMode="auto">
                    <a:xfrm>
                      <a:off x="0" y="0"/>
                      <a:ext cx="5581650" cy="2057400"/>
                    </a:xfrm>
                    <a:prstGeom prst="rect">
                      <a:avLst/>
                    </a:prstGeom>
                  </pic:spPr>
                </pic:pic>
              </a:graphicData>
            </a:graphic>
          </wp:inline>
        </w:drawing>
      </w:r>
    </w:p>
    <w:p>
      <w:pPr>
        <w:pStyle w:val="TextBody"/>
        <w:widowControl w:val="false"/>
        <w:bidi w:val="0"/>
        <w:spacing w:before="1" w:after="0"/>
        <w:ind w:left="1937" w:right="1934" w:hanging="0"/>
        <w:jc w:val="center"/>
        <w:rPr/>
      </w:pPr>
      <w:r>
        <w:rPr/>
      </w:r>
    </w:p>
    <w:p>
      <w:pPr>
        <w:pStyle w:val="TextBody"/>
        <w:widowControl w:val="false"/>
        <w:bidi w:val="0"/>
        <w:spacing w:before="1" w:after="0"/>
        <w:ind w:left="1937" w:right="1934" w:hanging="0"/>
        <w:jc w:val="center"/>
        <w:rPr>
          <w:rFonts w:ascii="times new roman;times" w:hAnsi="times new roman;times"/>
          <w:sz w:val="20"/>
        </w:rPr>
      </w:pPr>
      <w:r>
        <w:rPr>
          <w:rFonts w:ascii="Times New Roman" w:hAnsi="Times New Roman"/>
          <w:b/>
          <w:sz w:val="40"/>
        </w:rPr>
        <w:t>Insider</w:t>
      </w:r>
      <w:r>
        <w:rPr>
          <w:rFonts w:ascii="times new roman;times" w:hAnsi="times new roman;times"/>
          <w:sz w:val="20"/>
        </w:rPr>
        <w:t xml:space="preserve"> </w:t>
      </w:r>
      <w:r>
        <w:rPr>
          <w:rFonts w:ascii="Times New Roman" w:hAnsi="Times New Roman"/>
          <w:b/>
          <w:sz w:val="40"/>
        </w:rPr>
        <w:t>Trading</w:t>
      </w:r>
      <w:r>
        <w:rPr>
          <w:rFonts w:ascii="times new roman;times" w:hAnsi="times new roman;times"/>
          <w:sz w:val="20"/>
        </w:rPr>
        <w:t xml:space="preserve"> </w:t>
      </w:r>
      <w:r>
        <w:rPr>
          <w:rFonts w:ascii="Times New Roman" w:hAnsi="Times New Roman"/>
          <w:b/>
          <w:spacing w:val="-2"/>
          <w:sz w:val="40"/>
        </w:rPr>
        <w:t>Policy</w:t>
      </w:r>
    </w:p>
    <w:p>
      <w:pPr>
        <w:pStyle w:val="TextBody"/>
        <w:widowControl w:val="false"/>
        <w:bidi w:val="0"/>
        <w:spacing w:lineRule="auto" w:line="288" w:before="160" w:after="0"/>
        <w:ind w:left="1930" w:right="1930" w:hanging="0"/>
        <w:jc w:val="center"/>
        <w:rPr>
          <w:rFonts w:ascii="times new roman;times" w:hAnsi="times new roman;times"/>
          <w:sz w:val="24"/>
        </w:rPr>
      </w:pPr>
      <w:r>
        <w:rPr>
          <w:rFonts w:ascii="Times New Roman" w:hAnsi="Times New Roman"/>
          <w:b/>
          <w:sz w:val="24"/>
        </w:rPr>
        <w:t>and</w:t>
      </w:r>
      <w:r>
        <w:rPr>
          <w:rFonts w:ascii="times new roman;times" w:hAnsi="times new roman;times"/>
          <w:sz w:val="24"/>
        </w:rPr>
        <w:t xml:space="preserve"> </w:t>
      </w:r>
      <w:r>
        <w:rPr>
          <w:rFonts w:ascii="Times New Roman" w:hAnsi="Times New Roman"/>
          <w:b/>
          <w:sz w:val="24"/>
        </w:rPr>
        <w:t>Guidelines</w:t>
      </w:r>
      <w:r>
        <w:rPr>
          <w:rFonts w:ascii="times new roman;times" w:hAnsi="times new roman;times"/>
          <w:sz w:val="24"/>
        </w:rPr>
        <w:t xml:space="preserve"> </w:t>
      </w:r>
      <w:r>
        <w:rPr>
          <w:rFonts w:ascii="Times New Roman" w:hAnsi="Times New Roman"/>
          <w:b/>
          <w:sz w:val="24"/>
        </w:rPr>
        <w:t>with</w:t>
      </w:r>
      <w:r>
        <w:rPr>
          <w:rFonts w:ascii="times new roman;times" w:hAnsi="times new roman;times"/>
          <w:sz w:val="24"/>
        </w:rPr>
        <w:t xml:space="preserve"> </w:t>
      </w:r>
      <w:r>
        <w:rPr>
          <w:rFonts w:ascii="Times New Roman" w:hAnsi="Times New Roman"/>
          <w:b/>
          <w:sz w:val="24"/>
        </w:rPr>
        <w:t>Respect</w:t>
      </w:r>
      <w:r>
        <w:rPr>
          <w:rFonts w:ascii="times new roman;times" w:hAnsi="times new roman;times"/>
          <w:sz w:val="24"/>
        </w:rPr>
        <w:t xml:space="preserve"> </w:t>
      </w:r>
      <w:r>
        <w:rPr>
          <w:rFonts w:ascii="Times New Roman" w:hAnsi="Times New Roman"/>
          <w:b/>
          <w:sz w:val="24"/>
        </w:rPr>
        <w:t>to</w:t>
      </w:r>
      <w:r>
        <w:rPr>
          <w:rFonts w:ascii="times new roman;times" w:hAnsi="times new roman;times"/>
          <w:sz w:val="24"/>
        </w:rPr>
        <w:t xml:space="preserve"> </w:t>
      </w:r>
      <w:r>
        <w:rPr>
          <w:rFonts w:ascii="Times New Roman" w:hAnsi="Times New Roman"/>
          <w:b/>
          <w:sz w:val="24"/>
        </w:rPr>
        <w:t>Certain</w:t>
      </w:r>
      <w:r>
        <w:rPr>
          <w:rFonts w:ascii="times new roman;times" w:hAnsi="times new roman;times"/>
          <w:sz w:val="24"/>
        </w:rPr>
        <w:t xml:space="preserve"> </w:t>
      </w:r>
      <w:r>
        <w:rPr>
          <w:rFonts w:ascii="Times New Roman" w:hAnsi="Times New Roman"/>
          <w:b/>
          <w:sz w:val="24"/>
        </w:rPr>
        <w:t>Company</w:t>
      </w:r>
      <w:r>
        <w:rPr>
          <w:rFonts w:ascii="times new roman;times" w:hAnsi="times new roman;times"/>
          <w:sz w:val="24"/>
        </w:rPr>
        <w:t xml:space="preserve"> </w:t>
      </w:r>
      <w:r>
        <w:rPr>
          <w:rFonts w:ascii="Times New Roman" w:hAnsi="Times New Roman"/>
          <w:b/>
          <w:sz w:val="24"/>
        </w:rPr>
        <w:t>Information and Certain Transactions in Company Securities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840" w:right="0" w:hanging="0"/>
        <w:jc w:val="left"/>
        <w:rPr>
          <w:rFonts w:ascii="times new roman;times" w:hAnsi="times new roman;times"/>
          <w:sz w:val="20"/>
        </w:rPr>
      </w:pPr>
      <w:r>
        <w:rPr>
          <w:rFonts w:ascii="Times New Roman" w:hAnsi="Times New Roman"/>
          <w:b/>
          <w:spacing w:val="-2"/>
          <w:sz w:val="20"/>
        </w:rPr>
        <w:t xml:space="preserve">1.    </w:t>
      </w:r>
      <w:r>
        <w:rPr>
          <w:rFonts w:ascii="Times New Roman" w:hAnsi="Times New Roman"/>
          <w:b/>
          <w:spacing w:val="-2"/>
          <w:sz w:val="20"/>
          <w:u w:val="single"/>
        </w:rPr>
        <w:t>Purpose</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Insider</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provides</w:t>
      </w:r>
      <w:r>
        <w:rPr>
          <w:rFonts w:ascii="times new roman;times" w:hAnsi="times new roman;times"/>
          <w:sz w:val="20"/>
        </w:rPr>
        <w:t xml:space="preserve"> </w:t>
      </w:r>
      <w:r>
        <w:rPr>
          <w:rFonts w:ascii="Times New Roman" w:hAnsi="Times New Roman"/>
          <w:sz w:val="20"/>
        </w:rPr>
        <w:t>guidelines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transactions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 electroCore,Inc. (the “Company”) and the handling of confidential information about the Company and the companies with which the Company engages in transactions or does business. The Company’s Board of</w:t>
      </w:r>
      <w:r>
        <w:rPr>
          <w:rFonts w:ascii="times new roman;times" w:hAnsi="times new roman;times"/>
          <w:sz w:val="20"/>
        </w:rPr>
        <w:t xml:space="preserve"> </w:t>
      </w:r>
      <w:r>
        <w:rPr>
          <w:rFonts w:ascii="Times New Roman" w:hAnsi="Times New Roman"/>
          <w:sz w:val="20"/>
        </w:rPr>
        <w:t>Directors has adopted this Policy to promote compliance with U.S. federal, state and foreign securities laws that prohibit certain</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 information</w:t>
      </w:r>
      <w:r>
        <w:rPr>
          <w:rFonts w:ascii="times new roman;times" w:hAnsi="times new roman;times"/>
          <w:sz w:val="20"/>
        </w:rPr>
        <w:t xml:space="preserve"> </w:t>
      </w:r>
      <w:r>
        <w:rPr>
          <w:rFonts w:ascii="Times New Roman" w:hAnsi="Times New Roman"/>
          <w:sz w:val="20"/>
        </w:rPr>
        <w:t>about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 that</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providing 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to other persons who may</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that </w:t>
      </w:r>
      <w:r>
        <w:rPr>
          <w:rFonts w:ascii="Times New Roman" w:hAnsi="Times New Roman"/>
          <w:spacing w:val="-2"/>
          <w:sz w:val="20"/>
        </w:rPr>
        <w:t>information.</w:t>
      </w:r>
    </w:p>
    <w:p>
      <w:pPr>
        <w:pStyle w:val="TextBody"/>
        <w:widowControl w:val="false"/>
        <w:bidi w:val="0"/>
        <w:spacing w:lineRule="auto" w:line="288" w:before="15"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2.    </w:t>
      </w:r>
      <w:r>
        <w:rPr>
          <w:rFonts w:ascii="Times New Roman" w:hAnsi="Times New Roman"/>
          <w:b/>
          <w:sz w:val="20"/>
          <w:u w:val="single"/>
        </w:rPr>
        <w:t>Persons</w:t>
      </w:r>
      <w:r>
        <w:rPr>
          <w:rFonts w:ascii="Times New Roman" w:hAnsi="Times New Roman"/>
          <w:b/>
          <w:sz w:val="20"/>
        </w:rPr>
        <w:t xml:space="preserve"> </w:t>
      </w:r>
      <w:r>
        <w:rPr>
          <w:rFonts w:ascii="Times New Roman" w:hAnsi="Times New Roman"/>
          <w:b/>
          <w:sz w:val="20"/>
          <w:u w:val="single"/>
        </w:rPr>
        <w:t>Subject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w:t>
      </w:r>
      <w:r>
        <w:rPr>
          <w:rFonts w:ascii="Times New Roman" w:hAnsi="Times New Roman"/>
          <w:b/>
          <w:spacing w:val="-2"/>
          <w:sz w:val="20"/>
          <w:u w:val="single"/>
        </w:rPr>
        <w:t>Policy</w:t>
      </w:r>
    </w:p>
    <w:p>
      <w:pPr>
        <w:pStyle w:val="TextBody"/>
        <w:widowControl w:val="false"/>
        <w:bidi w:val="0"/>
        <w:spacing w:lineRule="auto" w:line="288" w:before="3"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This Policy applies to all officers of the Company and its subsidiaries, all members of the Company’s Board of Directors, and all employees of the Company and its subsidiaries. The Company may also determine that other persons should be subject to this Policy, such as consultants and independent contractors who may have access to material nonpublic information, and (i) who the Compliance Officer (as defined below) has designated in writing shall be subject to the Policy or (ii) who have entered into a separate agreement with the Company agreeing to comply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considered</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for 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 This Policy also applies to family members, other members of a person’s household and entities controlled by a person covered by this Policy, as described below.</w:t>
      </w:r>
    </w:p>
    <w:p>
      <w:pPr>
        <w:pStyle w:val="TextBody"/>
        <w:widowControl w:val="false"/>
        <w:bidi w:val="0"/>
        <w:spacing w:lineRule="auto" w:line="288" w:before="16"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3.    </w:t>
      </w:r>
      <w:r>
        <w:rPr>
          <w:rFonts w:ascii="Times New Roman" w:hAnsi="Times New Roman"/>
          <w:b/>
          <w:sz w:val="20"/>
          <w:u w:val="single"/>
        </w:rPr>
        <w:t>Transactions</w:t>
      </w:r>
      <w:r>
        <w:rPr>
          <w:rFonts w:ascii="Times New Roman" w:hAnsi="Times New Roman"/>
          <w:b/>
          <w:sz w:val="20"/>
        </w:rPr>
        <w:t xml:space="preserve"> </w:t>
      </w:r>
      <w:r>
        <w:rPr>
          <w:rFonts w:ascii="Times New Roman" w:hAnsi="Times New Roman"/>
          <w:b/>
          <w:sz w:val="20"/>
          <w:u w:val="single"/>
        </w:rPr>
        <w:t>Subject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w:t>
      </w:r>
      <w:r>
        <w:rPr>
          <w:rFonts w:ascii="Times New Roman" w:hAnsi="Times New Roman"/>
          <w:b/>
          <w:spacing w:val="-2"/>
          <w:sz w:val="20"/>
          <w:u w:val="single"/>
        </w:rPr>
        <w:t>Policy</w:t>
      </w:r>
    </w:p>
    <w:p>
      <w:pPr>
        <w:pStyle w:val="TextBody"/>
        <w:widowControl w:val="false"/>
        <w:bidi w:val="0"/>
        <w:spacing w:lineRule="auto" w:line="288" w:before="5"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applies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transactions in</w:t>
      </w:r>
      <w:r>
        <w:rPr>
          <w:rFonts w:ascii="times new roman;times" w:hAnsi="times new roman;times"/>
          <w:sz w:val="20"/>
        </w:rPr>
        <w:t xml:space="preserve"> </w:t>
      </w:r>
      <w:r>
        <w:rPr>
          <w:rFonts w:ascii="Times New Roman" w:hAnsi="Times New Roman"/>
          <w:sz w:val="20"/>
        </w:rPr>
        <w:t>the Company’s</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referred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w:t>
      </w:r>
      <w:r>
        <w:rPr>
          <w:rFonts w:ascii="times new roman;times" w:hAnsi="times new roman;times"/>
          <w:sz w:val="20"/>
        </w:rPr>
        <w:t xml:space="preserve"> </w:t>
      </w:r>
      <w:r>
        <w:rPr>
          <w:rFonts w:ascii="Times New Roman" w:hAnsi="Times New Roman"/>
          <w:sz w:val="20"/>
        </w:rPr>
        <w:t xml:space="preserve">include purchases, sales and </w:t>
      </w:r>
      <w:r>
        <w:rPr>
          <w:rFonts w:ascii="Times New Roman" w:hAnsi="Times New Roman"/>
          <w:i/>
          <w:sz w:val="20"/>
        </w:rPr>
        <w:t xml:space="preserve">bona fide </w:t>
      </w:r>
      <w:r>
        <w:rPr>
          <w:rFonts w:ascii="Times New Roman" w:hAnsi="Times New Roman"/>
          <w:sz w:val="20"/>
        </w:rPr>
        <w:t>gifts of Company Securities.</w:t>
      </w:r>
    </w:p>
    <w:p>
      <w:pPr>
        <w:pStyle w:val="TextBody"/>
        <w:widowControl w:val="false"/>
        <w:bidi w:val="0"/>
        <w:spacing w:lineRule="auto" w:line="288" w:before="15"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4.    </w:t>
      </w:r>
      <w:r>
        <w:rPr>
          <w:rFonts w:ascii="Times New Roman" w:hAnsi="Times New Roman"/>
          <w:b/>
          <w:sz w:val="20"/>
          <w:u w:val="single"/>
        </w:rPr>
        <w:t>Individual</w:t>
      </w:r>
      <w:r>
        <w:rPr>
          <w:rFonts w:ascii="Times New Roman" w:hAnsi="Times New Roman"/>
          <w:b/>
          <w:sz w:val="20"/>
        </w:rPr>
        <w:t xml:space="preserve"> </w:t>
      </w:r>
      <w:r>
        <w:rPr>
          <w:rFonts w:ascii="Times New Roman" w:hAnsi="Times New Roman"/>
          <w:b/>
          <w:spacing w:val="-2"/>
          <w:sz w:val="20"/>
          <w:u w:val="single"/>
        </w:rPr>
        <w:t>Responsibility</w:t>
      </w:r>
    </w:p>
    <w:p>
      <w:pPr>
        <w:pStyle w:val="TextBody"/>
        <w:widowControl w:val="false"/>
        <w:bidi w:val="0"/>
        <w:spacing w:lineRule="auto" w:line="288" w:before="3" w:after="0"/>
        <w:ind w:left="0" w:right="0" w:hanging="0"/>
        <w:jc w:val="left"/>
        <w:rPr/>
      </w:pPr>
      <w:r>
        <w:rPr/>
        <w:t> </w:t>
      </w:r>
    </w:p>
    <w:p>
      <w:pPr>
        <w:pStyle w:val="TextBody"/>
        <w:widowControl w:val="false"/>
        <w:bidi w:val="0"/>
        <w:spacing w:lineRule="auto" w:line="288" w:before="0" w:after="0"/>
        <w:ind w:left="600" w:right="623" w:hanging="0"/>
        <w:jc w:val="left"/>
        <w:rPr>
          <w:rFonts w:ascii="times new roman;times" w:hAnsi="times new roman;times"/>
          <w:sz w:val="20"/>
        </w:rPr>
      </w:pP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have ethical and legal obligations to maintain</w:t>
      </w:r>
      <w:r>
        <w:rPr>
          <w:rFonts w:ascii="times new roman;times" w:hAnsi="times new roman;times"/>
          <w:sz w:val="20"/>
        </w:rPr>
        <w:t xml:space="preserve"> </w:t>
      </w:r>
      <w:r>
        <w:rPr>
          <w:rFonts w:ascii="Times New Roman" w:hAnsi="Times New Roman"/>
          <w:sz w:val="20"/>
        </w:rPr>
        <w:t>the confidentiality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she or they</w:t>
      </w:r>
      <w:r>
        <w:rPr>
          <w:rFonts w:ascii="times new roman;times" w:hAnsi="times new roman;times"/>
          <w:sz w:val="20"/>
        </w:rPr>
        <w:t xml:space="preserve"> </w:t>
      </w:r>
      <w:r>
        <w:rPr>
          <w:rFonts w:ascii="Times New Roman" w:hAnsi="Times New Roman"/>
          <w:sz w:val="20"/>
        </w:rPr>
        <w:t>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w:t>
      </w:r>
      <w:r>
        <w:rPr>
          <w:rFonts w:ascii="times new roman;times" w:hAnsi="times new roman;times"/>
          <w:sz w:val="20"/>
        </w:rPr>
        <w:t xml:space="preserve"> </w:t>
      </w:r>
      <w:r>
        <w:rPr>
          <w:rFonts w:ascii="Times New Roman" w:hAnsi="Times New Roman"/>
          <w:sz w:val="20"/>
        </w:rPr>
        <w:t>that individual, and any action on the part of</w:t>
      </w:r>
      <w:r>
        <w:rPr>
          <w:rFonts w:ascii="times new roman;times" w:hAnsi="times new roman;times"/>
          <w:sz w:val="20"/>
        </w:rPr>
        <w:t xml:space="preserve"> </w:t>
      </w:r>
      <w:r>
        <w:rPr>
          <w:rFonts w:ascii="Times New Roman" w:hAnsi="Times New Roman"/>
          <w:sz w:val="20"/>
        </w:rPr>
        <w:t>the Company, the</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way constitute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advice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insulate</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individual</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You</w:t>
      </w:r>
      <w:r>
        <w:rPr>
          <w:rFonts w:ascii="times new roman;times" w:hAnsi="times new roman;times"/>
          <w:sz w:val="20"/>
        </w:rPr>
        <w:t xml:space="preserve"> </w:t>
      </w:r>
      <w:r>
        <w:rPr>
          <w:rFonts w:ascii="Times New Roman" w:hAnsi="Times New Roman"/>
          <w:sz w:val="20"/>
        </w:rPr>
        <w:t>could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subject to severe legal penalties and disciplinary action by the Company for any conduct prohibited by this Policy or applicable securities laws, as described below in more detail under the heading “Consequences of Violations.”</w:t>
      </w:r>
    </w:p>
    <w:p>
      <w:pPr>
        <w:pStyle w:val="TextBody"/>
        <w:widowControl w:val="false"/>
        <w:bidi w:val="0"/>
        <w:spacing w:lineRule="auto" w:line="288" w:before="18"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5.    </w:t>
      </w:r>
      <w:r>
        <w:rPr>
          <w:rFonts w:ascii="Times New Roman" w:hAnsi="Times New Roman"/>
          <w:b/>
          <w:sz w:val="20"/>
          <w:u w:val="single"/>
        </w:rPr>
        <w:t>Administration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w:t>
      </w:r>
      <w:r>
        <w:rPr>
          <w:rFonts w:ascii="Times New Roman" w:hAnsi="Times New Roman"/>
          <w:b/>
          <w:spacing w:val="-2"/>
          <w:sz w:val="20"/>
          <w:u w:val="single"/>
        </w:rPr>
        <w:t>Policy</w:t>
      </w:r>
    </w:p>
    <w:p>
      <w:pPr>
        <w:pStyle w:val="TextBody"/>
        <w:widowControl w:val="false"/>
        <w:bidi w:val="0"/>
        <w:spacing w:lineRule="auto" w:line="288" w:before="3" w:after="0"/>
        <w:ind w:left="0" w:right="0" w:hanging="0"/>
        <w:jc w:val="left"/>
        <w:rPr/>
      </w:pPr>
      <w:r>
        <w:rPr/>
        <w:t> </w:t>
      </w:r>
    </w:p>
    <w:p>
      <w:pPr>
        <w:pStyle w:val="TextBody"/>
        <w:widowControl w:val="false"/>
        <w:bidi w:val="0"/>
        <w:spacing w:lineRule="auto" w:line="288" w:before="0" w:after="0"/>
        <w:ind w:left="600" w:right="623" w:hanging="0"/>
        <w:jc w:val="left"/>
        <w:rPr>
          <w:rFonts w:ascii="times new roman;times" w:hAnsi="times new roman;times"/>
          <w:sz w:val="20"/>
        </w:rPr>
      </w:pP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 of</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serve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Officer.” The Compliance Officer shall be responsible for administration of this Policy. In the absence of the Chief Financial Officer of the Company, the Chief Compliance Officer of the Company (or such other officer of the Company that has been designated by the Chief Financial Officer of the Company in advance of such absence) shall serve as the “Compliance Officer” for 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absence. All</w:t>
      </w:r>
      <w:r>
        <w:rPr>
          <w:rFonts w:ascii="times new roman;times" w:hAnsi="times new roman;times"/>
          <w:sz w:val="20"/>
        </w:rPr>
        <w:t xml:space="preserve"> </w:t>
      </w:r>
      <w:r>
        <w:rPr>
          <w:rFonts w:ascii="Times New Roman" w:hAnsi="Times New Roman"/>
          <w:sz w:val="20"/>
        </w:rPr>
        <w:t>determinations</w:t>
      </w:r>
      <w:r>
        <w:rPr>
          <w:rFonts w:ascii="times new roman;times" w:hAnsi="times new roman;times"/>
          <w:sz w:val="20"/>
        </w:rPr>
        <w:t xml:space="preserve"> </w:t>
      </w:r>
      <w:r>
        <w:rPr>
          <w:rFonts w:ascii="Times New Roman" w:hAnsi="Times New Roman"/>
          <w:sz w:val="20"/>
        </w:rPr>
        <w:t>and interpretations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 Compliance Officer shall be final and not subject to further review.</w:t>
      </w:r>
    </w:p>
    <w:p>
      <w:pPr>
        <w:pStyle w:val="TextBody"/>
        <w:widowControl w:val="false"/>
        <w:bidi w:val="0"/>
        <w:spacing w:lineRule="auto" w:line="288" w:before="0" w:after="0"/>
        <w:ind w:left="600" w:right="623" w:hanging="0"/>
        <w:jc w:val="left"/>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ind w:left="840" w:right="0" w:hanging="0"/>
        <w:jc w:val="left"/>
        <w:rPr>
          <w:rFonts w:ascii="Times New Roman" w:hAnsi="Times New Roman"/>
          <w:b/>
          <w:sz w:val="20"/>
        </w:rPr>
      </w:pPr>
      <w:r>
        <w:rPr>
          <w:rFonts w:ascii="Times New Roman" w:hAnsi="Times New Roman"/>
          <w:b/>
          <w:sz w:val="20"/>
        </w:rPr>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6.    </w:t>
      </w:r>
      <w:r>
        <w:rPr>
          <w:rFonts w:ascii="Times New Roman" w:hAnsi="Times New Roman"/>
          <w:b/>
          <w:sz w:val="20"/>
          <w:u w:val="single"/>
        </w:rPr>
        <w:t>Statement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pacing w:val="-2"/>
          <w:sz w:val="20"/>
          <w:u w:val="single"/>
        </w:rPr>
        <w:t>Policy</w:t>
      </w:r>
    </w:p>
    <w:p>
      <w:pPr>
        <w:pStyle w:val="TextBody"/>
        <w:bidi w:val="0"/>
        <w:spacing w:lineRule="auto" w:line="288" w:before="6"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It is the policy of the Company that no director, officer, employee or Consultant of the Company (or any other person designated by this Policy or by the Compliance Officer as subject to this Policy) who is aware of material 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indirectly</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family</w:t>
      </w:r>
      <w:r>
        <w:rPr>
          <w:rFonts w:ascii="times new roman;times" w:hAnsi="times new roman;times"/>
          <w:sz w:val="20"/>
        </w:rPr>
        <w:t xml:space="preserve"> </w:t>
      </w:r>
      <w:r>
        <w:rPr>
          <w:rFonts w:ascii="Times New Roman" w:hAnsi="Times New Roman"/>
          <w:sz w:val="20"/>
        </w:rPr>
        <w:t>members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persons or entities:</w:t>
      </w:r>
    </w:p>
    <w:p>
      <w:pPr>
        <w:pStyle w:val="TextBody"/>
        <w:bidi w:val="0"/>
        <w:spacing w:lineRule="auto" w:line="288" w:before="0" w:after="0"/>
        <w:ind w:left="600" w:right="623" w:hanging="0"/>
        <w:jc w:val="left"/>
        <w:rPr/>
      </w:pPr>
      <w:r>
        <w:rPr/>
      </w:r>
    </w:p>
    <w:tbl>
      <w:tblPr>
        <w:tblW w:w="10205" w:type="dxa"/>
        <w:jc w:val="left"/>
        <w:tblInd w:w="0" w:type="dxa"/>
        <w:tblLayout w:type="fixed"/>
        <w:tblCellMar>
          <w:top w:w="0" w:type="dxa"/>
          <w:left w:w="0" w:type="dxa"/>
          <w:bottom w:w="0" w:type="dxa"/>
          <w:right w:w="0" w:type="dxa"/>
        </w:tblCellMar>
      </w:tblPr>
      <w:tblGrid>
        <w:gridCol w:w="135"/>
        <w:gridCol w:w="109"/>
        <w:gridCol w:w="9806"/>
        <w:gridCol w:w="155"/>
      </w:tblGrid>
      <w:tr>
        <w:trPr/>
        <w:tc>
          <w:tcPr>
            <w:tcW w:w="135" w:type="dxa"/>
            <w:tcBorders/>
          </w:tcPr>
          <w:p>
            <w:pPr>
              <w:pStyle w:val="TableContents"/>
              <w:widowControl/>
              <w:bidi w:val="0"/>
              <w:spacing w:before="0" w:after="283"/>
              <w:ind w:left="0" w:right="0" w:hanging="720"/>
              <w:jc w:val="righ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09" w:type="dxa"/>
            <w:tcBorders/>
          </w:tcPr>
          <w:p>
            <w:pPr>
              <w:pStyle w:val="TableContents"/>
              <w:bidi w:val="0"/>
              <w:spacing w:before="0" w:after="283"/>
              <w:jc w:val="left"/>
              <w:rPr/>
            </w:pPr>
            <w:r>
              <w:rPr/>
            </w:r>
          </w:p>
        </w:tc>
        <w:tc>
          <w:tcPr>
            <w:tcW w:w="9806"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Engage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transactions</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pacing w:val="0"/>
                <w:sz w:val="20"/>
              </w:rPr>
              <w:t>Securities,</w:t>
            </w:r>
            <w:r>
              <w:rPr>
                <w:caps w:val="false"/>
                <w:smallCaps w:val="false"/>
                <w:color w:val="000000"/>
                <w:spacing w:val="0"/>
              </w:rPr>
              <w:t> </w:t>
            </w:r>
            <w:r>
              <w:rPr>
                <w:b w:val="false"/>
                <w:i w:val="false"/>
                <w:caps w:val="false"/>
                <w:smallCaps w:val="false"/>
                <w:color w:val="000000"/>
                <w:spacing w:val="0"/>
                <w:sz w:val="20"/>
              </w:rPr>
              <w:t>except</w:t>
            </w:r>
            <w:r>
              <w:rPr>
                <w:caps w:val="false"/>
                <w:smallCaps w:val="false"/>
                <w:color w:val="000000"/>
                <w:spacing w:val="0"/>
              </w:rPr>
              <w:t> </w:t>
            </w:r>
            <w:r>
              <w:rPr>
                <w:b w:val="false"/>
                <w:i w:val="false"/>
                <w:caps w:val="false"/>
                <w:smallCaps w:val="false"/>
                <w:color w:val="000000"/>
                <w:spacing w:val="0"/>
                <w:sz w:val="20"/>
              </w:rPr>
              <w:t>as</w:t>
            </w:r>
            <w:r>
              <w:rPr>
                <w:caps w:val="false"/>
                <w:smallCaps w:val="false"/>
                <w:color w:val="000000"/>
                <w:spacing w:val="0"/>
              </w:rPr>
              <w:t> </w:t>
            </w:r>
            <w:r>
              <w:rPr>
                <w:b w:val="false"/>
                <w:i w:val="false"/>
                <w:caps w:val="false"/>
                <w:smallCaps w:val="false"/>
                <w:color w:val="000000"/>
                <w:spacing w:val="0"/>
                <w:sz w:val="20"/>
              </w:rPr>
              <w:t>otherwise</w:t>
            </w:r>
            <w:r>
              <w:rPr>
                <w:caps w:val="false"/>
                <w:smallCaps w:val="false"/>
                <w:color w:val="000000"/>
                <w:spacing w:val="0"/>
              </w:rPr>
              <w:t> </w:t>
            </w:r>
            <w:r>
              <w:rPr>
                <w:b w:val="false"/>
                <w:i w:val="false"/>
                <w:caps w:val="false"/>
                <w:smallCaps w:val="false"/>
                <w:color w:val="000000"/>
                <w:spacing w:val="0"/>
                <w:sz w:val="20"/>
              </w:rPr>
              <w:t>specified</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this</w:t>
            </w:r>
            <w:r>
              <w:rPr>
                <w:caps w:val="false"/>
                <w:smallCaps w:val="false"/>
                <w:color w:val="000000"/>
                <w:spacing w:val="0"/>
              </w:rPr>
              <w:t> </w:t>
            </w:r>
            <w:r>
              <w:rPr>
                <w:b w:val="false"/>
                <w:i w:val="false"/>
                <w:caps w:val="false"/>
                <w:smallCaps w:val="false"/>
                <w:color w:val="000000"/>
                <w:spacing w:val="0"/>
                <w:sz w:val="20"/>
              </w:rPr>
              <w:t>Policy</w:t>
            </w:r>
            <w:r>
              <w:rPr>
                <w:caps w:val="false"/>
                <w:smallCaps w:val="false"/>
                <w:color w:val="000000"/>
                <w:spacing w:val="0"/>
              </w:rPr>
              <w:t> </w:t>
            </w:r>
            <w:r>
              <w:rPr>
                <w:b w:val="false"/>
                <w:i w:val="false"/>
                <w:caps w:val="false"/>
                <w:smallCaps w:val="false"/>
                <w:color w:val="000000"/>
                <w:spacing w:val="0"/>
                <w:sz w:val="20"/>
              </w:rPr>
              <w:t>under the headings “Transactions Under Company Plans” and “Rule 10b5-1 Plans;”</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r>
          </w:p>
        </w:tc>
      </w:tr>
      <w:tr>
        <w:trPr/>
        <w:tc>
          <w:tcPr>
            <w:tcW w:w="135" w:type="dxa"/>
            <w:tcBorders/>
          </w:tcPr>
          <w:p>
            <w:pPr>
              <w:pStyle w:val="TableContents"/>
              <w:widowControl/>
              <w:bidi w:val="0"/>
              <w:spacing w:before="0" w:after="283"/>
              <w:ind w:left="0" w:right="0" w:hanging="720"/>
              <w:jc w:val="right"/>
              <w:rPr>
                <w:rFonts w:ascii="Times New Roman" w:hAnsi="Times New Roman"/>
                <w:b w:val="false"/>
                <w:color w:val="000000"/>
                <w:spacing w:val="0"/>
                <w:sz w:val="20"/>
              </w:rPr>
            </w:pPr>
            <w:r>
              <w:rPr>
                <w:rFonts w:ascii="Times New Roman" w:hAnsi="Times New Roman"/>
                <w:b w:val="false"/>
                <w:color w:val="000000"/>
                <w:spacing w:val="0"/>
                <w:sz w:val="20"/>
              </w:rPr>
              <w:t>b.</w:t>
            </w:r>
          </w:p>
        </w:tc>
        <w:tc>
          <w:tcPr>
            <w:tcW w:w="109" w:type="dxa"/>
            <w:tcBorders/>
          </w:tcPr>
          <w:p>
            <w:pPr>
              <w:pStyle w:val="TableContents"/>
              <w:bidi w:val="0"/>
              <w:spacing w:before="0" w:after="283"/>
              <w:jc w:val="left"/>
              <w:rPr/>
            </w:pPr>
            <w:r>
              <w:rPr/>
            </w:r>
          </w:p>
        </w:tc>
        <w:tc>
          <w:tcPr>
            <w:tcW w:w="9806"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Recommend</w:t>
            </w:r>
            <w:r>
              <w:rPr>
                <w:caps w:val="false"/>
                <w:smallCaps w:val="false"/>
                <w:color w:val="000000"/>
                <w:spacing w:val="0"/>
              </w:rPr>
              <w:t> </w:t>
            </w:r>
            <w:r>
              <w:rPr>
                <w:b w:val="false"/>
                <w:i w:val="false"/>
                <w:caps w:val="false"/>
                <w:smallCaps w:val="false"/>
                <w:color w:val="000000"/>
                <w:spacing w:val="0"/>
                <w:sz w:val="20"/>
              </w:rPr>
              <w:t>that</w:t>
            </w:r>
            <w:r>
              <w:rPr>
                <w:caps w:val="false"/>
                <w:smallCaps w:val="false"/>
                <w:color w:val="000000"/>
                <w:spacing w:val="0"/>
              </w:rPr>
              <w:t> </w:t>
            </w:r>
            <w:r>
              <w:rPr>
                <w:b w:val="false"/>
                <w:i w:val="false"/>
                <w:caps w:val="false"/>
                <w:smallCaps w:val="false"/>
                <w:color w:val="000000"/>
                <w:spacing w:val="0"/>
                <w:sz w:val="20"/>
              </w:rPr>
              <w:t>others</w:t>
            </w:r>
            <w:r>
              <w:rPr>
                <w:caps w:val="false"/>
                <w:smallCaps w:val="false"/>
                <w:color w:val="000000"/>
                <w:spacing w:val="0"/>
              </w:rPr>
              <w:t> </w:t>
            </w:r>
            <w:r>
              <w:rPr>
                <w:b w:val="false"/>
                <w:i w:val="false"/>
                <w:caps w:val="false"/>
                <w:smallCaps w:val="false"/>
                <w:color w:val="000000"/>
                <w:spacing w:val="0"/>
                <w:sz w:val="20"/>
              </w:rPr>
              <w:t>engage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transactions</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any</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z w:val="20"/>
              </w:rPr>
              <w:t>Securities;</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r>
          </w:p>
        </w:tc>
      </w:tr>
      <w:tr>
        <w:trPr/>
        <w:tc>
          <w:tcPr>
            <w:tcW w:w="135" w:type="dxa"/>
            <w:tcBorders/>
          </w:tcPr>
          <w:p>
            <w:pPr>
              <w:pStyle w:val="TableContents"/>
              <w:widowControl/>
              <w:bidi w:val="0"/>
              <w:spacing w:before="0" w:after="283"/>
              <w:ind w:left="0" w:right="0" w:hanging="720"/>
              <w:jc w:val="right"/>
              <w:rPr>
                <w:rFonts w:ascii="Times New Roman" w:hAnsi="Times New Roman"/>
                <w:b w:val="false"/>
                <w:color w:val="000000"/>
                <w:spacing w:val="0"/>
                <w:sz w:val="20"/>
              </w:rPr>
            </w:pPr>
            <w:r>
              <w:rPr>
                <w:rFonts w:ascii="Times New Roman" w:hAnsi="Times New Roman"/>
                <w:b w:val="false"/>
                <w:color w:val="000000"/>
                <w:spacing w:val="0"/>
                <w:sz w:val="20"/>
              </w:rPr>
              <w:t>c.</w:t>
            </w:r>
          </w:p>
        </w:tc>
        <w:tc>
          <w:tcPr>
            <w:tcW w:w="109" w:type="dxa"/>
            <w:tcBorders/>
          </w:tcPr>
          <w:p>
            <w:pPr>
              <w:pStyle w:val="TableContents"/>
              <w:bidi w:val="0"/>
              <w:spacing w:before="0" w:after="283"/>
              <w:jc w:val="left"/>
              <w:rPr/>
            </w:pPr>
            <w:r>
              <w:rPr/>
            </w:r>
          </w:p>
        </w:tc>
        <w:tc>
          <w:tcPr>
            <w:tcW w:w="9806" w:type="dxa"/>
            <w:tcBorders/>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material</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nonpublic</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information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to</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persons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within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Company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whose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jobs do</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not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r>
          </w:p>
        </w:tc>
      </w:tr>
      <w:tr>
        <w:trPr/>
        <w:tc>
          <w:tcPr>
            <w:tcW w:w="135" w:type="dxa"/>
            <w:tcBorders/>
            <w:tcMar>
              <w:top w:w="28" w:type="dxa"/>
              <w:left w:w="28" w:type="dxa"/>
              <w:bottom w:w="28" w:type="dxa"/>
              <w:right w:w="28" w:type="dxa"/>
            </w:tcMar>
          </w:tcPr>
          <w:p>
            <w:pPr>
              <w:pStyle w:val="TableContents"/>
              <w:widowControl/>
              <w:bidi w:val="0"/>
              <w:spacing w:before="0" w:after="283"/>
              <w:ind w:left="0" w:right="0" w:hanging="720"/>
              <w:jc w:val="right"/>
              <w:rPr>
                <w:rFonts w:ascii="Times New Roman" w:hAnsi="Times New Roman"/>
                <w:b w:val="false"/>
                <w:color w:val="000000"/>
                <w:spacing w:val="0"/>
                <w:sz w:val="20"/>
              </w:rPr>
            </w:pPr>
            <w:r>
              <w:rPr>
                <w:rFonts w:ascii="Times New Roman" w:hAnsi="Times New Roman"/>
                <w:b w:val="false"/>
                <w:color w:val="000000"/>
                <w:spacing w:val="0"/>
                <w:sz w:val="20"/>
              </w:rPr>
              <w:t>d.</w:t>
            </w:r>
          </w:p>
        </w:tc>
        <w:tc>
          <w:tcPr>
            <w:tcW w:w="109" w:type="dxa"/>
            <w:tcBorders/>
            <w:tcMar>
              <w:top w:w="28" w:type="dxa"/>
              <w:left w:w="28" w:type="dxa"/>
              <w:bottom w:w="28" w:type="dxa"/>
              <w:right w:w="28" w:type="dxa"/>
            </w:tcMar>
          </w:tcPr>
          <w:p>
            <w:pPr>
              <w:pStyle w:val="TableContents"/>
              <w:bidi w:val="0"/>
              <w:spacing w:before="0" w:after="283"/>
              <w:jc w:val="left"/>
              <w:rPr/>
            </w:pPr>
            <w:r>
              <w:rPr/>
            </w:r>
          </w:p>
        </w:tc>
        <w:tc>
          <w:tcPr>
            <w:tcW w:w="9806" w:type="dxa"/>
            <w:tcBorders/>
            <w:tcMar>
              <w:top w:w="28" w:type="dxa"/>
              <w:left w:w="28" w:type="dxa"/>
              <w:bottom w:w="28" w:type="dxa"/>
              <w:right w:w="28" w:type="dxa"/>
            </w:tcMar>
          </w:tcPr>
          <w:p>
            <w:pPr>
              <w:pStyle w:val="TableContents"/>
              <w:widowControl/>
              <w:bidi w:val="0"/>
              <w:spacing w:before="0" w:after="283"/>
              <w:ind w:left="0" w:right="0" w:hanging="720"/>
              <w:jc w:val="left"/>
              <w:rPr/>
            </w:pPr>
            <w:r>
              <w:rPr>
                <w:b w:val="false"/>
                <w:i w:val="false"/>
                <w:caps w:val="false"/>
                <w:smallCaps w:val="false"/>
                <w:color w:val="000000"/>
                <w:spacing w:val="0"/>
                <w:sz w:val="20"/>
              </w:rPr>
              <w:t>Assist</w:t>
            </w:r>
            <w:r>
              <w:rPr>
                <w:caps w:val="false"/>
                <w:smallCaps w:val="false"/>
                <w:color w:val="000000"/>
                <w:spacing w:val="0"/>
              </w:rPr>
              <w:t> </w:t>
            </w:r>
            <w:r>
              <w:rPr>
                <w:b w:val="false"/>
                <w:i w:val="false"/>
                <w:caps w:val="false"/>
                <w:smallCaps w:val="false"/>
                <w:color w:val="000000"/>
                <w:spacing w:val="0"/>
                <w:sz w:val="20"/>
              </w:rPr>
              <w:t>anyone</w:t>
            </w:r>
            <w:r>
              <w:rPr>
                <w:caps w:val="false"/>
                <w:smallCaps w:val="false"/>
                <w:color w:val="000000"/>
                <w:spacing w:val="0"/>
              </w:rPr>
              <w:t> </w:t>
            </w:r>
            <w:r>
              <w:rPr>
                <w:b w:val="false"/>
                <w:i w:val="false"/>
                <w:caps w:val="false"/>
                <w:smallCaps w:val="false"/>
                <w:color w:val="000000"/>
                <w:spacing w:val="0"/>
                <w:sz w:val="20"/>
              </w:rPr>
              <w:t>engaged</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above</w:t>
            </w:r>
            <w:r>
              <w:rPr>
                <w:caps w:val="false"/>
                <w:smallCaps w:val="false"/>
                <w:color w:val="000000"/>
                <w:spacing w:val="0"/>
              </w:rPr>
              <w:t> </w:t>
            </w:r>
            <w:r>
              <w:rPr>
                <w:b w:val="false"/>
                <w:i w:val="false"/>
                <w:caps w:val="false"/>
                <w:smallCaps w:val="false"/>
                <w:color w:val="000000"/>
                <w:sz w:val="20"/>
              </w:rPr>
              <w:t>activities.</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r>
          </w:p>
        </w:tc>
      </w:tr>
    </w:tbl>
    <w:p>
      <w:pPr>
        <w:pStyle w:val="TextBody"/>
        <w:bidi w:val="0"/>
        <w:spacing w:lineRule="auto" w:line="288" w:before="10"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that no</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other person designated as subject to this Policy) who, in the course of working for the Company, learns of material nonpublic information about a company (1) with which the Company does business, such as the Company’s distributors, vendors, customers and suppliers, or (2) that is involved in a potential transaction or business relationship with Company, may engage in transactions in that company’s securities until the information becomes public or is no longer material.</w:t>
      </w:r>
    </w:p>
    <w:p>
      <w:pPr>
        <w:pStyle w:val="TextBody"/>
        <w:bidi w:val="0"/>
        <w:spacing w:lineRule="auto" w:line="288" w:before="10"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sz w:val="20"/>
        </w:rPr>
        <w:t>Everyone associated with the Company has a duty to protect the confidential information, including material nonpublic information, of the Company.</w:t>
      </w:r>
      <w:r>
        <w:rPr>
          <w:rFonts w:ascii="times new roman;times" w:hAnsi="times new roman;times"/>
          <w:sz w:val="20"/>
        </w:rPr>
        <w:t xml:space="preserve"> </w:t>
      </w:r>
      <w:r>
        <w:rPr>
          <w:rFonts w:ascii="Times New Roman" w:hAnsi="Times New Roman"/>
          <w:sz w:val="20"/>
        </w:rPr>
        <w:t>Nonpublic information relating to the Company is the property of the Company and the unauthorized disclosure of</w:t>
      </w:r>
      <w:r>
        <w:rPr>
          <w:rFonts w:ascii="times new roman;times" w:hAnsi="times new roman;times"/>
          <w:sz w:val="20"/>
        </w:rPr>
        <w:t xml:space="preserve"> </w:t>
      </w:r>
      <w:r>
        <w:rPr>
          <w:rFonts w:ascii="Times New Roman" w:hAnsi="Times New Roman"/>
          <w:sz w:val="20"/>
        </w:rPr>
        <w:t>such information is forbidden.</w:t>
      </w:r>
      <w:r>
        <w:rPr>
          <w:rFonts w:ascii="times new roman;times" w:hAnsi="times new roman;times"/>
          <w:sz w:val="20"/>
        </w:rPr>
        <w:t xml:space="preserve"> </w:t>
      </w:r>
      <w:r>
        <w:rPr>
          <w:rFonts w:ascii="Times New Roman" w:hAnsi="Times New Roman"/>
          <w:sz w:val="20"/>
        </w:rPr>
        <w:t>Accordingly, such information must be strictly safeguarded and not shared with unauthorized third parties including family members, household members and controlled entities, as described below.</w:t>
      </w:r>
      <w:r>
        <w:rPr>
          <w:rFonts w:ascii="times new roman;times" w:hAnsi="times new roman;times"/>
          <w:sz w:val="20"/>
        </w:rPr>
        <w:t xml:space="preserve"> </w:t>
      </w:r>
      <w:r>
        <w:rPr>
          <w:rFonts w:ascii="Times New Roman" w:hAnsi="Times New Roman"/>
          <w:sz w:val="20"/>
        </w:rPr>
        <w:t>In the event any officer, director, employee or Consultant of the Company receives any inquiry from outside the Company, such as a stock analyst, for information (particularly financial</w:t>
      </w:r>
      <w:r>
        <w:rPr>
          <w:rFonts w:ascii="times new roman;times" w:hAnsi="times new roman;times"/>
          <w:sz w:val="20"/>
        </w:rPr>
        <w:t xml:space="preserve"> </w:t>
      </w:r>
      <w:r>
        <w:rPr>
          <w:rFonts w:ascii="Times New Roman" w:hAnsi="Times New Roman"/>
          <w:sz w:val="20"/>
        </w:rPr>
        <w:t>results</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projections)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inquiry</w:t>
      </w:r>
      <w:r>
        <w:rPr>
          <w:rFonts w:ascii="times new roman;times" w:hAnsi="times new roman;times"/>
          <w:sz w:val="20"/>
        </w:rPr>
        <w:t xml:space="preserve"> </w:t>
      </w:r>
      <w:r>
        <w:rPr>
          <w:rFonts w:ascii="Times New Roman" w:hAnsi="Times New Roman"/>
          <w:sz w:val="20"/>
        </w:rPr>
        <w:t>should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referred to</w:t>
      </w:r>
      <w:r>
        <w:rPr>
          <w:rFonts w:ascii="times new roman;times" w:hAnsi="times new roman;times"/>
          <w:sz w:val="20"/>
        </w:rPr>
        <w:t xml:space="preserve"> </w:t>
      </w:r>
      <w:r>
        <w:rPr>
          <w:rFonts w:ascii="Times New Roman" w:hAnsi="Times New Roman"/>
          <w:sz w:val="20"/>
        </w:rPr>
        <w:t>the Chief Executive Officer or Chief Financial Officer.</w:t>
      </w:r>
    </w:p>
    <w:p>
      <w:pPr>
        <w:pStyle w:val="TextBody"/>
        <w:bidi w:val="0"/>
        <w:spacing w:lineRule="auto" w:line="288" w:before="11" w:after="0"/>
        <w:ind w:left="0" w:right="0" w:hanging="0"/>
        <w:jc w:val="left"/>
        <w:rPr/>
      </w:pPr>
      <w:r>
        <w:rPr/>
        <w:t> </w:t>
      </w:r>
    </w:p>
    <w:p>
      <w:pPr>
        <w:pStyle w:val="TextBody"/>
        <w:bidi w:val="0"/>
        <w:spacing w:lineRule="auto" w:line="288" w:before="1" w:after="0"/>
        <w:ind w:left="600" w:right="623" w:hanging="0"/>
        <w:jc w:val="left"/>
        <w:rPr>
          <w:rFonts w:ascii="times new roman;times" w:hAnsi="times new roman;times"/>
          <w:sz w:val="20"/>
        </w:rPr>
      </w:pPr>
      <w:r>
        <w:rPr>
          <w:rFonts w:ascii="Times New Roman" w:hAnsi="Times New Roman"/>
          <w:sz w:val="20"/>
        </w:rPr>
        <w:t>There are no exceptions to this Policy, except as specifically noted herein. Transactions that may be necessary or justifiable for independent reasons (such as the need to raise money for an emergency expenditure), or small transactions,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excepted from</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do not</w:t>
      </w:r>
      <w:r>
        <w:rPr>
          <w:rFonts w:ascii="times new roman;times" w:hAnsi="times new roman;times"/>
          <w:sz w:val="20"/>
        </w:rPr>
        <w:t xml:space="preserve"> </w:t>
      </w:r>
      <w:r>
        <w:rPr>
          <w:rFonts w:ascii="Times New Roman" w:hAnsi="Times New Roman"/>
          <w:sz w:val="20"/>
        </w:rPr>
        <w:t>recognize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mitigating</w:t>
      </w:r>
      <w:r>
        <w:rPr>
          <w:rFonts w:ascii="times new roman;times" w:hAnsi="times new roman;times"/>
          <w:sz w:val="20"/>
        </w:rPr>
        <w:t xml:space="preserve"> </w:t>
      </w:r>
      <w:r>
        <w:rPr>
          <w:rFonts w:ascii="Times New Roman" w:hAnsi="Times New Roman"/>
          <w:sz w:val="20"/>
        </w:rPr>
        <w:t>circumstances, and, in any event, even the appearance of an improper transaction must be avoided to preserve the Company’s reputation for adhering to the highest standards of conduct.</w:t>
      </w:r>
    </w:p>
    <w:p>
      <w:pPr>
        <w:pStyle w:val="TextBody"/>
        <w:bidi w:val="0"/>
        <w:spacing w:lineRule="auto" w:line="288" w:before="14"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840" w:right="0" w:hanging="0"/>
        <w:jc w:val="left"/>
        <w:rPr>
          <w:rFonts w:ascii="Times New Roman" w:hAnsi="Times New Roman"/>
          <w:b/>
          <w:sz w:val="20"/>
        </w:rPr>
      </w:pPr>
      <w:r>
        <w:rPr>
          <w:rFonts w:ascii="Times New Roman" w:hAnsi="Times New Roman"/>
          <w:b/>
          <w:sz w:val="20"/>
        </w:rPr>
        <w:t>7.    </w:t>
      </w:r>
      <w:r>
        <w:rPr>
          <w:rFonts w:ascii="Times New Roman" w:hAnsi="Times New Roman"/>
          <w:b/>
          <w:sz w:val="20"/>
          <w:u w:val="single"/>
        </w:rPr>
        <w:t>Definition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Material</w:t>
      </w:r>
      <w:r>
        <w:rPr>
          <w:rFonts w:ascii="Times New Roman" w:hAnsi="Times New Roman"/>
          <w:b/>
          <w:sz w:val="20"/>
        </w:rPr>
        <w:t xml:space="preserve"> </w:t>
      </w:r>
      <w:r>
        <w:rPr>
          <w:rFonts w:ascii="Times New Roman" w:hAnsi="Times New Roman"/>
          <w:b/>
          <w:sz w:val="20"/>
          <w:u w:val="single"/>
        </w:rPr>
        <w:t>Nonpublic</w:t>
      </w:r>
      <w:r>
        <w:rPr>
          <w:rFonts w:ascii="Times New Roman" w:hAnsi="Times New Roman"/>
          <w:b/>
          <w:sz w:val="20"/>
        </w:rPr>
        <w:t xml:space="preserve"> </w:t>
      </w:r>
      <w:r>
        <w:rPr>
          <w:rFonts w:ascii="Times New Roman" w:hAnsi="Times New Roman"/>
          <w:b/>
          <w:spacing w:val="-2"/>
          <w:sz w:val="20"/>
          <w:u w:val="single"/>
        </w:rPr>
        <w:t>Information</w:t>
      </w:r>
    </w:p>
    <w:p>
      <w:pPr>
        <w:pStyle w:val="TextBody"/>
        <w:bidi w:val="0"/>
        <w:spacing w:lineRule="auto" w:line="288" w:before="6" w:after="0"/>
        <w:ind w:left="0" w:right="0" w:hanging="0"/>
        <w:jc w:val="left"/>
        <w:rPr/>
      </w:pPr>
      <w:r>
        <w:rPr/>
        <w:t> </w:t>
      </w:r>
    </w:p>
    <w:p>
      <w:pPr>
        <w:pStyle w:val="TextBody"/>
        <w:bidi w:val="0"/>
        <w:spacing w:lineRule="auto" w:line="288" w:before="0" w:after="0"/>
        <w:ind w:left="600" w:right="623" w:hanging="0"/>
        <w:jc w:val="left"/>
        <w:rPr>
          <w:rFonts w:ascii="times new roman;times" w:hAnsi="times new roman;times"/>
          <w:sz w:val="20"/>
        </w:rPr>
      </w:pPr>
      <w:r>
        <w:rPr>
          <w:rFonts w:ascii="Times New Roman" w:hAnsi="Times New Roman"/>
          <w:b/>
          <w:sz w:val="20"/>
          <w:u w:val="single"/>
        </w:rPr>
        <w:t>Material Information</w:t>
      </w:r>
      <w:r>
        <w:rPr>
          <w:rFonts w:ascii="Times New Roman" w:hAnsi="Times New Roman"/>
          <w:strike w:val="false"/>
          <w:dstrike w:val="false"/>
          <w:sz w:val="20"/>
          <w:u w:val="none"/>
          <w:effect w:val="none"/>
        </w:rPr>
        <w:t>. Information is considered “material” if a reasonable investor would consider that information</w:t>
      </w:r>
      <w:r>
        <w:rPr>
          <w:rFonts w:ascii="times new roman;times" w:hAnsi="times new roman;times"/>
          <w:sz w:val="20"/>
        </w:rPr>
        <w:t xml:space="preserve"> </w:t>
      </w:r>
      <w:r>
        <w:rPr>
          <w:rFonts w:ascii="Times New Roman" w:hAnsi="Times New Roman"/>
          <w:strike w:val="false"/>
          <w:dstrike w:val="false"/>
          <w:sz w:val="20"/>
          <w:u w:val="none"/>
          <w:effect w:val="none"/>
        </w:rPr>
        <w:t>important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making</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decision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buy, hold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sell</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could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expected</w:t>
      </w:r>
      <w:r>
        <w:rPr>
          <w:rFonts w:ascii="times new roman;times" w:hAnsi="times new roman;times"/>
          <w:sz w:val="20"/>
        </w:rPr>
        <w:t xml:space="preserve"> </w:t>
      </w:r>
      <w:r>
        <w:rPr>
          <w:rFonts w:ascii="Times New Roman" w:hAnsi="Times New Roman"/>
          <w:strike w:val="false"/>
          <w:dstrike w:val="false"/>
          <w:sz w:val="20"/>
          <w:u w:val="none"/>
          <w:effect w:val="none"/>
        </w:rPr>
        <w:t>to affect a company’s stock price, whether it is positive or negative, should be considered material. There is no bright- 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lineRule="auto" w:line="288" w:before="11"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pPr>
            <w:r>
              <w:rPr/>
            </w:r>
          </w:p>
        </w:tc>
        <w:tc>
          <w:tcPr>
            <w:tcW w:w="324" w:type="dxa"/>
            <w:tcBorders/>
          </w:tcPr>
          <w:p>
            <w:pPr>
              <w:pStyle w:val="TableContents"/>
              <w:bidi w:val="0"/>
              <w:spacing w:before="0" w:after="283"/>
              <w:jc w:val="left"/>
              <w:rPr/>
            </w:pPr>
            <w:r>
              <w:rPr/>
              <w:t>1)</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Projections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future</w:t>
            </w:r>
            <w:r>
              <w:rPr>
                <w:caps w:val="false"/>
                <w:smallCaps w:val="false"/>
                <w:color w:val="000000"/>
                <w:spacing w:val="0"/>
              </w:rPr>
              <w:t> </w:t>
            </w:r>
            <w:r>
              <w:rPr>
                <w:b w:val="false"/>
                <w:i w:val="false"/>
                <w:caps w:val="false"/>
                <w:smallCaps w:val="false"/>
                <w:color w:val="000000"/>
                <w:spacing w:val="0"/>
                <w:sz w:val="20"/>
              </w:rPr>
              <w:t>earnings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losses,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other</w:t>
            </w:r>
            <w:r>
              <w:rPr>
                <w:caps w:val="false"/>
                <w:smallCaps w:val="false"/>
                <w:color w:val="000000"/>
                <w:spacing w:val="0"/>
              </w:rPr>
              <w:t> </w:t>
            </w:r>
            <w:r>
              <w:rPr>
                <w:b w:val="false"/>
                <w:i w:val="false"/>
                <w:caps w:val="false"/>
                <w:smallCaps w:val="false"/>
                <w:color w:val="000000"/>
                <w:spacing w:val="0"/>
                <w:sz w:val="20"/>
              </w:rPr>
              <w:t>earnings</w:t>
            </w:r>
            <w:r>
              <w:rPr>
                <w:caps w:val="false"/>
                <w:smallCaps w:val="false"/>
                <w:color w:val="000000"/>
                <w:spacing w:val="0"/>
              </w:rPr>
              <w:t> </w:t>
            </w:r>
            <w:r>
              <w:rPr>
                <w:b w:val="false"/>
                <w:i w:val="false"/>
                <w:caps w:val="false"/>
                <w:smallCaps w:val="false"/>
                <w:color w:val="000000"/>
                <w:sz w:val="20"/>
              </w:rPr>
              <w:t>guidance;</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Information</w:t>
            </w:r>
            <w:r>
              <w:rPr>
                <w:caps w:val="false"/>
                <w:smallCaps w:val="false"/>
                <w:color w:val="000000"/>
                <w:spacing w:val="0"/>
              </w:rPr>
              <w:t> </w:t>
            </w:r>
            <w:r>
              <w:rPr>
                <w:b w:val="false"/>
                <w:i w:val="false"/>
                <w:caps w:val="false"/>
                <w:smallCaps w:val="false"/>
                <w:color w:val="000000"/>
                <w:spacing w:val="0"/>
                <w:sz w:val="20"/>
              </w:rPr>
              <w:t>regarding</w:t>
            </w:r>
            <w:r>
              <w:rPr>
                <w:caps w:val="false"/>
                <w:smallCaps w:val="false"/>
                <w:color w:val="000000"/>
                <w:spacing w:val="0"/>
              </w:rPr>
              <w:t> </w:t>
            </w:r>
            <w:r>
              <w:rPr>
                <w:b w:val="false"/>
                <w:i w:val="false"/>
                <w:caps w:val="false"/>
                <w:smallCaps w:val="false"/>
                <w:color w:val="000000"/>
                <w:spacing w:val="0"/>
                <w:sz w:val="20"/>
              </w:rPr>
              <w:t>clinical</w:t>
            </w:r>
            <w:r>
              <w:rPr>
                <w:caps w:val="false"/>
                <w:smallCaps w:val="false"/>
                <w:color w:val="000000"/>
                <w:spacing w:val="0"/>
              </w:rPr>
              <w:t> </w:t>
            </w:r>
            <w:r>
              <w:rPr>
                <w:b w:val="false"/>
                <w:i w:val="false"/>
                <w:caps w:val="false"/>
                <w:smallCaps w:val="false"/>
                <w:color w:val="000000"/>
                <w:spacing w:val="0"/>
                <w:sz w:val="20"/>
              </w:rPr>
              <w:t>studies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regulatory</w:t>
            </w:r>
            <w:r>
              <w:rPr>
                <w:caps w:val="false"/>
                <w:smallCaps w:val="false"/>
                <w:color w:val="000000"/>
                <w:spacing w:val="0"/>
              </w:rPr>
              <w:t> </w:t>
            </w:r>
            <w:r>
              <w:rPr>
                <w:b w:val="false"/>
                <w:i w:val="false"/>
                <w:caps w:val="false"/>
                <w:smallCaps w:val="false"/>
                <w:color w:val="000000"/>
                <w:spacing w:val="0"/>
                <w:sz w:val="20"/>
              </w:rPr>
              <w:t>review</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z w:val="20"/>
              </w:rPr>
              <w:t>products;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Changes</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previously</w:t>
            </w:r>
            <w:r>
              <w:rPr>
                <w:caps w:val="false"/>
                <w:smallCaps w:val="false"/>
                <w:color w:val="000000"/>
                <w:spacing w:val="0"/>
              </w:rPr>
              <w:t> </w:t>
            </w:r>
            <w:r>
              <w:rPr>
                <w:b w:val="false"/>
                <w:i w:val="false"/>
                <w:caps w:val="false"/>
                <w:smallCaps w:val="false"/>
                <w:color w:val="000000"/>
                <w:spacing w:val="0"/>
                <w:sz w:val="20"/>
              </w:rPr>
              <w:t>announced</w:t>
            </w:r>
            <w:r>
              <w:rPr>
                <w:caps w:val="false"/>
                <w:smallCaps w:val="false"/>
                <w:color w:val="000000"/>
                <w:spacing w:val="0"/>
              </w:rPr>
              <w:t> </w:t>
            </w:r>
            <w:r>
              <w:rPr>
                <w:b w:val="false"/>
                <w:i w:val="false"/>
                <w:caps w:val="false"/>
                <w:smallCaps w:val="false"/>
                <w:color w:val="000000"/>
                <w:spacing w:val="0"/>
                <w:sz w:val="20"/>
              </w:rPr>
              <w:t>earnings</w:t>
            </w:r>
            <w:r>
              <w:rPr>
                <w:caps w:val="false"/>
                <w:smallCaps w:val="false"/>
                <w:color w:val="000000"/>
                <w:spacing w:val="0"/>
              </w:rPr>
              <w:t> </w:t>
            </w:r>
            <w:r>
              <w:rPr>
                <w:b w:val="false"/>
                <w:i w:val="false"/>
                <w:caps w:val="false"/>
                <w:smallCaps w:val="false"/>
                <w:color w:val="000000"/>
                <w:spacing w:val="0"/>
                <w:sz w:val="20"/>
              </w:rPr>
              <w:t>guidance,</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decision</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suspend</w:t>
            </w:r>
            <w:r>
              <w:rPr>
                <w:caps w:val="false"/>
                <w:smallCaps w:val="false"/>
                <w:color w:val="000000"/>
                <w:spacing w:val="0"/>
              </w:rPr>
              <w:t> </w:t>
            </w:r>
            <w:r>
              <w:rPr>
                <w:b w:val="false"/>
                <w:i w:val="false"/>
                <w:caps w:val="false"/>
                <w:smallCaps w:val="false"/>
                <w:color w:val="000000"/>
                <w:spacing w:val="0"/>
                <w:sz w:val="20"/>
              </w:rPr>
              <w:t>earnings </w:t>
            </w:r>
            <w:r>
              <w:rPr>
                <w:b w:val="false"/>
                <w:i w:val="false"/>
                <w:caps w:val="false"/>
                <w:smallCaps w:val="false"/>
                <w:color w:val="000000"/>
                <w:sz w:val="20"/>
              </w:rPr>
              <w:t>guidance;</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pending</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proposed</w:t>
            </w:r>
            <w:r>
              <w:rPr>
                <w:caps w:val="false"/>
                <w:smallCaps w:val="false"/>
                <w:color w:val="000000"/>
                <w:spacing w:val="0"/>
              </w:rPr>
              <w:t> </w:t>
            </w:r>
            <w:r>
              <w:rPr>
                <w:b w:val="false"/>
                <w:i w:val="false"/>
                <w:caps w:val="false"/>
                <w:smallCaps w:val="false"/>
                <w:color w:val="000000"/>
                <w:spacing w:val="0"/>
                <w:sz w:val="20"/>
              </w:rPr>
              <w:t>merger,</w:t>
            </w:r>
            <w:r>
              <w:rPr>
                <w:caps w:val="false"/>
                <w:smallCaps w:val="false"/>
                <w:color w:val="000000"/>
                <w:spacing w:val="0"/>
              </w:rPr>
              <w:t> </w:t>
            </w:r>
            <w:r>
              <w:rPr>
                <w:b w:val="false"/>
                <w:i w:val="false"/>
                <w:caps w:val="false"/>
                <w:smallCaps w:val="false"/>
                <w:color w:val="000000"/>
                <w:spacing w:val="0"/>
                <w:sz w:val="20"/>
              </w:rPr>
              <w:t>acquisition</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tender</w:t>
            </w:r>
            <w:r>
              <w:rPr>
                <w:caps w:val="false"/>
                <w:smallCaps w:val="false"/>
                <w:color w:val="000000"/>
                <w:spacing w:val="0"/>
              </w:rPr>
              <w:t> </w:t>
            </w:r>
            <w:r>
              <w:rPr>
                <w:b w:val="false"/>
                <w:i w:val="false"/>
                <w:caps w:val="false"/>
                <w:smallCaps w:val="false"/>
                <w:color w:val="000000"/>
                <w:sz w:val="20"/>
              </w:rPr>
              <w:t>offer;</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pending</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proposed</w:t>
            </w:r>
            <w:r>
              <w:rPr>
                <w:caps w:val="false"/>
                <w:smallCaps w:val="false"/>
                <w:color w:val="000000"/>
                <w:spacing w:val="0"/>
              </w:rPr>
              <w:t> </w:t>
            </w:r>
            <w:r>
              <w:rPr>
                <w:b w:val="false"/>
                <w:i w:val="false"/>
                <w:caps w:val="false"/>
                <w:smallCaps w:val="false"/>
                <w:color w:val="000000"/>
                <w:spacing w:val="0"/>
                <w:sz w:val="20"/>
              </w:rPr>
              <w:t>acquisition</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disposition</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significant</w:t>
            </w:r>
            <w:r>
              <w:rPr>
                <w:caps w:val="false"/>
                <w:smallCaps w:val="false"/>
                <w:color w:val="000000"/>
                <w:spacing w:val="0"/>
              </w:rPr>
              <w:t> </w:t>
            </w:r>
            <w:r>
              <w:rPr>
                <w:b w:val="false"/>
                <w:i w:val="false"/>
                <w:caps w:val="false"/>
                <w:smallCaps w:val="false"/>
                <w:color w:val="000000"/>
                <w:sz w:val="20"/>
              </w:rPr>
              <w:t>asset;</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pending</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proposed</w:t>
            </w:r>
            <w:r>
              <w:rPr>
                <w:caps w:val="false"/>
                <w:smallCaps w:val="false"/>
                <w:color w:val="000000"/>
                <w:spacing w:val="0"/>
              </w:rPr>
              <w:t> </w:t>
            </w:r>
            <w:r>
              <w:rPr>
                <w:b w:val="false"/>
                <w:i w:val="false"/>
                <w:caps w:val="false"/>
                <w:smallCaps w:val="false"/>
                <w:color w:val="000000"/>
                <w:spacing w:val="0"/>
                <w:sz w:val="20"/>
              </w:rPr>
              <w:t>joint</w:t>
            </w:r>
            <w:r>
              <w:rPr>
                <w:caps w:val="false"/>
                <w:smallCaps w:val="false"/>
                <w:color w:val="000000"/>
                <w:spacing w:val="0"/>
              </w:rPr>
              <w:t> </w:t>
            </w:r>
            <w:r>
              <w:rPr>
                <w:b w:val="false"/>
                <w:i w:val="false"/>
                <w:caps w:val="false"/>
                <w:smallCaps w:val="false"/>
                <w:color w:val="000000"/>
                <w:sz w:val="20"/>
              </w:rPr>
              <w:t>venture;</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z w:val="20"/>
              </w:rPr>
              <w:t>restructuring;</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Significant</w:t>
            </w:r>
            <w:r>
              <w:rPr>
                <w:caps w:val="false"/>
                <w:smallCaps w:val="false"/>
                <w:color w:val="000000"/>
                <w:spacing w:val="0"/>
              </w:rPr>
              <w:t> </w:t>
            </w:r>
            <w:r>
              <w:rPr>
                <w:b w:val="false"/>
                <w:i w:val="false"/>
                <w:caps w:val="false"/>
                <w:smallCaps w:val="false"/>
                <w:color w:val="000000"/>
                <w:spacing w:val="0"/>
                <w:sz w:val="20"/>
              </w:rPr>
              <w:t>related</w:t>
            </w:r>
            <w:r>
              <w:rPr>
                <w:caps w:val="false"/>
                <w:smallCaps w:val="false"/>
                <w:color w:val="000000"/>
                <w:spacing w:val="0"/>
              </w:rPr>
              <w:t> </w:t>
            </w:r>
            <w:r>
              <w:rPr>
                <w:b w:val="false"/>
                <w:i w:val="false"/>
                <w:caps w:val="false"/>
                <w:smallCaps w:val="false"/>
                <w:color w:val="000000"/>
                <w:spacing w:val="0"/>
                <w:sz w:val="20"/>
              </w:rPr>
              <w:t>party</w:t>
            </w:r>
            <w:r>
              <w:rPr>
                <w:caps w:val="false"/>
                <w:smallCaps w:val="false"/>
                <w:color w:val="000000"/>
                <w:spacing w:val="0"/>
              </w:rPr>
              <w:t> </w:t>
            </w:r>
            <w:r>
              <w:rPr>
                <w:b w:val="false"/>
                <w:i w:val="false"/>
                <w:caps w:val="false"/>
                <w:smallCaps w:val="false"/>
                <w:color w:val="000000"/>
                <w:sz w:val="20"/>
              </w:rPr>
              <w:t>transactions;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change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dividend</w:t>
            </w:r>
            <w:r>
              <w:rPr>
                <w:caps w:val="false"/>
                <w:smallCaps w:val="false"/>
                <w:color w:val="000000"/>
                <w:spacing w:val="0"/>
              </w:rPr>
              <w:t> </w:t>
            </w:r>
            <w:r>
              <w:rPr>
                <w:b w:val="false"/>
                <w:i w:val="false"/>
                <w:caps w:val="false"/>
                <w:smallCaps w:val="false"/>
                <w:color w:val="000000"/>
                <w:spacing w:val="0"/>
                <w:sz w:val="20"/>
              </w:rPr>
              <w:t>policy,</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declaration</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split,</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an</w:t>
            </w:r>
            <w:r>
              <w:rPr>
                <w:caps w:val="false"/>
                <w:smallCaps w:val="false"/>
                <w:color w:val="000000"/>
                <w:spacing w:val="0"/>
              </w:rPr>
              <w:t> </w:t>
            </w:r>
            <w:r>
              <w:rPr>
                <w:b w:val="false"/>
                <w:i w:val="false"/>
                <w:caps w:val="false"/>
                <w:smallCaps w:val="false"/>
                <w:color w:val="000000"/>
                <w:spacing w:val="0"/>
                <w:sz w:val="20"/>
              </w:rPr>
              <w:t>offering</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additional</w:t>
            </w:r>
            <w:r>
              <w:rPr>
                <w:caps w:val="false"/>
                <w:smallCaps w:val="false"/>
                <w:color w:val="000000"/>
                <w:spacing w:val="0"/>
              </w:rPr>
              <w:t> </w:t>
            </w:r>
            <w:r>
              <w:rPr>
                <w:b w:val="false"/>
                <w:i w:val="false"/>
                <w:caps w:val="false"/>
                <w:smallCaps w:val="false"/>
                <w:color w:val="000000"/>
                <w:sz w:val="20"/>
              </w:rPr>
              <w:t>securities;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Bank</w:t>
            </w:r>
            <w:r>
              <w:rPr>
                <w:caps w:val="false"/>
                <w:smallCaps w:val="false"/>
                <w:color w:val="000000"/>
                <w:spacing w:val="0"/>
              </w:rPr>
              <w:t> </w:t>
            </w:r>
            <w:r>
              <w:rPr>
                <w:b w:val="false"/>
                <w:i w:val="false"/>
                <w:caps w:val="false"/>
                <w:smallCaps w:val="false"/>
                <w:color w:val="000000"/>
                <w:spacing w:val="0"/>
                <w:sz w:val="20"/>
              </w:rPr>
              <w:t>borrowings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other</w:t>
            </w:r>
            <w:r>
              <w:rPr>
                <w:caps w:val="false"/>
                <w:smallCaps w:val="false"/>
                <w:color w:val="000000"/>
                <w:spacing w:val="0"/>
              </w:rPr>
              <w:t> </w:t>
            </w:r>
            <w:r>
              <w:rPr>
                <w:b w:val="false"/>
                <w:i w:val="false"/>
                <w:caps w:val="false"/>
                <w:smallCaps w:val="false"/>
                <w:color w:val="000000"/>
                <w:spacing w:val="0"/>
                <w:sz w:val="20"/>
              </w:rPr>
              <w:t>financing</w:t>
            </w:r>
            <w:r>
              <w:rPr>
                <w:caps w:val="false"/>
                <w:smallCaps w:val="false"/>
                <w:color w:val="000000"/>
                <w:spacing w:val="0"/>
              </w:rPr>
              <w:t> </w:t>
            </w:r>
            <w:r>
              <w:rPr>
                <w:b w:val="false"/>
                <w:i w:val="false"/>
                <w:caps w:val="false"/>
                <w:smallCaps w:val="false"/>
                <w:color w:val="000000"/>
                <w:spacing w:val="0"/>
                <w:sz w:val="20"/>
              </w:rPr>
              <w:t>transactions</w:t>
            </w:r>
            <w:r>
              <w:rPr>
                <w:caps w:val="false"/>
                <w:smallCaps w:val="false"/>
                <w:color w:val="000000"/>
                <w:spacing w:val="0"/>
              </w:rPr>
              <w:t> </w:t>
            </w:r>
            <w:r>
              <w:rPr>
                <w:b w:val="false"/>
                <w:i w:val="false"/>
                <w:caps w:val="false"/>
                <w:smallCaps w:val="false"/>
                <w:color w:val="000000"/>
                <w:spacing w:val="0"/>
                <w:sz w:val="20"/>
              </w:rPr>
              <w:t>out</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ordinary</w:t>
            </w:r>
            <w:r>
              <w:rPr>
                <w:caps w:val="false"/>
                <w:smallCaps w:val="false"/>
                <w:color w:val="000000"/>
                <w:spacing w:val="0"/>
              </w:rPr>
              <w:t> </w:t>
            </w:r>
            <w:r>
              <w:rPr>
                <w:b w:val="false"/>
                <w:i w:val="false"/>
                <w:caps w:val="false"/>
                <w:smallCaps w:val="false"/>
                <w:color w:val="000000"/>
                <w:sz w:val="20"/>
              </w:rPr>
              <w:t>course;</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11)</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establishment</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repurchase</w:t>
            </w:r>
            <w:r>
              <w:rPr>
                <w:caps w:val="false"/>
                <w:smallCaps w:val="false"/>
                <w:color w:val="000000"/>
                <w:spacing w:val="0"/>
              </w:rPr>
              <w:t> </w:t>
            </w:r>
            <w:r>
              <w:rPr>
                <w:b w:val="false"/>
                <w:i w:val="false"/>
                <w:caps w:val="false"/>
                <w:smallCaps w:val="false"/>
                <w:color w:val="000000"/>
                <w:spacing w:val="0"/>
                <w:sz w:val="20"/>
              </w:rPr>
              <w:t>program</w:t>
            </w:r>
            <w:r>
              <w:rPr>
                <w:caps w:val="false"/>
                <w:smallCaps w:val="false"/>
                <w:color w:val="000000"/>
                <w:spacing w:val="0"/>
              </w:rPr>
              <w:t> </w:t>
            </w:r>
            <w:r>
              <w:rPr>
                <w:b w:val="false"/>
                <w:i w:val="false"/>
                <w:caps w:val="false"/>
                <w:smallCaps w:val="false"/>
                <w:color w:val="000000"/>
                <w:spacing w:val="0"/>
                <w:sz w:val="20"/>
              </w:rPr>
              <w:t>for</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z w:val="20"/>
              </w:rPr>
              <w:t>Securities;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12)</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change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Company’s</w:t>
            </w:r>
            <w:r>
              <w:rPr>
                <w:caps w:val="false"/>
                <w:smallCaps w:val="false"/>
                <w:color w:val="000000"/>
                <w:spacing w:val="0"/>
              </w:rPr>
              <w:t> </w:t>
            </w:r>
            <w:r>
              <w:rPr>
                <w:b w:val="false"/>
                <w:i w:val="false"/>
                <w:caps w:val="false"/>
                <w:smallCaps w:val="false"/>
                <w:color w:val="000000"/>
                <w:spacing w:val="0"/>
                <w:sz w:val="20"/>
              </w:rPr>
              <w:t>pricing</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cost</w:t>
            </w:r>
            <w:r>
              <w:rPr>
                <w:caps w:val="false"/>
                <w:smallCaps w:val="false"/>
                <w:color w:val="000000"/>
                <w:spacing w:val="0"/>
              </w:rPr>
              <w:t> </w:t>
            </w:r>
            <w:r>
              <w:rPr>
                <w:b w:val="false"/>
                <w:i w:val="false"/>
                <w:caps w:val="false"/>
                <w:smallCaps w:val="false"/>
                <w:color w:val="000000"/>
                <w:sz w:val="20"/>
              </w:rPr>
              <w:t>structure;</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13)</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Major</w:t>
            </w:r>
            <w:r>
              <w:rPr>
                <w:caps w:val="false"/>
                <w:smallCaps w:val="false"/>
                <w:color w:val="000000"/>
                <w:spacing w:val="0"/>
              </w:rPr>
              <w:t> </w:t>
            </w:r>
            <w:r>
              <w:rPr>
                <w:b w:val="false"/>
                <w:i w:val="false"/>
                <w:caps w:val="false"/>
                <w:smallCaps w:val="false"/>
                <w:color w:val="000000"/>
                <w:spacing w:val="0"/>
                <w:sz w:val="20"/>
              </w:rPr>
              <w:t>marketing</w:t>
            </w:r>
            <w:r>
              <w:rPr>
                <w:caps w:val="false"/>
                <w:smallCaps w:val="false"/>
                <w:color w:val="000000"/>
                <w:spacing w:val="0"/>
              </w:rPr>
              <w:t> </w:t>
            </w:r>
            <w:r>
              <w:rPr>
                <w:b w:val="false"/>
                <w:i w:val="false"/>
                <w:caps w:val="false"/>
                <w:smallCaps w:val="false"/>
                <w:color w:val="000000"/>
                <w:sz w:val="20"/>
              </w:rPr>
              <w:t>changes;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change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z w:val="20"/>
              </w:rPr>
              <w:t>management;</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15)</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change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auditors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notification</w:t>
            </w:r>
            <w:r>
              <w:rPr>
                <w:caps w:val="false"/>
                <w:smallCaps w:val="false"/>
                <w:color w:val="000000"/>
                <w:spacing w:val="0"/>
              </w:rPr>
              <w:t> </w:t>
            </w:r>
            <w:r>
              <w:rPr>
                <w:b w:val="false"/>
                <w:i w:val="false"/>
                <w:caps w:val="false"/>
                <w:smallCaps w:val="false"/>
                <w:color w:val="000000"/>
                <w:spacing w:val="0"/>
                <w:sz w:val="20"/>
              </w:rPr>
              <w:t>that</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auditor’s</w:t>
            </w:r>
            <w:r>
              <w:rPr>
                <w:caps w:val="false"/>
                <w:smallCaps w:val="false"/>
                <w:color w:val="000000"/>
                <w:spacing w:val="0"/>
              </w:rPr>
              <w:t> </w:t>
            </w:r>
            <w:r>
              <w:rPr>
                <w:b w:val="false"/>
                <w:i w:val="false"/>
                <w:caps w:val="false"/>
                <w:smallCaps w:val="false"/>
                <w:color w:val="000000"/>
                <w:spacing w:val="0"/>
                <w:sz w:val="20"/>
              </w:rPr>
              <w:t>reports</w:t>
            </w:r>
            <w:r>
              <w:rPr>
                <w:caps w:val="false"/>
                <w:smallCaps w:val="false"/>
                <w:color w:val="000000"/>
                <w:spacing w:val="0"/>
              </w:rPr>
              <w:t> </w:t>
            </w:r>
            <w:r>
              <w:rPr>
                <w:b w:val="false"/>
                <w:i w:val="false"/>
                <w:caps w:val="false"/>
                <w:smallCaps w:val="false"/>
                <w:color w:val="000000"/>
                <w:spacing w:val="0"/>
                <w:sz w:val="20"/>
              </w:rPr>
              <w:t>may</w:t>
            </w:r>
            <w:r>
              <w:rPr>
                <w:caps w:val="false"/>
                <w:smallCaps w:val="false"/>
                <w:color w:val="000000"/>
                <w:spacing w:val="0"/>
              </w:rPr>
              <w:t> </w:t>
            </w:r>
            <w:r>
              <w:rPr>
                <w:b w:val="false"/>
                <w:i w:val="false"/>
                <w:caps w:val="false"/>
                <w:smallCaps w:val="false"/>
                <w:color w:val="000000"/>
                <w:spacing w:val="0"/>
                <w:sz w:val="20"/>
              </w:rPr>
              <w:t>no</w:t>
            </w:r>
            <w:r>
              <w:rPr>
                <w:caps w:val="false"/>
                <w:smallCaps w:val="false"/>
                <w:color w:val="000000"/>
                <w:spacing w:val="0"/>
              </w:rPr>
              <w:t> </w:t>
            </w:r>
            <w:r>
              <w:rPr>
                <w:b w:val="false"/>
                <w:i w:val="false"/>
                <w:caps w:val="false"/>
                <w:smallCaps w:val="false"/>
                <w:color w:val="000000"/>
                <w:spacing w:val="0"/>
                <w:sz w:val="20"/>
              </w:rPr>
              <w:t>longer</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relied</w:t>
            </w:r>
            <w:r>
              <w:rPr>
                <w:caps w:val="false"/>
                <w:smallCaps w:val="false"/>
                <w:color w:val="000000"/>
                <w:spacing w:val="0"/>
              </w:rPr>
              <w:t> </w:t>
            </w:r>
            <w:r>
              <w:rPr>
                <w:b w:val="false"/>
                <w:i w:val="false"/>
                <w:caps w:val="false"/>
                <w:smallCaps w:val="false"/>
                <w:color w:val="000000"/>
                <w:sz w:val="20"/>
              </w:rPr>
              <w:t>upon;</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16)</w:t>
            </w:r>
          </w:p>
        </w:tc>
        <w:tc>
          <w:tcPr>
            <w:tcW w:w="9757" w:type="dxa"/>
            <w:tcBorders/>
          </w:tcPr>
          <w:p>
            <w:pPr>
              <w:pStyle w:val="TableContents"/>
              <w:widowControl/>
              <w:bidi w:val="0"/>
              <w:spacing w:before="0" w:after="283"/>
              <w:ind w:left="0" w:right="0" w:hanging="720"/>
              <w:jc w:val="left"/>
              <w:rPr>
                <w:b w:val="false"/>
                <w:i w:val="false"/>
                <w:caps w:val="false"/>
                <w:smallCaps w:val="false"/>
                <w:color w:val="000000"/>
                <w:spacing w:val="0"/>
                <w:sz w:val="20"/>
              </w:rPr>
            </w:pPr>
            <w:r>
              <w:rPr>
                <w:b w:val="false"/>
                <w:i w:val="false"/>
                <w:caps w:val="false"/>
                <w:smallCaps w:val="false"/>
                <w:color w:val="000000"/>
                <w:spacing w:val="0"/>
                <w:sz w:val="20"/>
              </w:rPr>
              <w:t xml:space="preserve">Development of a significant new product, process, or service; </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17)</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Pending</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threatened</w:t>
            </w:r>
            <w:r>
              <w:rPr>
                <w:caps w:val="false"/>
                <w:smallCaps w:val="false"/>
                <w:color w:val="000000"/>
                <w:spacing w:val="0"/>
              </w:rPr>
              <w:t> </w:t>
            </w:r>
            <w:r>
              <w:rPr>
                <w:b w:val="false"/>
                <w:i w:val="false"/>
                <w:caps w:val="false"/>
                <w:smallCaps w:val="false"/>
                <w:color w:val="000000"/>
                <w:spacing w:val="0"/>
                <w:sz w:val="20"/>
              </w:rPr>
              <w:t>significant</w:t>
            </w:r>
            <w:r>
              <w:rPr>
                <w:caps w:val="false"/>
                <w:smallCaps w:val="false"/>
                <w:color w:val="000000"/>
                <w:spacing w:val="0"/>
              </w:rPr>
              <w:t> </w:t>
            </w:r>
            <w:r>
              <w:rPr>
                <w:b w:val="false"/>
                <w:i w:val="false"/>
                <w:caps w:val="false"/>
                <w:smallCaps w:val="false"/>
                <w:color w:val="000000"/>
                <w:spacing w:val="0"/>
                <w:sz w:val="20"/>
              </w:rPr>
              <w:t>litigation,</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resolution</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such</w:t>
            </w:r>
            <w:r>
              <w:rPr>
                <w:caps w:val="false"/>
                <w:smallCaps w:val="false"/>
                <w:color w:val="000000"/>
                <w:spacing w:val="0"/>
              </w:rPr>
              <w:t> </w:t>
            </w:r>
            <w:r>
              <w:rPr>
                <w:b w:val="false"/>
                <w:i w:val="false"/>
                <w:caps w:val="false"/>
                <w:smallCaps w:val="false"/>
                <w:color w:val="000000"/>
                <w:sz w:val="20"/>
              </w:rPr>
              <w:t>litigation;</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18)</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Impending</w:t>
            </w:r>
            <w:r>
              <w:rPr>
                <w:caps w:val="false"/>
                <w:smallCaps w:val="false"/>
                <w:color w:val="000000"/>
                <w:spacing w:val="0"/>
              </w:rPr>
              <w:t> </w:t>
            </w:r>
            <w:r>
              <w:rPr>
                <w:b w:val="false"/>
                <w:i w:val="false"/>
                <w:caps w:val="false"/>
                <w:smallCaps w:val="false"/>
                <w:color w:val="000000"/>
                <w:spacing w:val="0"/>
                <w:sz w:val="20"/>
              </w:rPr>
              <w:t>bankruptcy</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existence</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severe</w:t>
            </w:r>
            <w:r>
              <w:rPr>
                <w:caps w:val="false"/>
                <w:smallCaps w:val="false"/>
                <w:color w:val="000000"/>
                <w:spacing w:val="0"/>
              </w:rPr>
              <w:t> </w:t>
            </w:r>
            <w:r>
              <w:rPr>
                <w:b w:val="false"/>
                <w:i w:val="false"/>
                <w:caps w:val="false"/>
                <w:smallCaps w:val="false"/>
                <w:color w:val="000000"/>
                <w:spacing w:val="0"/>
                <w:sz w:val="20"/>
              </w:rPr>
              <w:t>liquidity</w:t>
            </w:r>
            <w:r>
              <w:rPr>
                <w:caps w:val="false"/>
                <w:smallCaps w:val="false"/>
                <w:color w:val="000000"/>
                <w:spacing w:val="0"/>
              </w:rPr>
              <w:t> </w:t>
            </w:r>
            <w:r>
              <w:rPr>
                <w:b w:val="false"/>
                <w:i w:val="false"/>
                <w:caps w:val="false"/>
                <w:smallCaps w:val="false"/>
                <w:color w:val="000000"/>
                <w:sz w:val="20"/>
              </w:rPr>
              <w:t>problems;</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19)</w:t>
            </w:r>
          </w:p>
        </w:tc>
        <w:tc>
          <w:tcPr>
            <w:tcW w:w="9757" w:type="dxa"/>
            <w:tcBorders/>
          </w:tcPr>
          <w:p>
            <w:pPr>
              <w:pStyle w:val="TableContents"/>
              <w:widowControl/>
              <w:bidi w:val="0"/>
              <w:spacing w:before="0" w:after="283"/>
              <w:ind w:left="0" w:right="0" w:hanging="720"/>
              <w:jc w:val="left"/>
              <w:rPr/>
            </w:pP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gain</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loss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w:t>
            </w:r>
            <w:r>
              <w:rPr>
                <w:caps w:val="false"/>
                <w:smallCaps w:val="false"/>
                <w:color w:val="000000"/>
                <w:spacing w:val="0"/>
              </w:rPr>
              <w:t> </w:t>
            </w:r>
            <w:r>
              <w:rPr>
                <w:b w:val="false"/>
                <w:i w:val="false"/>
                <w:caps w:val="false"/>
                <w:smallCaps w:val="false"/>
                <w:color w:val="000000"/>
                <w:spacing w:val="0"/>
                <w:sz w:val="20"/>
              </w:rPr>
              <w:t>significant</w:t>
            </w:r>
            <w:r>
              <w:rPr>
                <w:caps w:val="false"/>
                <w:smallCaps w:val="false"/>
                <w:color w:val="000000"/>
                <w:spacing w:val="0"/>
              </w:rPr>
              <w:t> </w:t>
            </w:r>
            <w:r>
              <w:rPr>
                <w:b w:val="false"/>
                <w:i w:val="false"/>
                <w:caps w:val="false"/>
                <w:smallCaps w:val="false"/>
                <w:color w:val="000000"/>
                <w:spacing w:val="0"/>
                <w:sz w:val="20"/>
              </w:rPr>
              <w:t>customer</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z w:val="20"/>
              </w:rPr>
              <w:t>supplier;</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20)</w:t>
            </w:r>
          </w:p>
        </w:tc>
        <w:tc>
          <w:tcPr>
            <w:tcW w:w="9757" w:type="dxa"/>
            <w:tcBorders/>
          </w:tcPr>
          <w:p>
            <w:pPr>
              <w:pStyle w:val="TableContents"/>
              <w:widowControl/>
              <w:bidi w:val="0"/>
              <w:spacing w:before="0" w:after="283"/>
              <w:ind w:left="0" w:right="0" w:hanging="720"/>
              <w:jc w:val="left"/>
              <w:rPr>
                <w:b w:val="false"/>
                <w:i w:val="false"/>
                <w:caps w:val="false"/>
                <w:smallCaps w:val="false"/>
                <w:color w:val="000000"/>
                <w:spacing w:val="0"/>
                <w:sz w:val="20"/>
              </w:rPr>
            </w:pPr>
            <w:r>
              <w:rPr>
                <w:b w:val="false"/>
                <w:i w:val="false"/>
                <w:caps w:val="false"/>
                <w:smallCaps w:val="false"/>
                <w:color w:val="000000"/>
                <w:spacing w:val="0"/>
                <w:sz w:val="20"/>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tc>
      </w:tr>
      <w:tr>
        <w:trPr/>
        <w:tc>
          <w:tcPr>
            <w:tcW w:w="124"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pPr>
            <w:r>
              <w:rPr/>
            </w:r>
          </w:p>
        </w:tc>
        <w:tc>
          <w:tcPr>
            <w:tcW w:w="9757"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24" w:type="dxa"/>
            <w:tcBorders/>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21)</w:t>
            </w:r>
          </w:p>
        </w:tc>
        <w:tc>
          <w:tcPr>
            <w:tcW w:w="9757" w:type="dxa"/>
            <w:tcBorders/>
          </w:tcPr>
          <w:p>
            <w:pPr>
              <w:pStyle w:val="TableContents"/>
              <w:widowControl/>
              <w:bidi w:val="0"/>
              <w:spacing w:before="0" w:after="283"/>
              <w:ind w:left="0" w:right="0" w:hanging="720"/>
              <w:jc w:val="both"/>
              <w:rPr/>
            </w:pP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imposition</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an</w:t>
            </w:r>
            <w:r>
              <w:rPr>
                <w:caps w:val="false"/>
                <w:smallCaps w:val="false"/>
                <w:color w:val="000000"/>
                <w:spacing w:val="0"/>
              </w:rPr>
              <w:t> </w:t>
            </w:r>
            <w:r>
              <w:rPr>
                <w:b w:val="false"/>
                <w:i w:val="false"/>
                <w:caps w:val="false"/>
                <w:smallCaps w:val="false"/>
                <w:color w:val="000000"/>
                <w:spacing w:val="0"/>
                <w:sz w:val="20"/>
              </w:rPr>
              <w:t>event-specific</w:t>
            </w:r>
            <w:r>
              <w:rPr>
                <w:caps w:val="false"/>
                <w:smallCaps w:val="false"/>
                <w:color w:val="000000"/>
                <w:spacing w:val="0"/>
              </w:rPr>
              <w:t> </w:t>
            </w:r>
            <w:r>
              <w:rPr>
                <w:b w:val="false"/>
                <w:i w:val="false"/>
                <w:caps w:val="false"/>
                <w:smallCaps w:val="false"/>
                <w:color w:val="000000"/>
                <w:spacing w:val="0"/>
                <w:sz w:val="20"/>
              </w:rPr>
              <w:t>restriction</w:t>
            </w:r>
            <w:r>
              <w:rPr>
                <w:caps w:val="false"/>
                <w:smallCaps w:val="false"/>
                <w:color w:val="000000"/>
                <w:spacing w:val="0"/>
              </w:rPr>
              <w:t> </w:t>
            </w:r>
            <w:r>
              <w:rPr>
                <w:b w:val="false"/>
                <w:i w:val="false"/>
                <w:caps w:val="false"/>
                <w:smallCaps w:val="false"/>
                <w:color w:val="000000"/>
                <w:spacing w:val="0"/>
                <w:sz w:val="20"/>
              </w:rPr>
              <w:t>on</w:t>
            </w:r>
            <w:r>
              <w:rPr>
                <w:caps w:val="false"/>
                <w:smallCaps w:val="false"/>
                <w:color w:val="000000"/>
                <w:spacing w:val="0"/>
              </w:rPr>
              <w:t> </w:t>
            </w:r>
            <w:r>
              <w:rPr>
                <w:b w:val="false"/>
                <w:i w:val="false"/>
                <w:caps w:val="false"/>
                <w:smallCaps w:val="false"/>
                <w:color w:val="000000"/>
                <w:spacing w:val="0"/>
                <w:sz w:val="20"/>
              </w:rPr>
              <w:t>trading</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Company</w:t>
            </w:r>
            <w:r>
              <w:rPr>
                <w:caps w:val="false"/>
                <w:smallCaps w:val="false"/>
                <w:color w:val="000000"/>
                <w:spacing w:val="0"/>
              </w:rPr>
              <w:t> </w:t>
            </w:r>
            <w:r>
              <w:rPr>
                <w:b w:val="false"/>
                <w:i w:val="false"/>
                <w:caps w:val="false"/>
                <w:smallCaps w:val="false"/>
                <w:color w:val="000000"/>
                <w:spacing w:val="0"/>
                <w:sz w:val="20"/>
              </w:rPr>
              <w:t>Securities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securities of another company or the extension or termination of such restriction.</w:t>
            </w:r>
          </w:p>
        </w:tc>
      </w:tr>
    </w:tbl>
    <w:p>
      <w:pPr>
        <w:pStyle w:val="TextBody"/>
        <w:bidi w:val="0"/>
        <w:spacing w:lineRule="auto" w:line="288" w:before="11"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288" w:before="11" w:after="0"/>
        <w:ind w:left="0" w:right="0" w:hanging="0"/>
        <w:jc w:val="left"/>
        <w:rPr/>
      </w:pPr>
      <w:r>
        <w:rPr/>
        <w:t> </w:t>
      </w:r>
    </w:p>
    <w:p>
      <w:pPr>
        <w:pStyle w:val="TextBody"/>
        <w:widowControl w:val="false"/>
        <w:bidi w:val="0"/>
        <w:spacing w:lineRule="auto" w:line="288" w:before="0" w:after="0"/>
        <w:ind w:left="600" w:right="623"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foregoing</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illustrative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intended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comprehensive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 circumstances</w:t>
      </w:r>
      <w:r>
        <w:rPr>
          <w:rFonts w:ascii="times new roman;times" w:hAnsi="times new roman;times"/>
          <w:sz w:val="20"/>
        </w:rPr>
        <w:t xml:space="preserve"> </w:t>
      </w:r>
      <w:r>
        <w:rPr>
          <w:rFonts w:ascii="Times New Roman" w:hAnsi="Times New Roman"/>
          <w:sz w:val="20"/>
        </w:rPr>
        <w:t>that could give rise to material information.</w:t>
      </w:r>
    </w:p>
    <w:p>
      <w:pPr>
        <w:pStyle w:val="TextBody"/>
        <w:widowControl w:val="false"/>
        <w:bidi w:val="0"/>
        <w:spacing w:lineRule="auto" w:line="288" w:before="9" w:after="0"/>
        <w:ind w:left="0" w:right="0" w:hanging="0"/>
        <w:jc w:val="left"/>
        <w:rPr/>
      </w:pPr>
      <w:r>
        <w:rPr/>
        <w:t> </w:t>
      </w:r>
    </w:p>
    <w:p>
      <w:pPr>
        <w:pStyle w:val="TextBody"/>
        <w:widowControl w:val="false"/>
        <w:bidi w:val="0"/>
        <w:spacing w:lineRule="auto" w:line="288" w:before="0" w:after="0"/>
        <w:ind w:left="600" w:right="611" w:hanging="0"/>
        <w:jc w:val="left"/>
        <w:rPr>
          <w:rFonts w:ascii="times new roman;times" w:hAnsi="times new roman;times"/>
          <w:sz w:val="20"/>
        </w:rPr>
      </w:pPr>
      <w:r>
        <w:rPr>
          <w:rFonts w:ascii="Times New Roman" w:hAnsi="Times New Roman"/>
          <w:b/>
          <w:sz w:val="20"/>
          <w:u w:val="single"/>
        </w:rPr>
        <w:t>When Information is Considered Public</w:t>
      </w:r>
      <w:r>
        <w:rPr>
          <w:rFonts w:ascii="Times New Roman" w:hAnsi="Times New Roman"/>
          <w:strike w:val="false"/>
          <w:dstrike w:val="false"/>
          <w:sz w:val="20"/>
          <w:u w:val="none"/>
          <w:effect w:val="none"/>
        </w:rPr>
        <w:t>. Information that has not been disclosed to the public is generally considered to be nonpublic information. In</w:t>
      </w:r>
      <w:r>
        <w:rPr>
          <w:rFonts w:ascii="times new roman;times" w:hAnsi="times new roman;times"/>
          <w:sz w:val="20"/>
        </w:rPr>
        <w:t xml:space="preserve"> </w:t>
      </w:r>
      <w:r>
        <w:rPr>
          <w:rFonts w:ascii="Times New Roman" w:hAnsi="Times New Roman"/>
          <w:strike w:val="false"/>
          <w:dstrike w:val="false"/>
          <w:sz w:val="20"/>
          <w:u w:val="none"/>
          <w:effect w:val="none"/>
        </w:rPr>
        <w:t>order to establish that the information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been disclosed to the public, it 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necessary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demonstrate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widely</w:t>
      </w:r>
      <w:r>
        <w:rPr>
          <w:rFonts w:ascii="times new roman;times" w:hAnsi="times new roman;times"/>
          <w:sz w:val="20"/>
        </w:rPr>
        <w:t xml:space="preserve"> </w:t>
      </w:r>
      <w:r>
        <w:rPr>
          <w:rFonts w:ascii="Times New Roman" w:hAnsi="Times New Roman"/>
          <w:strike w:val="false"/>
          <w:dstrike w:val="false"/>
          <w:sz w:val="20"/>
          <w:u w:val="none"/>
          <w:effect w:val="none"/>
        </w:rPr>
        <w:t>disseminated.</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generally</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 xml:space="preserve">be considered widely disseminated if it has been disclosed through the newswire services, a broadcast on widely- available radio or television programs, publication in a widely-available newspaper, magazine or news website, or public disclosure documents filed with the Securities and Exchange Commission (the “SEC”) that are available on the SEC’s website. By contrast, information would likely not be considered widely disseminated if it is available only to the Company’s employees, or if it is only available to a select group of analysts, brokers and institutional </w:t>
      </w:r>
      <w:r>
        <w:rPr>
          <w:rFonts w:ascii="Times New Roman" w:hAnsi="Times New Roman"/>
          <w:strike w:val="false"/>
          <w:dstrike w:val="false"/>
          <w:spacing w:val="-2"/>
          <w:sz w:val="20"/>
          <w:u w:val="none"/>
          <w:effect w:val="none"/>
        </w:rPr>
        <w:t>investors.</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600" w:right="623" w:hanging="0"/>
        <w:jc w:val="left"/>
        <w:rPr>
          <w:rFonts w:ascii="times new roman;times" w:hAnsi="times new roman;times"/>
          <w:sz w:val="20"/>
        </w:rPr>
      </w:pPr>
      <w:r>
        <w:rPr>
          <w:rFonts w:ascii="Times New Roman" w:hAnsi="Times New Roman"/>
          <w:sz w:val="20"/>
        </w:rPr>
        <w:t>Once</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widely</w:t>
      </w:r>
      <w:r>
        <w:rPr>
          <w:rFonts w:ascii="times new roman;times" w:hAnsi="times new roman;times"/>
          <w:sz w:val="20"/>
        </w:rPr>
        <w:t xml:space="preserve"> </w:t>
      </w:r>
      <w:r>
        <w:rPr>
          <w:rFonts w:ascii="Times New Roman" w:hAnsi="Times New Roman"/>
          <w:sz w:val="20"/>
        </w:rPr>
        <w:t>disseminated,</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is still</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investing</w:t>
      </w:r>
      <w:r>
        <w:rPr>
          <w:rFonts w:ascii="times new roman;times" w:hAnsi="times new roman;times"/>
          <w:sz w:val="20"/>
        </w:rPr>
        <w:t xml:space="preserve"> </w:t>
      </w:r>
      <w:r>
        <w:rPr>
          <w:rFonts w:ascii="Times New Roman" w:hAnsi="Times New Roman"/>
          <w:sz w:val="20"/>
        </w:rPr>
        <w:t>public</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 absorb the</w:t>
      </w:r>
      <w:r>
        <w:rPr>
          <w:rFonts w:ascii="times new roman;times" w:hAnsi="times new roman;times"/>
          <w:sz w:val="20"/>
        </w:rPr>
        <w:t xml:space="preserve"> </w:t>
      </w:r>
      <w:r>
        <w:rPr>
          <w:rFonts w:ascii="Times New Roman" w:hAnsi="Times New Roman"/>
          <w:sz w:val="20"/>
        </w:rPr>
        <w:t>information. As</w:t>
      </w:r>
      <w:r>
        <w:rPr>
          <w:rFonts w:ascii="times new roman;times" w:hAnsi="times new roman;times"/>
          <w:sz w:val="20"/>
        </w:rPr>
        <w:t xml:space="preserve"> </w:t>
      </w:r>
      <w:r>
        <w:rPr>
          <w:rFonts w:ascii="Times New Roman" w:hAnsi="Times New Roman"/>
          <w:sz w:val="20"/>
        </w:rPr>
        <w:t>a general</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should 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considered fully</w:t>
      </w:r>
      <w:r>
        <w:rPr>
          <w:rFonts w:ascii="times new roman;times" w:hAnsi="times new roman;times"/>
          <w:sz w:val="20"/>
        </w:rPr>
        <w:t xml:space="preserve"> </w:t>
      </w:r>
      <w:r>
        <w:rPr>
          <w:rFonts w:ascii="Times New Roman" w:hAnsi="Times New Roman"/>
          <w:sz w:val="20"/>
        </w:rPr>
        <w:t>absorbed by</w:t>
      </w:r>
      <w:r>
        <w:rPr>
          <w:rFonts w:ascii="times new roman;times" w:hAnsi="times new roman;times"/>
          <w:sz w:val="20"/>
        </w:rPr>
        <w:t xml:space="preserve"> </w:t>
      </w:r>
      <w:r>
        <w:rPr>
          <w:rFonts w:ascii="Times New Roman" w:hAnsi="Times New Roman"/>
          <w:sz w:val="20"/>
        </w:rPr>
        <w:t>the market until after the second Trading Day after the day</w:t>
      </w:r>
      <w:r>
        <w:rPr>
          <w:rFonts w:ascii="times new roman;times" w:hAnsi="times new roman;times"/>
          <w:sz w:val="20"/>
        </w:rPr>
        <w:t xml:space="preserve"> </w:t>
      </w:r>
      <w:r>
        <w:rPr>
          <w:rFonts w:ascii="Times New Roman" w:hAnsi="Times New Roman"/>
          <w:sz w:val="20"/>
        </w:rPr>
        <w:t>on which the information is publicly</w:t>
      </w:r>
      <w:r>
        <w:rPr>
          <w:rFonts w:ascii="times new roman;times" w:hAnsi="times new roman;times"/>
          <w:sz w:val="20"/>
        </w:rPr>
        <w:t xml:space="preserve"> </w:t>
      </w:r>
      <w:r>
        <w:rPr>
          <w:rFonts w:ascii="Times New Roman" w:hAnsi="Times New Roman"/>
          <w:sz w:val="20"/>
        </w:rPr>
        <w:t>released. As used herein, the term “Trading Day” shall mean any day</w:t>
      </w:r>
      <w:r>
        <w:rPr>
          <w:rFonts w:ascii="times new roman;times" w:hAnsi="times new roman;times"/>
          <w:sz w:val="20"/>
        </w:rPr>
        <w:t xml:space="preserve"> </w:t>
      </w:r>
      <w:r>
        <w:rPr>
          <w:rFonts w:ascii="Times New Roman" w:hAnsi="Times New Roman"/>
          <w:sz w:val="20"/>
        </w:rPr>
        <w:t>on which the Nasdaq Stock Market LLC ( the “Nasdaq”) or, if the Company’s common stock is not then traded on the Nasdaq, the principal national securities exchange, automated quotation system or other trading market where the Company’s common stock is then listed, quoted or traded, is open for trading. If, for example, the Company were to make a public announcement of previously material nonpublic information on a Monday that is a Trading Day (at any time after market open), the information would not be considered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fully</w:t>
      </w:r>
      <w:r>
        <w:rPr>
          <w:rFonts w:ascii="times new roman;times" w:hAnsi="times new roman;times"/>
          <w:sz w:val="20"/>
        </w:rPr>
        <w:t xml:space="preserve"> </w:t>
      </w:r>
      <w:r>
        <w:rPr>
          <w:rFonts w:ascii="Times New Roman" w:hAnsi="Times New Roman"/>
          <w:sz w:val="20"/>
        </w:rPr>
        <w:t>absorbed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Thursday</w:t>
      </w:r>
      <w:r>
        <w:rPr>
          <w:rFonts w:ascii="times new roman;times" w:hAnsi="times new roman;times"/>
          <w:sz w:val="20"/>
        </w:rPr>
        <w:t xml:space="preserve"> </w:t>
      </w:r>
      <w:r>
        <w:rPr>
          <w:rFonts w:ascii="Times New Roman" w:hAnsi="Times New Roman"/>
          <w:sz w:val="20"/>
        </w:rPr>
        <w:t>(assuming</w:t>
      </w:r>
      <w:r>
        <w:rPr>
          <w:rFonts w:ascii="times new roman;times" w:hAnsi="times new roman;times"/>
          <w:sz w:val="20"/>
        </w:rPr>
        <w:t xml:space="preserve"> </w:t>
      </w:r>
      <w:r>
        <w:rPr>
          <w:rFonts w:ascii="Times New Roman" w:hAnsi="Times New Roman"/>
          <w:sz w:val="20"/>
        </w:rPr>
        <w:t>Tuesday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Wednesday</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 However, if, for example, the Company were to make an announcement pre-market on a Monday that is a Trading Day, the information would not be considered to be fully absorbed by the market until Wednesday (assuming Tuesday is also a Trading Day). Although such circumstances are likely to be rare, depending on the particular circumstances, the Compliance Officer, or the Company’s Board of Directors or the Audit</w:t>
      </w:r>
      <w:r>
        <w:rPr>
          <w:rFonts w:ascii="times new roman;times" w:hAnsi="times new roman;times"/>
          <w:sz w:val="20"/>
        </w:rPr>
        <w:t xml:space="preserve"> </w:t>
      </w:r>
      <w:r>
        <w:rPr>
          <w:rFonts w:ascii="Times New Roman" w:hAnsi="Times New Roman"/>
          <w:sz w:val="20"/>
        </w:rPr>
        <w:t>Committee of the Board of Directors, if the Compliance Officer elects to assign such responsibility to the Board of Directors or the Audit Committee of the Board of Directors, may determine that a longer or shorter absorption period should apply following public release of specific material nonpublic information. For the avoidance of doubt, the persons designated by the Compliance Officer as being subject to pre-clearance procedures (as described under the heading “Additional Procedures”), as well as the Family Members and Controlled Entities of such persons, may not engage in any transaction in Company Securities without first obtaining pre-clearance of the transaction from the Compliance Officer in accordance with the terms of this Policy, even after information is considered to be fully absorbed by the market, as set forth above.</w:t>
      </w:r>
    </w:p>
    <w:p>
      <w:pPr>
        <w:pStyle w:val="TextBody"/>
        <w:widowControl w:val="false"/>
        <w:bidi w:val="0"/>
        <w:spacing w:lineRule="auto" w:line="288" w:before="15"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8.    </w:t>
      </w:r>
      <w:r>
        <w:rPr>
          <w:rFonts w:ascii="Times New Roman" w:hAnsi="Times New Roman"/>
          <w:b/>
          <w:sz w:val="20"/>
          <w:u w:val="single"/>
        </w:rPr>
        <w:t xml:space="preserve">Transactions by Family Members and </w:t>
      </w:r>
      <w:r>
        <w:rPr>
          <w:rFonts w:ascii="Times New Roman" w:hAnsi="Times New Roman"/>
          <w:b/>
          <w:spacing w:val="-2"/>
          <w:sz w:val="20"/>
          <w:u w:val="single"/>
        </w:rPr>
        <w:t>Others</w:t>
      </w:r>
    </w:p>
    <w:p>
      <w:pPr>
        <w:pStyle w:val="TextBody"/>
        <w:widowControl w:val="false"/>
        <w:bidi w:val="0"/>
        <w:spacing w:lineRule="auto" w:line="288" w:before="6" w:after="0"/>
        <w:ind w:left="0" w:right="0" w:hanging="0"/>
        <w:jc w:val="left"/>
        <w:rPr/>
      </w:pPr>
      <w:r>
        <w:rPr/>
        <w:t> </w:t>
      </w:r>
    </w:p>
    <w:p>
      <w:pPr>
        <w:pStyle w:val="TextBody"/>
        <w:widowControl w:val="false"/>
        <w:bidi w:val="0"/>
        <w:spacing w:lineRule="auto" w:line="288" w:before="0" w:after="0"/>
        <w:ind w:left="600" w:right="623" w:hanging="0"/>
        <w:jc w:val="left"/>
        <w:rPr>
          <w:rFonts w:ascii="times new roman;times" w:hAnsi="times new roman;times"/>
          <w:sz w:val="20"/>
        </w:rPr>
      </w:pPr>
      <w:r>
        <w:rPr>
          <w:rFonts w:ascii="Times New Roman" w:hAnsi="Times New Roman"/>
          <w:sz w:val="20"/>
        </w:rPr>
        <w:t>In addition to all directors, officers, employees and Consultants of the Company (or any other person designated as subject to this Policy) (“you”), this Policy</w:t>
      </w:r>
      <w:r>
        <w:rPr>
          <w:rFonts w:ascii="times new roman;times" w:hAnsi="times new roman;times"/>
          <w:sz w:val="20"/>
        </w:rPr>
        <w:t xml:space="preserve"> </w:t>
      </w:r>
      <w:r>
        <w:rPr>
          <w:rFonts w:ascii="Times New Roman" w:hAnsi="Times New Roman"/>
          <w:sz w:val="20"/>
        </w:rPr>
        <w:t>applies to all family members who reside with you (including a spouse, a child, a child away</w:t>
      </w:r>
      <w:r>
        <w:rPr>
          <w:rFonts w:ascii="times new roman;times" w:hAnsi="times new roman;times"/>
          <w:sz w:val="20"/>
        </w:rPr>
        <w:t xml:space="preserve"> </w:t>
      </w:r>
      <w:r>
        <w:rPr>
          <w:rFonts w:ascii="Times New Roman" w:hAnsi="Times New Roman"/>
          <w:sz w:val="20"/>
        </w:rPr>
        <w:t>at college, stepchildren, grandchildren, parents, stepparents, grandparents, siblings and in-laws), anyone else who lives in your household, and any family members who do not live in your household but whose transactions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directed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you</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your</w:t>
      </w:r>
      <w:r>
        <w:rPr>
          <w:rFonts w:ascii="times new roman;times" w:hAnsi="times new roman;times"/>
          <w:sz w:val="20"/>
        </w:rPr>
        <w:t xml:space="preserve"> </w:t>
      </w:r>
      <w:r>
        <w:rPr>
          <w:rFonts w:ascii="Times New Roman" w:hAnsi="Times New Roman"/>
          <w:sz w:val="20"/>
        </w:rPr>
        <w:t>influence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or children who consult with you before they trade in Company Securities (collectively referred to as “Family Members”).</w:t>
      </w:r>
      <w:r>
        <w:rPr>
          <w:rFonts w:ascii="times new roman;times" w:hAnsi="times new roman;times"/>
          <w:sz w:val="20"/>
        </w:rPr>
        <w:t xml:space="preserve"> </w:t>
      </w:r>
      <w:r>
        <w:rPr>
          <w:rFonts w:ascii="Times New Roman" w:hAnsi="Times New Roman"/>
          <w:sz w:val="20"/>
        </w:rPr>
        <w:t>You</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responsible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other persons</w:t>
      </w:r>
      <w:r>
        <w:rPr>
          <w:rFonts w:ascii="times new roman;times" w:hAnsi="times new roman;times"/>
          <w:sz w:val="20"/>
        </w:rPr>
        <w:t xml:space="preserve"> </w:t>
      </w:r>
      <w:r>
        <w:rPr>
          <w:rFonts w:ascii="Times New Roman" w:hAnsi="Times New Roman"/>
          <w:sz w:val="20"/>
        </w:rPr>
        <w:t>and therefore</w:t>
      </w:r>
      <w:r>
        <w:rPr>
          <w:rFonts w:ascii="times new roman;times" w:hAnsi="times new roman;times"/>
          <w:sz w:val="20"/>
        </w:rPr>
        <w:t xml:space="preserve"> </w:t>
      </w:r>
      <w:r>
        <w:rPr>
          <w:rFonts w:ascii="Times New Roman" w:hAnsi="Times New Roman"/>
          <w:sz w:val="20"/>
        </w:rPr>
        <w:t>should make</w:t>
      </w:r>
      <w:r>
        <w:rPr>
          <w:rFonts w:ascii="times new roman;times" w:hAnsi="times new roman;times"/>
          <w:sz w:val="20"/>
        </w:rPr>
        <w:t xml:space="preserve"> </w:t>
      </w:r>
      <w:r>
        <w:rPr>
          <w:rFonts w:ascii="Times New Roman" w:hAnsi="Times New Roman"/>
          <w:sz w:val="20"/>
        </w:rPr>
        <w:t>them</w:t>
      </w:r>
      <w:r>
        <w:rPr>
          <w:rFonts w:ascii="times new roman;times" w:hAnsi="times new roman;times"/>
          <w:sz w:val="20"/>
        </w:rPr>
        <w:t xml:space="preserve"> </w:t>
      </w:r>
      <w:r>
        <w:rPr>
          <w:rFonts w:ascii="Times New Roman" w:hAnsi="Times New Roman"/>
          <w:sz w:val="20"/>
        </w:rPr>
        <w:t>aware of</w:t>
      </w:r>
      <w:r>
        <w:rPr>
          <w:rFonts w:ascii="times new roman;times" w:hAnsi="times new roman;times"/>
          <w:sz w:val="20"/>
        </w:rPr>
        <w:t xml:space="preserve"> </w:t>
      </w:r>
      <w:r>
        <w:rPr>
          <w:rFonts w:ascii="Times New Roman" w:hAnsi="Times New Roman"/>
          <w:sz w:val="20"/>
        </w:rPr>
        <w:t>the need to confer with you before they</w:t>
      </w:r>
      <w:r>
        <w:rPr>
          <w:rFonts w:ascii="times new roman;times" w:hAnsi="times new roman;times"/>
          <w:sz w:val="20"/>
        </w:rPr>
        <w:t xml:space="preserve"> </w:t>
      </w:r>
      <w:r>
        <w:rPr>
          <w:rFonts w:ascii="Times New Roman" w:hAnsi="Times New Roman"/>
          <w:sz w:val="20"/>
        </w:rPr>
        <w:t>trade in</w:t>
      </w:r>
      <w:r>
        <w:rPr>
          <w:rFonts w:ascii="times new roman;times" w:hAnsi="times new roman;times"/>
          <w:sz w:val="20"/>
        </w:rPr>
        <w:t xml:space="preserve"> </w:t>
      </w:r>
      <w:r>
        <w:rPr>
          <w:rFonts w:ascii="Times New Roman" w:hAnsi="Times New Roman"/>
          <w:sz w:val="20"/>
        </w:rPr>
        <w:t>Company Securities, and you should treat all such transactions 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 as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your</w:t>
      </w:r>
      <w:r>
        <w:rPr>
          <w:rFonts w:ascii="times new roman;times" w:hAnsi="times new roman;times"/>
          <w:sz w:val="20"/>
        </w:rPr>
        <w:t xml:space="preserve"> </w:t>
      </w:r>
      <w:r>
        <w:rPr>
          <w:rFonts w:ascii="Times New Roman" w:hAnsi="Times New Roman"/>
          <w:sz w:val="20"/>
        </w:rPr>
        <w:t>own</w:t>
      </w:r>
      <w:r>
        <w:rPr>
          <w:rFonts w:ascii="times new roman;times" w:hAnsi="times new roman;times"/>
          <w:sz w:val="20"/>
        </w:rPr>
        <w:t xml:space="preserve"> </w:t>
      </w:r>
      <w:r>
        <w:rPr>
          <w:rFonts w:ascii="Times New Roman" w:hAnsi="Times New Roman"/>
          <w:sz w:val="20"/>
        </w:rPr>
        <w:t>account.</w:t>
      </w:r>
      <w:r>
        <w:rPr>
          <w:rFonts w:ascii="times new roman;times" w:hAnsi="times new roman;times"/>
          <w:sz w:val="20"/>
        </w:rPr>
        <w:t xml:space="preserve"> </w:t>
      </w:r>
      <w:r>
        <w:rPr>
          <w:rFonts w:ascii="Times New Roman" w:hAnsi="Times New Roman"/>
          <w:sz w:val="20"/>
        </w:rPr>
        <w:t>This Policy</w:t>
      </w:r>
      <w:r>
        <w:rPr>
          <w:rFonts w:ascii="times new roman;times" w:hAnsi="times new roman;times"/>
          <w:sz w:val="20"/>
        </w:rPr>
        <w:t xml:space="preserve"> </w:t>
      </w:r>
      <w:r>
        <w:rPr>
          <w:rFonts w:ascii="Times New Roman" w:hAnsi="Times New Roman"/>
          <w:sz w:val="20"/>
        </w:rPr>
        <w:t>does not, however, apply</w:t>
      </w:r>
      <w:r>
        <w:rPr>
          <w:rFonts w:ascii="times new roman;times" w:hAnsi="times new roman;times"/>
          <w:sz w:val="20"/>
        </w:rPr>
        <w:t xml:space="preserve"> </w:t>
      </w:r>
      <w:r>
        <w:rPr>
          <w:rFonts w:ascii="Times New Roman" w:hAnsi="Times New Roman"/>
          <w:sz w:val="20"/>
        </w:rPr>
        <w:t>to personal securities transactions of Family</w:t>
      </w:r>
      <w:r>
        <w:rPr>
          <w:rFonts w:ascii="times new roman;times" w:hAnsi="times new roman;times"/>
          <w:sz w:val="20"/>
        </w:rPr>
        <w:t xml:space="preserve"> </w:t>
      </w:r>
      <w:r>
        <w:rPr>
          <w:rFonts w:ascii="Times New Roman" w:hAnsi="Times New Roman"/>
          <w:sz w:val="20"/>
        </w:rPr>
        <w:t>Members where the purchase or sale decision is made by a third party not controlled by, influenced by or related to you or your Family Members.</w:t>
      </w:r>
    </w:p>
    <w:p>
      <w:pPr>
        <w:pStyle w:val="TextBody"/>
        <w:widowControl w:val="false"/>
        <w:bidi w:val="0"/>
        <w:spacing w:lineRule="auto" w:line="288" w:before="15"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9.    </w:t>
      </w:r>
      <w:r>
        <w:rPr>
          <w:rFonts w:ascii="Times New Roman" w:hAnsi="Times New Roman"/>
          <w:b/>
          <w:sz w:val="20"/>
          <w:u w:val="single"/>
        </w:rPr>
        <w:t>Transactions</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Entities</w:t>
      </w:r>
      <w:r>
        <w:rPr>
          <w:rFonts w:ascii="Times New Roman" w:hAnsi="Times New Roman"/>
          <w:b/>
          <w:sz w:val="20"/>
        </w:rPr>
        <w:t xml:space="preserve"> </w:t>
      </w:r>
      <w:r>
        <w:rPr>
          <w:rFonts w:ascii="Times New Roman" w:hAnsi="Times New Roman"/>
          <w:b/>
          <w:sz w:val="20"/>
          <w:u w:val="single"/>
        </w:rPr>
        <w:t>that</w:t>
      </w:r>
      <w:r>
        <w:rPr>
          <w:rFonts w:ascii="Times New Roman" w:hAnsi="Times New Roman"/>
          <w:b/>
          <w:sz w:val="20"/>
        </w:rPr>
        <w:t xml:space="preserve"> </w:t>
      </w:r>
      <w:r>
        <w:rPr>
          <w:rFonts w:ascii="Times New Roman" w:hAnsi="Times New Roman"/>
          <w:b/>
          <w:sz w:val="20"/>
          <w:u w:val="single"/>
        </w:rPr>
        <w:t>You</w:t>
      </w:r>
      <w:r>
        <w:rPr>
          <w:rFonts w:ascii="Times New Roman" w:hAnsi="Times New Roman"/>
          <w:b/>
          <w:sz w:val="20"/>
        </w:rPr>
        <w:t xml:space="preserve"> </w:t>
      </w:r>
      <w:r>
        <w:rPr>
          <w:rFonts w:ascii="Times New Roman" w:hAnsi="Times New Roman"/>
          <w:b/>
          <w:sz w:val="20"/>
          <w:u w:val="single"/>
        </w:rPr>
        <w:t>Influence</w:t>
      </w:r>
      <w:r>
        <w:rPr>
          <w:rFonts w:ascii="Times New Roman" w:hAnsi="Times New Roman"/>
          <w:b/>
          <w:sz w:val="20"/>
        </w:rPr>
        <w:t xml:space="preserve"> </w:t>
      </w:r>
      <w:r>
        <w:rPr>
          <w:rFonts w:ascii="Times New Roman" w:hAnsi="Times New Roman"/>
          <w:b/>
          <w:sz w:val="20"/>
          <w:u w:val="single"/>
        </w:rPr>
        <w:t>or</w:t>
      </w:r>
      <w:r>
        <w:rPr>
          <w:rFonts w:ascii="Times New Roman" w:hAnsi="Times New Roman"/>
          <w:b/>
          <w:sz w:val="20"/>
        </w:rPr>
        <w:t xml:space="preserve"> </w:t>
      </w:r>
      <w:r>
        <w:rPr>
          <w:rFonts w:ascii="Times New Roman" w:hAnsi="Times New Roman"/>
          <w:b/>
          <w:spacing w:val="-2"/>
          <w:sz w:val="20"/>
          <w:u w:val="single"/>
        </w:rPr>
        <w:t>Control</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1" w:after="0"/>
        <w:ind w:left="600" w:right="623" w:hanging="0"/>
        <w:jc w:val="left"/>
        <w:rPr>
          <w:rFonts w:ascii="times new roman;times" w:hAnsi="times new roman;times"/>
          <w:sz w:val="20"/>
        </w:rPr>
      </w:pPr>
      <w:r>
        <w:rPr>
          <w:rFonts w:ascii="Times New Roman" w:hAnsi="Times New Roman"/>
          <w:b/>
          <w:color w:val="C00000"/>
          <w:sz w:val="20"/>
        </w:rPr>
        <w:t>This Policy applies to any entities that you influence or control</w:t>
      </w:r>
      <w:r>
        <w:rPr>
          <w:rFonts w:ascii="Times New Roman" w:hAnsi="Times New Roman"/>
          <w:sz w:val="20"/>
        </w:rPr>
        <w:t>, including any corporations, companies, partnerships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trusts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referred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Entities”),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Entities should be</w:t>
      </w:r>
      <w:r>
        <w:rPr>
          <w:rFonts w:ascii="times new roman;times" w:hAnsi="times new roman;times"/>
          <w:sz w:val="20"/>
        </w:rPr>
        <w:t xml:space="preserve"> </w:t>
      </w:r>
      <w:r>
        <w:rPr>
          <w:rFonts w:ascii="Times New Roman" w:hAnsi="Times New Roman"/>
          <w:sz w:val="20"/>
        </w:rPr>
        <w:t>treated 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 Policy</w:t>
      </w:r>
      <w:r>
        <w:rPr>
          <w:rFonts w:ascii="times new roman;times" w:hAnsi="times new roman;times"/>
          <w:sz w:val="20"/>
        </w:rPr>
        <w:t xml:space="preserve"> </w:t>
      </w:r>
      <w:r>
        <w:rPr>
          <w:rFonts w:ascii="Times New Roman" w:hAnsi="Times New Roman"/>
          <w:sz w:val="20"/>
        </w:rPr>
        <w:t>and applicable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they</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your</w:t>
      </w:r>
      <w:r>
        <w:rPr>
          <w:rFonts w:ascii="times new roman;times" w:hAnsi="times new roman;times"/>
          <w:sz w:val="20"/>
        </w:rPr>
        <w:t xml:space="preserve"> </w:t>
      </w:r>
      <w:r>
        <w:rPr>
          <w:rFonts w:ascii="Times New Roman" w:hAnsi="Times New Roman"/>
          <w:sz w:val="20"/>
        </w:rPr>
        <w:t>own</w:t>
      </w:r>
      <w:r>
        <w:rPr>
          <w:rFonts w:ascii="times new roman;times" w:hAnsi="times new roman;times"/>
          <w:sz w:val="20"/>
        </w:rPr>
        <w:t xml:space="preserve"> </w:t>
      </w:r>
      <w:r>
        <w:rPr>
          <w:rFonts w:ascii="Times New Roman" w:hAnsi="Times New Roman"/>
          <w:sz w:val="20"/>
        </w:rPr>
        <w:t>account. However, the pro rata distribution, by a venture capital partnership or other similar entity with which a director or officer is affiliated, of</w:t>
      </w:r>
      <w:r>
        <w:rPr>
          <w:rFonts w:ascii="times new roman;times" w:hAnsi="times new roman;times"/>
          <w:sz w:val="20"/>
        </w:rPr>
        <w:t xml:space="preserve"> </w:t>
      </w:r>
      <w:r>
        <w:rPr>
          <w:rFonts w:ascii="Times New Roman" w:hAnsi="Times New Roman"/>
          <w:sz w:val="20"/>
        </w:rPr>
        <w:t>Company securities to its partners, members or other similar persons is permitted under this Policy, subject to the pre-clearance procedures outlined below under the heading “Additional Procedures.” Additionally, the Compliance Officer shall have the discretion to permit such pro rata distributions during a Quarterly</w:t>
      </w:r>
      <w:r>
        <w:rPr>
          <w:rFonts w:ascii="times new roman;times" w:hAnsi="times new roman;times"/>
          <w:sz w:val="20"/>
        </w:rPr>
        <w:t xml:space="preserve"> </w:t>
      </w:r>
      <w:r>
        <w:rPr>
          <w:rFonts w:ascii="Times New Roman" w:hAnsi="Times New Roman"/>
          <w:sz w:val="20"/>
        </w:rPr>
        <w:t>Restricted Period 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Event-Specific Restricted Period, in</w:t>
      </w:r>
      <w:r>
        <w:rPr>
          <w:rFonts w:ascii="times new roman;times" w:hAnsi="times new roman;times"/>
          <w:sz w:val="20"/>
        </w:rPr>
        <w:t xml:space="preserve"> </w:t>
      </w:r>
      <w:r>
        <w:rPr>
          <w:rFonts w:ascii="Times New Roman" w:hAnsi="Times New Roman"/>
          <w:sz w:val="20"/>
        </w:rPr>
        <w:t>the Compliance Officer’s</w:t>
      </w:r>
      <w:r>
        <w:rPr>
          <w:rFonts w:ascii="times new roman;times" w:hAnsi="times new roman;times"/>
          <w:sz w:val="20"/>
        </w:rPr>
        <w:t xml:space="preserve"> </w:t>
      </w:r>
      <w:r>
        <w:rPr>
          <w:rFonts w:ascii="Times New Roman" w:hAnsi="Times New Roman"/>
          <w:sz w:val="20"/>
        </w:rPr>
        <w:t>absolute discretion.</w:t>
      </w:r>
    </w:p>
    <w:p>
      <w:pPr>
        <w:pStyle w:val="TextBody"/>
        <w:widowControl w:val="false"/>
        <w:bidi w:val="0"/>
        <w:spacing w:lineRule="auto" w:line="288" w:before="16" w:after="0"/>
        <w:ind w:left="0" w:right="0" w:hanging="0"/>
        <w:jc w:val="left"/>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288" w:before="16" w:after="0"/>
        <w:ind w:left="0" w:right="0" w:hanging="0"/>
        <w:jc w:val="left"/>
        <w:rPr/>
      </w:pPr>
      <w:r>
        <w:rPr/>
        <w:t> </w:t>
      </w:r>
    </w:p>
    <w:p>
      <w:pPr>
        <w:pStyle w:val="TextBody"/>
        <w:bidi w:val="0"/>
        <w:spacing w:lineRule="auto" w:line="288"/>
        <w:ind w:left="840" w:right="0" w:hanging="0"/>
        <w:jc w:val="left"/>
        <w:rPr>
          <w:rFonts w:ascii="Times New Roman" w:hAnsi="Times New Roman"/>
          <w:b/>
          <w:sz w:val="20"/>
        </w:rPr>
      </w:pPr>
      <w:r>
        <w:rPr>
          <w:rFonts w:ascii="Times New Roman" w:hAnsi="Times New Roman"/>
          <w:b/>
          <w:sz w:val="20"/>
        </w:rPr>
        <w:t>10.    </w:t>
      </w:r>
      <w:r>
        <w:rPr>
          <w:rFonts w:ascii="Times New Roman" w:hAnsi="Times New Roman"/>
          <w:b/>
          <w:sz w:val="20"/>
          <w:u w:val="single"/>
        </w:rPr>
        <w:t>Transactions</w:t>
      </w:r>
      <w:r>
        <w:rPr>
          <w:rFonts w:ascii="Times New Roman" w:hAnsi="Times New Roman"/>
          <w:b/>
          <w:sz w:val="20"/>
        </w:rPr>
        <w:t xml:space="preserve"> </w:t>
      </w:r>
      <w:r>
        <w:rPr>
          <w:rFonts w:ascii="Times New Roman" w:hAnsi="Times New Roman"/>
          <w:b/>
          <w:sz w:val="20"/>
          <w:u w:val="single"/>
        </w:rPr>
        <w:t>Under</w:t>
      </w:r>
      <w:r>
        <w:rPr>
          <w:rFonts w:ascii="Times New Roman" w:hAnsi="Times New Roman"/>
          <w:b/>
          <w:sz w:val="20"/>
        </w:rPr>
        <w:t xml:space="preserve"> </w:t>
      </w:r>
      <w:r>
        <w:rPr>
          <w:rFonts w:ascii="Times New Roman" w:hAnsi="Times New Roman"/>
          <w:b/>
          <w:sz w:val="20"/>
          <w:u w:val="single"/>
        </w:rPr>
        <w:t>Company</w:t>
      </w:r>
      <w:r>
        <w:rPr>
          <w:rFonts w:ascii="Times New Roman" w:hAnsi="Times New Roman"/>
          <w:b/>
          <w:sz w:val="20"/>
        </w:rPr>
        <w:t xml:space="preserve"> </w:t>
      </w:r>
      <w:r>
        <w:rPr>
          <w:rFonts w:ascii="Times New Roman" w:hAnsi="Times New Roman"/>
          <w:b/>
          <w:spacing w:val="-2"/>
          <w:sz w:val="20"/>
          <w:u w:val="single"/>
        </w:rPr>
        <w:t>Plans</w:t>
      </w:r>
    </w:p>
    <w:p>
      <w:pPr>
        <w:pStyle w:val="TextBody"/>
        <w:widowControl w:val="false"/>
        <w:bidi w:val="0"/>
        <w:spacing w:lineRule="auto" w:line="288" w:before="3" w:after="0"/>
        <w:ind w:left="0" w:right="0" w:hanging="0"/>
        <w:jc w:val="left"/>
        <w:rPr/>
      </w:pPr>
      <w:r>
        <w:rPr/>
        <w:t> </w:t>
      </w:r>
    </w:p>
    <w:p>
      <w:pPr>
        <w:pStyle w:val="TextBody"/>
        <w:widowControl w:val="false"/>
        <w:bidi w:val="0"/>
        <w:spacing w:lineRule="auto" w:line="288" w:before="0" w:after="0"/>
        <w:ind w:left="600" w:right="0" w:hanging="0"/>
        <w:jc w:val="left"/>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apply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specifically</w:t>
      </w:r>
      <w:r>
        <w:rPr>
          <w:rFonts w:ascii="times new roman;times" w:hAnsi="times new roman;times"/>
          <w:sz w:val="20"/>
        </w:rPr>
        <w:t xml:space="preserve"> </w:t>
      </w:r>
      <w:r>
        <w:rPr>
          <w:rFonts w:ascii="Times New Roman" w:hAnsi="Times New Roman"/>
          <w:spacing w:val="-2"/>
          <w:sz w:val="20"/>
        </w:rPr>
        <w:t>noted:</w:t>
      </w:r>
    </w:p>
    <w:p>
      <w:pPr>
        <w:pStyle w:val="TextBody"/>
        <w:widowControl w:val="false"/>
        <w:bidi w:val="0"/>
        <w:spacing w:lineRule="auto" w:line="288" w:before="10" w:after="0"/>
        <w:ind w:left="0" w:right="0" w:hanging="0"/>
        <w:jc w:val="left"/>
        <w:rPr/>
      </w:pPr>
      <w:r>
        <w:rPr/>
        <w:t> </w:t>
      </w:r>
    </w:p>
    <w:p>
      <w:pPr>
        <w:pStyle w:val="TextBody"/>
        <w:widowControl/>
        <w:bidi w:val="0"/>
        <w:spacing w:lineRule="auto" w:line="288" w:before="1" w:after="0"/>
        <w:ind w:left="1320" w:right="623" w:hanging="0"/>
        <w:jc w:val="left"/>
        <w:rPr>
          <w:rFonts w:ascii="times new roman;times" w:hAnsi="times new roman;times"/>
          <w:sz w:val="20"/>
        </w:rPr>
      </w:pPr>
      <w:r>
        <w:rPr>
          <w:rFonts w:ascii="Times New Roman" w:hAnsi="Times New Roman"/>
          <w:sz w:val="20"/>
        </w:rPr>
        <w:t>Article I.</w:t>
      </w:r>
      <w:r>
        <w:rPr>
          <w:rFonts w:ascii="times new roman;times" w:hAnsi="times new roman;times"/>
          <w:sz w:val="20"/>
        </w:rPr>
        <w:t xml:space="preserve">              </w:t>
      </w:r>
      <w:r>
        <w:rPr>
          <w:rFonts w:ascii="Times New Roman" w:hAnsi="Times New Roman"/>
          <w:sz w:val="20"/>
          <w:u w:val="single"/>
        </w:rPr>
        <w:t>Stock Option Exercises</w:t>
      </w:r>
      <w:r>
        <w:rPr>
          <w:rFonts w:ascii="Times New Roman" w:hAnsi="Times New Roman"/>
          <w:strike w:val="false"/>
          <w:dstrike w:val="false"/>
          <w:sz w:val="20"/>
          <w:u w:val="none"/>
          <w:effect w:val="none"/>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w:t>
      </w:r>
      <w:r>
        <w:rPr>
          <w:rFonts w:ascii="times new roman;times" w:hAnsi="times new roman;times"/>
          <w:sz w:val="20"/>
        </w:rPr>
        <w:t xml:space="preserve"> </w:t>
      </w:r>
      <w:r>
        <w:rPr>
          <w:rFonts w:ascii="Times New Roman" w:hAnsi="Times New Roman"/>
          <w:strike w:val="false"/>
          <w:dstrike w:val="false"/>
          <w:sz w:val="20"/>
          <w:u w:val="none"/>
          <w:effect w:val="none"/>
        </w:rPr>
        <w:t>requirements.</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Policy</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part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broker-assisted </w:t>
      </w:r>
      <w:r>
        <w:rPr>
          <w:rFonts w:ascii="Times New Roman" w:hAnsi="Times New Roman"/>
          <w:b w:val="false"/>
          <w:i w:val="false"/>
          <w:caps w:val="false"/>
          <w:smallCaps w:val="false"/>
          <w:strike w:val="false"/>
          <w:dstrike w:val="false"/>
          <w:color w:val="000000"/>
          <w:spacing w:val="0"/>
          <w:sz w:val="20"/>
          <w:u w:val="none"/>
          <w:effect w:val="none"/>
        </w:rPr>
        <w:t>cashless</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exercise</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of</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an</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option,</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or</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any</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other market</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sale for</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the</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purpose</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of</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generating</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the</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cash needed</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to pay the exercise price of an option.</w:t>
      </w:r>
    </w:p>
    <w:p>
      <w:pPr>
        <w:pStyle w:val="TextBody"/>
        <w:bidi w:val="0"/>
        <w:spacing w:lineRule="auto" w:line="288" w:before="0" w:after="0"/>
        <w:ind w:left="0" w:right="0" w:hanging="0"/>
        <w:jc w:val="left"/>
        <w:rPr/>
      </w:pPr>
      <w:r>
        <w:rPr/>
        <w:t> </w:t>
      </w:r>
    </w:p>
    <w:p>
      <w:pPr>
        <w:pStyle w:val="TextBody"/>
        <w:bidi w:val="0"/>
        <w:spacing w:lineRule="auto" w:line="288" w:before="0" w:after="0"/>
        <w:ind w:left="1320" w:right="659" w:hanging="0"/>
        <w:jc w:val="left"/>
        <w:rPr>
          <w:rFonts w:ascii="times new roman;times" w:hAnsi="times new roman;times"/>
          <w:sz w:val="20"/>
        </w:rPr>
      </w:pPr>
      <w:r>
        <w:rPr>
          <w:rFonts w:ascii="Times New Roman" w:hAnsi="Times New Roman"/>
          <w:sz w:val="20"/>
        </w:rPr>
        <w:t>Article II.</w:t>
      </w:r>
      <w:r>
        <w:rPr>
          <w:rFonts w:ascii="times new roman;times" w:hAnsi="times new roman;times"/>
          <w:sz w:val="20"/>
        </w:rPr>
        <w:t>             </w:t>
      </w:r>
      <w:r>
        <w:rPr>
          <w:rFonts w:ascii="Times New Roman" w:hAnsi="Times New Roman"/>
          <w:sz w:val="20"/>
          <w:u w:val="single"/>
        </w:rPr>
        <w:t>Restricted Stock Awards</w:t>
      </w:r>
      <w:r>
        <w:rPr>
          <w:rFonts w:ascii="Times New Roman" w:hAnsi="Times New Roman"/>
          <w:strike w:val="false"/>
          <w:dstrike w:val="false"/>
          <w:sz w:val="20"/>
          <w:u w:val="none"/>
          <w:effect w:val="none"/>
        </w:rPr>
        <w:t>. This</w:t>
      </w:r>
      <w:r>
        <w:rPr>
          <w:rFonts w:ascii="times new roman;times" w:hAnsi="times new roman;times"/>
          <w:sz w:val="20"/>
        </w:rPr>
        <w:t xml:space="preserve"> </w:t>
      </w:r>
      <w:r>
        <w:rPr>
          <w:rFonts w:ascii="Times New Roman" w:hAnsi="Times New Roman"/>
          <w:strike w:val="false"/>
          <w:dstrike w:val="false"/>
          <w:sz w:val="20"/>
          <w:u w:val="none"/>
          <w:effect w:val="none"/>
        </w:rPr>
        <w:t>Policy</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to the vesting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restricted stock, or the</w:t>
      </w:r>
      <w:r>
        <w:rPr>
          <w:rFonts w:ascii="times new roman;times" w:hAnsi="times new roman;times"/>
          <w:sz w:val="20"/>
        </w:rPr>
        <w:t xml:space="preserve"> </w:t>
      </w:r>
      <w:r>
        <w:rPr>
          <w:rFonts w:ascii="Times New Roman" w:hAnsi="Times New Roman"/>
          <w:strike w:val="false"/>
          <w:dstrike w:val="false"/>
          <w:sz w:val="20"/>
          <w:u w:val="none"/>
          <w:effect w:val="none"/>
        </w:rPr>
        <w:t>exercise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tax</w:t>
      </w:r>
      <w:r>
        <w:rPr>
          <w:rFonts w:ascii="times new roman;times" w:hAnsi="times new roman;times"/>
          <w:sz w:val="20"/>
        </w:rPr>
        <w:t xml:space="preserve"> </w:t>
      </w:r>
      <w:r>
        <w:rPr>
          <w:rFonts w:ascii="Times New Roman" w:hAnsi="Times New Roman"/>
          <w:strike w:val="false"/>
          <w:dstrike w:val="false"/>
          <w:sz w:val="20"/>
          <w:u w:val="none"/>
          <w:effect w:val="none"/>
        </w:rPr>
        <w:t>withholding</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 which</w:t>
      </w:r>
      <w:r>
        <w:rPr>
          <w:rFonts w:ascii="times new roman;times" w:hAnsi="times new roman;times"/>
          <w:sz w:val="20"/>
        </w:rPr>
        <w:t xml:space="preserve"> </w:t>
      </w:r>
      <w:r>
        <w:rPr>
          <w:rFonts w:ascii="Times New Roman" w:hAnsi="Times New Roman"/>
          <w:strike w:val="false"/>
          <w:dstrike w:val="false"/>
          <w:sz w:val="20"/>
          <w:u w:val="none"/>
          <w:effect w:val="none"/>
        </w:rPr>
        <w:t>you</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withhold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 stock to satisfy tax withholding requirements upon the vesting of any restricted stock. The Policy does apply, however, to any market sale of restricted stock.</w:t>
      </w:r>
    </w:p>
    <w:p>
      <w:pPr>
        <w:pStyle w:val="TextBody"/>
        <w:bidi w:val="0"/>
        <w:spacing w:lineRule="auto" w:line="288" w:before="12" w:after="0"/>
        <w:ind w:left="0" w:right="0" w:hanging="0"/>
        <w:jc w:val="left"/>
        <w:rPr/>
      </w:pPr>
      <w:r>
        <w:rPr/>
        <w:t> </w:t>
      </w:r>
    </w:p>
    <w:p>
      <w:pPr>
        <w:pStyle w:val="TextBody"/>
        <w:bidi w:val="0"/>
        <w:spacing w:lineRule="auto" w:line="288" w:before="0" w:after="0"/>
        <w:ind w:left="1320" w:right="623" w:hanging="0"/>
        <w:jc w:val="left"/>
        <w:rPr>
          <w:rFonts w:ascii="times new roman;times" w:hAnsi="times new roman;times"/>
          <w:sz w:val="20"/>
        </w:rPr>
      </w:pPr>
      <w:r>
        <w:rPr>
          <w:rFonts w:ascii="Times New Roman" w:hAnsi="Times New Roman"/>
          <w:sz w:val="20"/>
        </w:rPr>
        <w:t>Article III.</w:t>
      </w:r>
      <w:r>
        <w:rPr>
          <w:rFonts w:ascii="times new roman;times" w:hAnsi="times new roman;times"/>
          <w:sz w:val="20"/>
        </w:rPr>
        <w:t>            </w:t>
      </w:r>
      <w:r>
        <w:rPr>
          <w:rFonts w:ascii="Times New Roman" w:hAnsi="Times New Roman"/>
          <w:sz w:val="20"/>
          <w:u w:val="single"/>
        </w:rPr>
        <w:t>401(k) Plan</w:t>
      </w:r>
      <w:r>
        <w:rPr>
          <w:rFonts w:ascii="Times New Roman" w:hAnsi="Times New Roman"/>
          <w:strike w:val="false"/>
          <w:dstrike w:val="false"/>
          <w:sz w:val="20"/>
          <w:u w:val="none"/>
          <w:effect w:val="none"/>
        </w:rPr>
        <w:t>. This Policy does not apply to purchases of Company Securities in the Company’s 401(k) plan, if any, resulting from your periodic contribution of money to the plan pursuant to your payroll deduction election. This Policy</w:t>
      </w:r>
      <w:r>
        <w:rPr>
          <w:rFonts w:ascii="times new roman;times" w:hAnsi="times new roman;times"/>
          <w:sz w:val="20"/>
        </w:rPr>
        <w:t xml:space="preserve"> </w:t>
      </w:r>
      <w:r>
        <w:rPr>
          <w:rFonts w:ascii="Times New Roman" w:hAnsi="Times New Roman"/>
          <w:strike w:val="false"/>
          <w:dstrike w:val="false"/>
          <w:sz w:val="20"/>
          <w:u w:val="none"/>
          <w:effect w:val="none"/>
        </w:rPr>
        <w:t>does apply, however, to certain elections you may make under the 401(k) plan, if any, including: (a) an election to increase or decrease the percentage of your periodic contributions that will be allocated to the Company Securities fund; (b) an election to make an intra-plan transfer of an existing account balance into or out of the Company Securities fund; (c) an election to</w:t>
      </w:r>
      <w:r>
        <w:rPr>
          <w:rFonts w:ascii="times new roman;times" w:hAnsi="times new roman;times"/>
          <w:sz w:val="20"/>
        </w:rPr>
        <w:t xml:space="preserve"> </w:t>
      </w:r>
      <w:r>
        <w:rPr>
          <w:rFonts w:ascii="Times New Roman" w:hAnsi="Times New Roman"/>
          <w:strike w:val="false"/>
          <w:dstrike w:val="false"/>
          <w:sz w:val="20"/>
          <w:u w:val="none"/>
          <w:effect w:val="none"/>
        </w:rPr>
        <w:t>borrow</w:t>
      </w:r>
      <w:r>
        <w:rPr>
          <w:rFonts w:ascii="times new roman;times" w:hAnsi="times new roman;times"/>
          <w:sz w:val="20"/>
        </w:rPr>
        <w:t xml:space="preserve"> </w:t>
      </w:r>
      <w:r>
        <w:rPr>
          <w:rFonts w:ascii="Times New Roman" w:hAnsi="Times New Roman"/>
          <w:strike w:val="false"/>
          <w:dstrike w:val="false"/>
          <w:sz w:val="20"/>
          <w:u w:val="none"/>
          <w:effect w:val="none"/>
        </w:rPr>
        <w:t>money</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your</w:t>
      </w:r>
      <w:r>
        <w:rPr>
          <w:rFonts w:ascii="times new roman;times" w:hAnsi="times new roman;times"/>
          <w:sz w:val="20"/>
        </w:rPr>
        <w:t xml:space="preserve"> </w:t>
      </w:r>
      <w:r>
        <w:rPr>
          <w:rFonts w:ascii="Times New Roman" w:hAnsi="Times New Roman"/>
          <w:strike w:val="false"/>
          <w:dstrike w:val="false"/>
          <w:sz w:val="20"/>
          <w:u w:val="none"/>
          <w:effect w:val="none"/>
        </w:rPr>
        <w:t>401(k)</w:t>
      </w:r>
      <w:r>
        <w:rPr>
          <w:rFonts w:ascii="times new roman;times" w:hAnsi="times new roman;times"/>
          <w:sz w:val="20"/>
        </w:rPr>
        <w:t xml:space="preserve"> </w:t>
      </w:r>
      <w:r>
        <w:rPr>
          <w:rFonts w:ascii="Times New Roman" w:hAnsi="Times New Roman"/>
          <w:strike w:val="false"/>
          <w:dstrike w:val="false"/>
          <w:sz w:val="20"/>
          <w:u w:val="none"/>
          <w:effect w:val="none"/>
        </w:rPr>
        <w:t>plan</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loan will</w:t>
      </w:r>
      <w:r>
        <w:rPr>
          <w:rFonts w:ascii="times new roman;times" w:hAnsi="times new roman;times"/>
          <w:sz w:val="20"/>
        </w:rPr>
        <w:t xml:space="preserve"> </w:t>
      </w:r>
      <w:r>
        <w:rPr>
          <w:rFonts w:ascii="Times New Roman" w:hAnsi="Times New Roman"/>
          <w:strike w:val="false"/>
          <w:dstrike w:val="false"/>
          <w:sz w:val="20"/>
          <w:u w:val="none"/>
          <w:effect w:val="none"/>
        </w:rPr>
        <w:t>result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some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your Company Securities fund balance; and (d)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w:t>
      </w:r>
    </w:p>
    <w:p>
      <w:pPr>
        <w:pStyle w:val="TextBody"/>
        <w:bidi w:val="0"/>
        <w:spacing w:lineRule="auto" w:line="288" w:before="10" w:after="0"/>
        <w:ind w:left="0" w:right="0" w:hanging="0"/>
        <w:jc w:val="left"/>
        <w:rPr/>
      </w:pPr>
      <w:r>
        <w:rPr/>
        <w:t> </w:t>
      </w:r>
    </w:p>
    <w:p>
      <w:pPr>
        <w:pStyle w:val="TextBody"/>
        <w:bidi w:val="0"/>
        <w:spacing w:lineRule="auto" w:line="288" w:before="0" w:after="0"/>
        <w:ind w:left="1320" w:right="659" w:hanging="0"/>
        <w:jc w:val="left"/>
        <w:rPr>
          <w:rFonts w:ascii="times new roman;times" w:hAnsi="times new roman;times"/>
          <w:sz w:val="20"/>
        </w:rPr>
      </w:pPr>
      <w:r>
        <w:rPr>
          <w:rFonts w:ascii="Times New Roman" w:hAnsi="Times New Roman"/>
          <w:sz w:val="20"/>
        </w:rPr>
        <w:t>Article IV.</w:t>
      </w:r>
      <w:r>
        <w:rPr>
          <w:rFonts w:ascii="times new roman;times" w:hAnsi="times new roman;times"/>
          <w:sz w:val="20"/>
        </w:rPr>
        <w:t>            </w:t>
      </w:r>
      <w:r>
        <w:rPr>
          <w:rFonts w:ascii="Times New Roman" w:hAnsi="Times New Roman"/>
          <w:sz w:val="20"/>
          <w:u w:val="single"/>
        </w:rPr>
        <w:t>Employee Stock Purchase Plan</w:t>
      </w:r>
      <w:r>
        <w:rPr>
          <w:rFonts w:ascii="Times New Roman" w:hAnsi="Times New Roman"/>
          <w:strike w:val="false"/>
          <w:dstrike w:val="false"/>
          <w:sz w:val="20"/>
          <w:u w:val="none"/>
          <w:effect w:val="none"/>
        </w:rPr>
        <w:t>. This Policy does not apply to purchases of Company Securities in the Company’s employee stock purchase plan, if any, resulting from your periodic contribution of money</w:t>
      </w:r>
      <w:r>
        <w:rPr>
          <w:rFonts w:ascii="times new roman;times" w:hAnsi="times new roman;times"/>
          <w:sz w:val="20"/>
        </w:rPr>
        <w:t xml:space="preserve"> </w:t>
      </w:r>
      <w:r>
        <w:rPr>
          <w:rFonts w:ascii="Times New Roman" w:hAnsi="Times New Roman"/>
          <w:strike w:val="false"/>
          <w:dstrike w:val="false"/>
          <w:sz w:val="20"/>
          <w:u w:val="none"/>
          <w:effect w:val="none"/>
        </w:rPr>
        <w:t>to the plan, if any, pursuant to the election you made at the time of your enrollment 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plan,</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Policy also</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purchases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resulting</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lump sum contributions to the plan, if any, provided that you elected to participate by lump sum payment at the beginning of the applicable enrollment period. This Policy does apply, however, to your election to participate in the plan, if any, for any enrollment period, and to your sales of Company Securities purchased pursuant to the plan, if any.</w:t>
      </w:r>
    </w:p>
    <w:p>
      <w:pPr>
        <w:pStyle w:val="TextBody"/>
        <w:bidi w:val="0"/>
        <w:spacing w:lineRule="auto" w:line="288" w:before="9" w:after="0"/>
        <w:ind w:left="0" w:right="0" w:hanging="0"/>
        <w:jc w:val="left"/>
        <w:rPr/>
      </w:pPr>
      <w:r>
        <w:rPr/>
        <w:t> </w:t>
      </w:r>
    </w:p>
    <w:p>
      <w:pPr>
        <w:pStyle w:val="TextBody"/>
        <w:bidi w:val="0"/>
        <w:spacing w:lineRule="auto" w:line="288" w:before="0" w:after="0"/>
        <w:ind w:left="1320" w:right="724" w:hanging="0"/>
        <w:jc w:val="left"/>
        <w:rPr>
          <w:rFonts w:ascii="times new roman;times" w:hAnsi="times new roman;times"/>
          <w:sz w:val="20"/>
        </w:rPr>
      </w:pPr>
      <w:r>
        <w:rPr>
          <w:rFonts w:ascii="Times New Roman" w:hAnsi="Times New Roman"/>
          <w:sz w:val="20"/>
        </w:rPr>
        <w:t>Article V.</w:t>
      </w:r>
      <w:r>
        <w:rPr>
          <w:rFonts w:ascii="times new roman;times" w:hAnsi="times new roman;times"/>
          <w:sz w:val="20"/>
        </w:rPr>
        <w:t>             </w:t>
      </w:r>
      <w:r>
        <w:rPr>
          <w:rFonts w:ascii="Times New Roman" w:hAnsi="Times New Roman"/>
          <w:sz w:val="20"/>
          <w:u w:val="single"/>
        </w:rPr>
        <w:t>Dividend Reinvestment Plan</w:t>
      </w:r>
      <w:r>
        <w:rPr>
          <w:rFonts w:ascii="Times New Roman" w:hAnsi="Times New Roman"/>
          <w:strike w:val="false"/>
          <w:dstrike w:val="false"/>
          <w:sz w:val="20"/>
          <w:u w:val="none"/>
          <w:effect w:val="none"/>
        </w:rPr>
        <w:t>. This Policy does not apply to purchases of Company Securities under the Company’s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dividend reinvestment plan, if any, resulting from your reinvestment of dividends paid on Company Securities. This Policy does apply, however, to voluntary purchases of Company Securities resulting from additional contributions you choose to make to the dividend reinvestment plan, if </w:t>
      </w:r>
      <w:r>
        <w:rPr>
          <w:rFonts w:ascii="Times New Roman" w:hAnsi="Times New Roman"/>
          <w:sz w:val="20"/>
          <w:u w:val="single"/>
        </w:rPr>
        <w:t xml:space="preserve">any, </w:t>
      </w:r>
      <w:r>
        <w:rPr>
          <w:rFonts w:ascii="Times New Roman" w:hAnsi="Times New Roman"/>
          <w:strike w:val="false"/>
          <w:dstrike w:val="false"/>
          <w:sz w:val="20"/>
          <w:u w:val="none"/>
          <w:effect w:val="none"/>
        </w:rPr>
        <w:t>and to your election to participate in the plan, if any, or increase your level of participation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plan,</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Policy</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applies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your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purchased pursuant to the plan, if any.</w:t>
      </w:r>
    </w:p>
    <w:p>
      <w:pPr>
        <w:pStyle w:val="TextBody"/>
        <w:bidi w:val="0"/>
        <w:spacing w:lineRule="auto" w:line="288" w:before="11" w:after="0"/>
        <w:ind w:left="0" w:right="0" w:hanging="0"/>
        <w:jc w:val="left"/>
        <w:rPr/>
      </w:pPr>
      <w:r>
        <w:rPr/>
        <w:t> </w:t>
      </w:r>
    </w:p>
    <w:p>
      <w:pPr>
        <w:pStyle w:val="TextBody"/>
        <w:bidi w:val="0"/>
        <w:spacing w:lineRule="auto" w:line="288" w:before="0" w:after="0"/>
        <w:ind w:left="1320" w:right="1356" w:hanging="0"/>
        <w:jc w:val="left"/>
        <w:rPr>
          <w:rFonts w:ascii="times new roman;times" w:hAnsi="times new roman;times"/>
          <w:sz w:val="20"/>
        </w:rPr>
      </w:pPr>
      <w:r>
        <w:rPr>
          <w:rFonts w:ascii="Times New Roman" w:hAnsi="Times New Roman"/>
          <w:sz w:val="20"/>
        </w:rPr>
        <w:t>Article VI.</w:t>
      </w:r>
      <w:r>
        <w:rPr>
          <w:rFonts w:ascii="times new roman;times" w:hAnsi="times new roman;times"/>
          <w:sz w:val="20"/>
        </w:rPr>
        <w:t xml:space="preserve">            </w:t>
      </w:r>
      <w:r>
        <w:rPr>
          <w:rFonts w:ascii="Times New Roman" w:hAnsi="Times New Roman"/>
          <w:sz w:val="20"/>
          <w:u w:val="single"/>
        </w:rPr>
        <w:t>Other</w:t>
      </w:r>
      <w:r>
        <w:rPr>
          <w:rFonts w:ascii="times new roman;times" w:hAnsi="times new roman;times"/>
          <w:sz w:val="20"/>
          <w:u w:val="single"/>
        </w:rPr>
        <w:t xml:space="preserve"> </w:t>
      </w:r>
      <w:r>
        <w:rPr>
          <w:rFonts w:ascii="Times New Roman" w:hAnsi="Times New Roman"/>
          <w:sz w:val="20"/>
          <w:u w:val="single"/>
        </w:rPr>
        <w:t>Similar</w:t>
      </w:r>
      <w:r>
        <w:rPr>
          <w:rFonts w:ascii="times new roman;times" w:hAnsi="times new roman;times"/>
          <w:sz w:val="20"/>
          <w:u w:val="single"/>
        </w:rPr>
        <w:t xml:space="preserve"> </w:t>
      </w:r>
      <w:r>
        <w:rPr>
          <w:rFonts w:ascii="Times New Roman" w:hAnsi="Times New Roman"/>
          <w:sz w:val="20"/>
          <w:u w:val="single"/>
        </w:rPr>
        <w:t>Transactions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purchase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 Company or sales of Company Securities to the Company are not subject to this Policy.</w:t>
      </w:r>
      <w:r>
        <w:rPr>
          <w:rFonts w:ascii="times new roman;times" w:hAnsi="times new roman;times"/>
          <w:sz w:val="20"/>
        </w:rPr>
        <w:t> </w:t>
      </w:r>
    </w:p>
    <w:p>
      <w:pPr>
        <w:pStyle w:val="TextBody"/>
        <w:widowControl w:val="false"/>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840" w:right="0" w:hanging="0"/>
        <w:jc w:val="left"/>
        <w:rPr>
          <w:rFonts w:ascii="times new roman;times" w:hAnsi="times new roman;times"/>
          <w:sz w:val="20"/>
        </w:rPr>
      </w:pPr>
      <w:r>
        <w:rPr>
          <w:rFonts w:ascii="Times New Roman" w:hAnsi="Times New Roman"/>
          <w:b/>
          <w:sz w:val="20"/>
        </w:rPr>
        <w:t>11.    </w:t>
      </w:r>
      <w:r>
        <w:rPr>
          <w:rFonts w:ascii="Times New Roman" w:hAnsi="Times New Roman"/>
          <w:b/>
          <w:sz w:val="20"/>
          <w:u w:val="single"/>
        </w:rPr>
        <w:t>Special</w:t>
      </w:r>
      <w:r>
        <w:rPr>
          <w:rFonts w:ascii="times new roman;times" w:hAnsi="times new roman;times"/>
          <w:sz w:val="20"/>
        </w:rPr>
        <w:t xml:space="preserve"> </w:t>
      </w:r>
      <w:r>
        <w:rPr>
          <w:rFonts w:ascii="Times New Roman" w:hAnsi="Times New Roman"/>
          <w:b/>
          <w:sz w:val="20"/>
          <w:u w:val="single"/>
        </w:rPr>
        <w:t>and</w:t>
      </w:r>
      <w:r>
        <w:rPr>
          <w:rFonts w:ascii="times new roman;times" w:hAnsi="times new roman;times"/>
          <w:sz w:val="20"/>
        </w:rPr>
        <w:t xml:space="preserve"> </w:t>
      </w:r>
      <w:r>
        <w:rPr>
          <w:rFonts w:ascii="Times New Roman" w:hAnsi="Times New Roman"/>
          <w:b/>
          <w:sz w:val="20"/>
          <w:u w:val="single"/>
        </w:rPr>
        <w:t>Prohibited</w:t>
      </w:r>
      <w:r>
        <w:rPr>
          <w:rFonts w:ascii="times new roman;times" w:hAnsi="times new roman;times"/>
          <w:sz w:val="20"/>
        </w:rPr>
        <w:t xml:space="preserve"> </w:t>
      </w:r>
      <w:r>
        <w:rPr>
          <w:rFonts w:ascii="Times New Roman" w:hAnsi="Times New Roman"/>
          <w:b/>
          <w:spacing w:val="-2"/>
          <w:sz w:val="20"/>
          <w:u w:val="single"/>
        </w:rPr>
        <w:t>Transactions</w:t>
      </w:r>
    </w:p>
    <w:p>
      <w:pPr>
        <w:pStyle w:val="TextBody"/>
        <w:widowControl w:val="false"/>
        <w:bidi w:val="0"/>
        <w:spacing w:before="4" w:after="0"/>
        <w:ind w:left="0" w:right="0" w:hanging="0"/>
        <w:jc w:val="left"/>
        <w:rPr/>
      </w:pPr>
      <w:r>
        <w:rPr/>
        <w:t> </w:t>
      </w:r>
    </w:p>
    <w:p>
      <w:pPr>
        <w:pStyle w:val="TextBody"/>
        <w:widowControl w:val="false"/>
        <w:bidi w:val="0"/>
        <w:spacing w:before="0" w:after="0"/>
        <w:ind w:left="600" w:right="724" w:hanging="0"/>
        <w:jc w:val="left"/>
        <w:rPr>
          <w:rFonts w:ascii="times new roman;times" w:hAnsi="times new roman;times"/>
          <w:sz w:val="20"/>
        </w:rPr>
      </w:pPr>
      <w:r>
        <w:rPr>
          <w:rFonts w:ascii="Times New Roman" w:hAnsi="Times New Roman"/>
          <w:sz w:val="20"/>
        </w:rPr>
        <w:t>The Company has determined that there is a heightened legal risk and/or the appearance of improper or inappropriate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certain</w:t>
      </w:r>
      <w:r>
        <w:rPr>
          <w:rFonts w:ascii="times new roman;times" w:hAnsi="times new roman;times"/>
          <w:sz w:val="20"/>
        </w:rPr>
        <w:t xml:space="preserve"> </w:t>
      </w:r>
      <w:r>
        <w:rPr>
          <w:rFonts w:ascii="Times New Roman" w:hAnsi="Times New Roman"/>
          <w:sz w:val="20"/>
        </w:rPr>
        <w:t>types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therefore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 Company’s policy that any persons covered by this Policy may not engage in any of the following transactions, except as may be permitted below:</w:t>
      </w:r>
    </w:p>
    <w:p>
      <w:pPr>
        <w:pStyle w:val="TextBody"/>
        <w:widowControl w:val="false"/>
        <w:bidi w:val="0"/>
        <w:spacing w:before="11" w:after="0"/>
        <w:ind w:left="0" w:right="0" w:hanging="0"/>
        <w:jc w:val="left"/>
        <w:rPr/>
      </w:pPr>
      <w:r>
        <w:rPr/>
        <w:t> </w:t>
      </w:r>
    </w:p>
    <w:p>
      <w:pPr>
        <w:pStyle w:val="TextBody"/>
        <w:widowControl w:val="false"/>
        <w:bidi w:val="0"/>
        <w:spacing w:before="1" w:after="0"/>
        <w:ind w:left="1320" w:right="630" w:hanging="0"/>
        <w:jc w:val="left"/>
        <w:rPr>
          <w:rFonts w:ascii="times new roman;times" w:hAnsi="times new roman;times"/>
          <w:sz w:val="20"/>
        </w:rPr>
      </w:pPr>
      <w:r>
        <w:rPr>
          <w:rFonts w:ascii="Times New Roman" w:hAnsi="Times New Roman"/>
          <w:sz w:val="20"/>
        </w:rPr>
        <w:t>Article VII.</w:t>
      </w:r>
      <w:r>
        <w:rPr>
          <w:rFonts w:ascii="times new roman;times" w:hAnsi="times new roman;times"/>
          <w:sz w:val="20"/>
        </w:rPr>
        <w:t>         </w:t>
      </w:r>
      <w:r>
        <w:rPr>
          <w:rFonts w:ascii="Times New Roman" w:hAnsi="Times New Roman"/>
          <w:sz w:val="20"/>
          <w:u w:val="single"/>
        </w:rPr>
        <w:t>Short-Term</w:t>
      </w:r>
      <w:r>
        <w:rPr>
          <w:rFonts w:ascii="times new roman;times" w:hAnsi="times new roman;times"/>
          <w:sz w:val="20"/>
        </w:rPr>
        <w:t xml:space="preserve"> </w:t>
      </w:r>
      <w:r>
        <w:rPr>
          <w:rFonts w:ascii="Times New Roman" w:hAnsi="Times New Roman"/>
          <w:sz w:val="20"/>
          <w:u w:val="single"/>
        </w:rPr>
        <w:t>Trading</w:t>
      </w:r>
      <w:r>
        <w:rPr>
          <w:rFonts w:ascii="Times New Roman" w:hAnsi="Times New Roman"/>
          <w:strike w:val="false"/>
          <w:dstrike w:val="false"/>
          <w:sz w:val="20"/>
          <w:u w:val="none"/>
          <w:effect w:val="none"/>
        </w:rPr>
        <w:t>. Short-term trading of Company Securities may be distracting to the person</w:t>
      </w:r>
      <w:r>
        <w:rPr>
          <w:rFonts w:ascii="times new roman;times" w:hAnsi="times new roman;times"/>
          <w:sz w:val="20"/>
        </w:rPr>
        <w:t xml:space="preserve"> </w:t>
      </w:r>
      <w:r>
        <w:rPr>
          <w:rFonts w:ascii="Times New Roman" w:hAnsi="Times New Roman"/>
          <w:strike w:val="false"/>
          <w:dstrike w:val="false"/>
          <w:sz w:val="20"/>
          <w:u w:val="none"/>
          <w:effect w:val="none"/>
        </w:rPr>
        <w:t>and may</w:t>
      </w:r>
      <w:r>
        <w:rPr>
          <w:rFonts w:ascii="times new roman;times" w:hAnsi="times new roman;times"/>
          <w:sz w:val="20"/>
        </w:rPr>
        <w:t xml:space="preserve"> </w:t>
      </w:r>
      <w:r>
        <w:rPr>
          <w:rFonts w:ascii="Times New Roman" w:hAnsi="Times New Roman"/>
          <w:strike w:val="false"/>
          <w:dstrike w:val="false"/>
          <w:sz w:val="20"/>
          <w:u w:val="none"/>
          <w:effect w:val="none"/>
        </w:rPr>
        <w:t>unduly</w:t>
      </w:r>
      <w:r>
        <w:rPr>
          <w:rFonts w:ascii="times new roman;times" w:hAnsi="times new roman;times"/>
          <w:sz w:val="20"/>
        </w:rPr>
        <w:t xml:space="preserve"> </w:t>
      </w:r>
      <w:r>
        <w:rPr>
          <w:rFonts w:ascii="Times New Roman" w:hAnsi="Times New Roman"/>
          <w:strike w:val="false"/>
          <w:dstrike w:val="false"/>
          <w:sz w:val="20"/>
          <w:u w:val="none"/>
          <w:effect w:val="none"/>
        </w:rPr>
        <w:t>focus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w:t>
      </w:r>
      <w:r>
        <w:rPr>
          <w:rFonts w:ascii="times new roman;times" w:hAnsi="times new roman;times"/>
          <w:sz w:val="20"/>
        </w:rPr>
        <w:t xml:space="preserve"> </w:t>
      </w:r>
      <w:r>
        <w:rPr>
          <w:rFonts w:ascii="Times New Roman" w:hAnsi="Times New Roman"/>
          <w:strike w:val="false"/>
          <w:dstrike w:val="false"/>
          <w:sz w:val="20"/>
          <w:u w:val="none"/>
          <w:effect w:val="none"/>
        </w:rPr>
        <w:t>short-term</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market</w:t>
      </w:r>
      <w:r>
        <w:rPr>
          <w:rFonts w:ascii="times new roman;times" w:hAnsi="times new roman;times"/>
          <w:sz w:val="20"/>
        </w:rPr>
        <w:t xml:space="preserve"> </w:t>
      </w:r>
      <w:r>
        <w:rPr>
          <w:rFonts w:ascii="Times New Roman" w:hAnsi="Times New Roman"/>
          <w:strike w:val="false"/>
          <w:dstrike w:val="false"/>
          <w:sz w:val="20"/>
          <w:u w:val="none"/>
          <w:effect w:val="none"/>
        </w:rPr>
        <w:t>performance instead</w:t>
      </w:r>
      <w:r>
        <w:rPr>
          <w:rFonts w:ascii="times new roman;times" w:hAnsi="times new roman;times"/>
          <w:sz w:val="20"/>
        </w:rPr>
        <w:t xml:space="preserve"> </w:t>
      </w:r>
      <w:r>
        <w:rPr>
          <w:rFonts w:ascii="Times New Roman" w:hAnsi="Times New Roman"/>
          <w:strike w:val="false"/>
          <w:dstrike w:val="false"/>
          <w:sz w:val="20"/>
          <w:u w:val="none"/>
          <w:effect w:val="none"/>
        </w:rPr>
        <w:t>of the Company’s long-term business objectives. For these reasons, any director, officer, employee or Consultant of the Company who purchases Company Securities in the open market may not sell any Company Securities of the same class during the six months following the purchase (or vice versa).</w:t>
      </w:r>
    </w:p>
    <w:p>
      <w:pPr>
        <w:pStyle w:val="TextBody"/>
        <w:widowControl w:val="false"/>
        <w:bidi w:val="0"/>
        <w:spacing w:before="1" w:after="0"/>
        <w:ind w:left="1320" w:right="630" w:hanging="0"/>
        <w:jc w:val="left"/>
        <w:rPr/>
      </w:pPr>
      <w:r>
        <w:rPr/>
        <w:t> </w:t>
      </w:r>
    </w:p>
    <w:p>
      <w:pPr>
        <w:pStyle w:val="TextBody"/>
        <w:widowControl w:val="false"/>
        <w:bidi w:val="0"/>
        <w:spacing w:before="0" w:after="0"/>
        <w:ind w:left="1320" w:right="611" w:hanging="0"/>
        <w:jc w:val="left"/>
        <w:rPr>
          <w:rFonts w:ascii="times new roman;times" w:hAnsi="times new roman;times"/>
          <w:sz w:val="20"/>
        </w:rPr>
      </w:pPr>
      <w:r>
        <w:rPr>
          <w:rFonts w:ascii="Times New Roman" w:hAnsi="Times New Roman"/>
          <w:sz w:val="20"/>
        </w:rPr>
        <w:t>Article VIII.</w:t>
      </w:r>
      <w:r>
        <w:rPr>
          <w:rFonts w:ascii="times new roman;times" w:hAnsi="times new roman;times"/>
          <w:sz w:val="20"/>
        </w:rPr>
        <w:t>        </w:t>
      </w:r>
      <w:r>
        <w:rPr>
          <w:rFonts w:ascii="Times New Roman" w:hAnsi="Times New Roman"/>
          <w:sz w:val="20"/>
          <w:u w:val="single"/>
        </w:rPr>
        <w:t>Short Sales</w:t>
      </w:r>
      <w:r>
        <w:rPr>
          <w:rFonts w:ascii="Times New Roman" w:hAnsi="Times New Roman"/>
          <w:strike w:val="false"/>
          <w:dstrike w:val="false"/>
          <w:sz w:val="20"/>
          <w:u w:val="none"/>
          <w:effect w:val="none"/>
        </w:rPr>
        <w:t>. Short sales of Company Securities (</w:t>
      </w:r>
      <w:r>
        <w:rPr>
          <w:rFonts w:ascii="Times New Roman" w:hAnsi="Times New Roman"/>
          <w:i/>
          <w:strike w:val="false"/>
          <w:dstrike w:val="false"/>
          <w:sz w:val="20"/>
          <w:u w:val="none"/>
          <w:effect w:val="none"/>
        </w:rPr>
        <w:t>i.e.</w:t>
      </w:r>
      <w:r>
        <w:rPr>
          <w:rFonts w:ascii="Times New Roman" w:hAnsi="Times New Roman"/>
          <w:strike w:val="false"/>
          <w:dstrike w:val="false"/>
          <w:sz w:val="20"/>
          <w:u w:val="none"/>
          <w:effect w:val="none"/>
        </w:rPr>
        <w:t>, the sale of a security that the seller does not own) may</w:t>
      </w:r>
      <w:r>
        <w:rPr>
          <w:rFonts w:ascii="times new roman;times" w:hAnsi="times new roman;times"/>
          <w:sz w:val="20"/>
        </w:rPr>
        <w:t xml:space="preserve"> </w:t>
      </w:r>
      <w:r>
        <w:rPr>
          <w:rFonts w:ascii="Times New Roman" w:hAnsi="Times New Roman"/>
          <w:strike w:val="false"/>
          <w:dstrike w:val="false"/>
          <w:sz w:val="20"/>
          <w:u w:val="none"/>
          <w:effect w:val="none"/>
        </w:rPr>
        <w:t>evidence an expectation on the part of</w:t>
      </w:r>
      <w:r>
        <w:rPr>
          <w:rFonts w:ascii="times new roman;times" w:hAnsi="times new roman;times"/>
          <w:sz w:val="20"/>
        </w:rPr>
        <w:t xml:space="preserve"> </w:t>
      </w:r>
      <w:r>
        <w:rPr>
          <w:rFonts w:ascii="Times New Roman" w:hAnsi="Times New Roman"/>
          <w:strike w:val="false"/>
          <w:dstrike w:val="false"/>
          <w:sz w:val="20"/>
          <w:u w:val="none"/>
          <w:effect w:val="none"/>
        </w:rPr>
        <w:t>the seller that the securities will decline in value, and therefore have the potential to signal to the market that the seller lacks confidence in the Company’s prospects. In addition, short sales may reduce a seller’s incentive to seek to improve the Company’s performance.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these</w:t>
      </w:r>
      <w:r>
        <w:rPr>
          <w:rFonts w:ascii="times new roman;times" w:hAnsi="times new roman;times"/>
          <w:sz w:val="20"/>
        </w:rPr>
        <w:t xml:space="preserve"> </w:t>
      </w:r>
      <w:r>
        <w:rPr>
          <w:rFonts w:ascii="Times New Roman" w:hAnsi="Times New Roman"/>
          <w:strike w:val="false"/>
          <w:dstrike w:val="false"/>
          <w:sz w:val="20"/>
          <w:u w:val="none"/>
          <w:effect w:val="none"/>
        </w:rPr>
        <w:t>reasons,</w:t>
      </w:r>
      <w:r>
        <w:rPr>
          <w:rFonts w:ascii="times new roman;times" w:hAnsi="times new roman;times"/>
          <w:sz w:val="20"/>
        </w:rPr>
        <w:t xml:space="preserve"> </w:t>
      </w:r>
      <w:r>
        <w:rPr>
          <w:rFonts w:ascii="Times New Roman" w:hAnsi="Times New Roman"/>
          <w:strike w:val="false"/>
          <w:dstrike w:val="false"/>
          <w:sz w:val="20"/>
          <w:u w:val="none"/>
          <w:effect w:val="none"/>
        </w:rPr>
        <w:t>short</w:t>
      </w:r>
      <w:r>
        <w:rPr>
          <w:rFonts w:ascii="times new roman;times" w:hAnsi="times new roman;times"/>
          <w:sz w:val="20"/>
        </w:rPr>
        <w:t xml:space="preserve"> </w:t>
      </w:r>
      <w:r>
        <w:rPr>
          <w:rFonts w:ascii="Times New Roman" w:hAnsi="Times New Roman"/>
          <w:strike w:val="false"/>
          <w:dstrike w:val="false"/>
          <w:sz w:val="20"/>
          <w:u w:val="none"/>
          <w:effect w:val="none"/>
        </w:rPr>
        <w:t>sales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prohibited.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Section</w:t>
      </w:r>
      <w:r>
        <w:rPr>
          <w:rFonts w:ascii="times new roman;times" w:hAnsi="times new roman;times"/>
          <w:sz w:val="20"/>
        </w:rPr>
        <w:t xml:space="preserve"> </w:t>
      </w:r>
      <w:r>
        <w:rPr>
          <w:rFonts w:ascii="Times New Roman" w:hAnsi="Times New Roman"/>
          <w:strike w:val="false"/>
          <w:dstrike w:val="false"/>
          <w:sz w:val="20"/>
          <w:u w:val="none"/>
          <w:effect w:val="none"/>
        </w:rPr>
        <w:t>16(c) of the Exchange Act of 1934, as amended (the “Exchange Act”), prohibits officers and directors from engaging in short sales. (Short sales arising from certain types of hedging transactions are governed by the paragraph below captioned “Hedging Transactions.”)</w:t>
      </w:r>
    </w:p>
    <w:p>
      <w:pPr>
        <w:pStyle w:val="TextBody"/>
        <w:widowControl w:val="false"/>
        <w:bidi w:val="0"/>
        <w:spacing w:before="9" w:after="0"/>
        <w:ind w:left="0" w:right="0" w:hanging="0"/>
        <w:jc w:val="left"/>
        <w:rPr/>
      </w:pPr>
      <w:r>
        <w:rPr/>
        <w:t> </w:t>
      </w:r>
    </w:p>
    <w:p>
      <w:pPr>
        <w:pStyle w:val="TextBody"/>
        <w:widowControl w:val="false"/>
        <w:bidi w:val="0"/>
        <w:spacing w:before="0" w:after="0"/>
        <w:ind w:left="1320" w:right="679" w:hanging="0"/>
        <w:jc w:val="left"/>
        <w:rPr>
          <w:rFonts w:ascii="times new roman;times" w:hAnsi="times new roman;times"/>
          <w:sz w:val="20"/>
        </w:rPr>
      </w:pPr>
      <w:r>
        <w:rPr>
          <w:rFonts w:ascii="Times New Roman" w:hAnsi="Times New Roman"/>
          <w:sz w:val="20"/>
        </w:rPr>
        <w:t>Article IX.</w:t>
      </w:r>
      <w:r>
        <w:rPr>
          <w:rFonts w:ascii="times new roman;times" w:hAnsi="times new roman;times"/>
          <w:sz w:val="20"/>
        </w:rPr>
        <w:t>           </w:t>
      </w:r>
      <w:r>
        <w:rPr>
          <w:rFonts w:ascii="Times New Roman" w:hAnsi="Times New Roman"/>
          <w:sz w:val="20"/>
          <w:u w:val="single"/>
        </w:rPr>
        <w:t>Publicly-Traded Options</w:t>
      </w:r>
      <w:r>
        <w:rPr>
          <w:rFonts w:ascii="Times New Roman" w:hAnsi="Times New Roman"/>
          <w:strike w:val="false"/>
          <w:dstrike w:val="false"/>
          <w:sz w:val="20"/>
          <w:u w:val="none"/>
          <w:effect w:val="none"/>
        </w:rPr>
        <w:t>. Given the relatively short term of publicly-traded options, transactions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options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create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appearance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officer,</w:t>
      </w:r>
      <w:r>
        <w:rPr>
          <w:rFonts w:ascii="times new roman;times" w:hAnsi="times new roman;times"/>
          <w:sz w:val="20"/>
        </w:rPr>
        <w:t xml:space="preserve"> </w:t>
      </w:r>
      <w:r>
        <w:rPr>
          <w:rFonts w:ascii="Times New Roman" w:hAnsi="Times New Roman"/>
          <w:strike w:val="false"/>
          <w:dstrike w:val="false"/>
          <w:sz w:val="20"/>
          <w:u w:val="none"/>
          <w:effect w:val="none"/>
        </w:rPr>
        <w:t>employee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Consultant</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trading based on material nonpublic information and focus a director’s, officer’s, employee’s or Consultant’s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widowControl w:val="false"/>
        <w:bidi w:val="0"/>
        <w:spacing w:before="11" w:after="0"/>
        <w:ind w:left="0" w:right="0" w:hanging="0"/>
        <w:jc w:val="left"/>
        <w:rPr/>
      </w:pPr>
      <w:r>
        <w:rPr/>
        <w:t> </w:t>
      </w:r>
    </w:p>
    <w:p>
      <w:pPr>
        <w:pStyle w:val="TextBody"/>
        <w:widowControl w:val="false"/>
        <w:bidi w:val="0"/>
        <w:spacing w:before="0" w:after="0"/>
        <w:ind w:left="1320" w:right="611" w:hanging="0"/>
        <w:jc w:val="left"/>
        <w:rPr>
          <w:rFonts w:ascii="times new roman;times" w:hAnsi="times new roman;times"/>
          <w:sz w:val="20"/>
        </w:rPr>
      </w:pPr>
      <w:r>
        <w:rPr>
          <w:rFonts w:ascii="Times New Roman" w:hAnsi="Times New Roman"/>
          <w:sz w:val="20"/>
        </w:rPr>
        <w:t>Article X.</w:t>
      </w:r>
      <w:r>
        <w:rPr>
          <w:rFonts w:ascii="times new roman;times" w:hAnsi="times new roman;times"/>
          <w:sz w:val="20"/>
        </w:rPr>
        <w:t>            </w:t>
      </w:r>
      <w:r>
        <w:rPr>
          <w:rFonts w:ascii="Times New Roman" w:hAnsi="Times New Roman"/>
          <w:sz w:val="20"/>
          <w:u w:val="single"/>
        </w:rPr>
        <w:t>Hedging Transactions</w:t>
      </w:r>
      <w:r>
        <w:rPr>
          <w:rFonts w:ascii="Times New Roman" w:hAnsi="Times New Roman"/>
          <w:strike w:val="false"/>
          <w:dstrike w:val="false"/>
          <w:sz w:val="20"/>
          <w:u w:val="none"/>
          <w:effect w:val="none"/>
        </w:rPr>
        <w:t>. Hedging or monetization transactions can be accomplished through a number of possible mechanisms, including through the use of financial instruments such as prepaid variable forwards, equity swaps, collars and exchange funds. Such transactions may permit a director, officer, employee or Consultant to continue to own Company Securities obtained through employee</w:t>
      </w:r>
      <w:r>
        <w:rPr>
          <w:rFonts w:ascii="times new roman;times" w:hAnsi="times new roman;times"/>
          <w:sz w:val="20"/>
        </w:rPr>
        <w:t xml:space="preserve"> </w:t>
      </w:r>
      <w:r>
        <w:rPr>
          <w:rFonts w:ascii="Times New Roman" w:hAnsi="Times New Roman"/>
          <w:strike w:val="false"/>
          <w:dstrike w:val="false"/>
          <w:sz w:val="20"/>
          <w:u w:val="none"/>
          <w:effect w:val="none"/>
        </w:rPr>
        <w:t>benefit</w:t>
      </w:r>
      <w:r>
        <w:rPr>
          <w:rFonts w:ascii="times new roman;times" w:hAnsi="times new roman;times"/>
          <w:sz w:val="20"/>
        </w:rPr>
        <w:t xml:space="preserve"> </w:t>
      </w:r>
      <w:r>
        <w:rPr>
          <w:rFonts w:ascii="Times New Roman" w:hAnsi="Times New Roman"/>
          <w:strike w:val="false"/>
          <w:dstrike w:val="false"/>
          <w:sz w:val="20"/>
          <w:u w:val="none"/>
          <w:effect w:val="none"/>
        </w:rPr>
        <w:t>plans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full</w:t>
      </w:r>
      <w:r>
        <w:rPr>
          <w:rFonts w:ascii="times new roman;times" w:hAnsi="times new roman;times"/>
          <w:sz w:val="20"/>
        </w:rPr>
        <w:t xml:space="preserve"> </w:t>
      </w:r>
      <w:r>
        <w:rPr>
          <w:rFonts w:ascii="Times New Roman" w:hAnsi="Times New Roman"/>
          <w:strike w:val="false"/>
          <w:dstrike w:val="false"/>
          <w:sz w:val="20"/>
          <w:u w:val="none"/>
          <w:effect w:val="none"/>
        </w:rPr>
        <w:t>risks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rewards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When</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occurs, the director, officer, employee or Consultant may no longer have the same objectives as the Company’s other shareholders. Therefore, directors, officers, employees and Consultants are prohibited from</w:t>
      </w:r>
      <w:r>
        <w:rPr>
          <w:rFonts w:ascii="times new roman;times" w:hAnsi="times new roman;times"/>
          <w:sz w:val="20"/>
        </w:rPr>
        <w:t xml:space="preserve"> </w:t>
      </w:r>
      <w:r>
        <w:rPr>
          <w:rFonts w:ascii="Times New Roman" w:hAnsi="Times New Roman"/>
          <w:strike w:val="false"/>
          <w:dstrike w:val="false"/>
          <w:sz w:val="20"/>
          <w:u w:val="none"/>
          <w:effect w:val="none"/>
        </w:rPr>
        <w:t>engaging in any such transactions.</w:t>
      </w:r>
    </w:p>
    <w:p>
      <w:pPr>
        <w:pStyle w:val="TextBody"/>
        <w:widowControl w:val="false"/>
        <w:bidi w:val="0"/>
        <w:spacing w:before="11" w:after="0"/>
        <w:ind w:left="0" w:right="0" w:hanging="0"/>
        <w:jc w:val="left"/>
        <w:rPr/>
      </w:pPr>
      <w:r>
        <w:rPr/>
        <w:t> </w:t>
      </w:r>
    </w:p>
    <w:p>
      <w:pPr>
        <w:pStyle w:val="TextBody"/>
        <w:widowControl w:val="false"/>
        <w:bidi w:val="0"/>
        <w:spacing w:before="0" w:after="0"/>
        <w:ind w:left="1320" w:right="611" w:hanging="0"/>
        <w:jc w:val="left"/>
        <w:rPr>
          <w:rFonts w:ascii="times new roman;times" w:hAnsi="times new roman;times"/>
          <w:sz w:val="20"/>
        </w:rPr>
      </w:pPr>
      <w:r>
        <w:rPr>
          <w:rFonts w:ascii="Times New Roman" w:hAnsi="Times New Roman"/>
          <w:sz w:val="20"/>
        </w:rPr>
        <w:t>Article XI.</w:t>
      </w:r>
      <w:r>
        <w:rPr>
          <w:rFonts w:ascii="times new roman;times" w:hAnsi="times new roman;times"/>
          <w:sz w:val="20"/>
        </w:rPr>
        <w:t>          </w:t>
      </w:r>
      <w:r>
        <w:rPr>
          <w:rFonts w:ascii="Times New Roman" w:hAnsi="Times New Roman"/>
          <w:sz w:val="20"/>
          <w:u w:val="single"/>
        </w:rPr>
        <w:t>Margin</w:t>
      </w:r>
      <w:r>
        <w:rPr>
          <w:rFonts w:ascii="times new roman;times" w:hAnsi="times new roman;times"/>
          <w:sz w:val="20"/>
        </w:rPr>
        <w:t xml:space="preserve"> </w:t>
      </w:r>
      <w:r>
        <w:rPr>
          <w:rFonts w:ascii="Times New Roman" w:hAnsi="Times New Roman"/>
          <w:sz w:val="20"/>
          <w:u w:val="single"/>
        </w:rPr>
        <w:t>Accounts</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Pledged</w:t>
      </w:r>
      <w:r>
        <w:rPr>
          <w:rFonts w:ascii="times new roman;times" w:hAnsi="times new roman;times"/>
          <w:sz w:val="20"/>
        </w:rPr>
        <w:t xml:space="preserve"> </w:t>
      </w:r>
      <w:r>
        <w:rPr>
          <w:rFonts w:ascii="Times New Roman" w:hAnsi="Times New Roman"/>
          <w:sz w:val="20"/>
          <w:u w:val="single"/>
        </w:rPr>
        <w:t>Securities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margin</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employees and Consultants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 Notwithstanding the foregoing, a director, officer, employee or Consultant may hold Company Securities in a margin account or otherwise pledge Company Securities as collateral for a loan, if, in the Compliance Officer’s discretion, such director, officer, employee or Consultant has clearly demonstrated the financial capacity to repay the loan without resorting to the</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pledged securities. If any such exception process is adopted, it should be specified that any person seeking an exception must submit a request for approval to the compliance officer at least two weeks prior to the </w:t>
      </w:r>
      <w:r>
        <w:rPr>
          <w:rFonts w:ascii="Times New Roman" w:hAnsi="Times New Roman"/>
          <w:strike w:val="false"/>
          <w:dstrike w:val="false"/>
          <w:spacing w:val="-2"/>
          <w:sz w:val="20"/>
          <w:u w:val="none"/>
          <w:effect w:val="none"/>
        </w:rPr>
        <w:t>transaction.</w:t>
      </w:r>
    </w:p>
    <w:p>
      <w:pPr>
        <w:pStyle w:val="TextBody"/>
        <w:widowControl w:val="false"/>
        <w:bidi w:val="0"/>
        <w:spacing w:before="10" w:after="0"/>
        <w:ind w:left="0" w:right="0" w:hanging="0"/>
        <w:jc w:val="left"/>
        <w:rPr/>
      </w:pPr>
      <w:r>
        <w:rPr/>
        <w:t> </w:t>
      </w:r>
    </w:p>
    <w:p>
      <w:pPr>
        <w:pStyle w:val="TextBody"/>
        <w:widowControl w:val="false"/>
        <w:bidi w:val="0"/>
        <w:spacing w:before="0" w:after="0"/>
        <w:ind w:left="1320" w:right="611" w:hanging="0"/>
        <w:jc w:val="left"/>
        <w:rPr>
          <w:rFonts w:ascii="times new roman;times" w:hAnsi="times new roman;times"/>
          <w:sz w:val="20"/>
        </w:rPr>
      </w:pPr>
      <w:r>
        <w:rPr>
          <w:rFonts w:ascii="Times New Roman" w:hAnsi="Times New Roman"/>
          <w:sz w:val="20"/>
        </w:rPr>
        <w:t>Article XII.</w:t>
      </w:r>
      <w:r>
        <w:rPr>
          <w:rFonts w:ascii="times new roman;times" w:hAnsi="times new roman;times"/>
          <w:sz w:val="20"/>
        </w:rPr>
        <w:t>         </w:t>
      </w:r>
      <w:r>
        <w:rPr>
          <w:rFonts w:ascii="Times New Roman" w:hAnsi="Times New Roman"/>
          <w:sz w:val="20"/>
          <w:u w:val="single"/>
        </w:rPr>
        <w:t>Standing and Limit Orders</w:t>
      </w:r>
      <w:r>
        <w:rPr>
          <w:rFonts w:ascii="Times New Roman" w:hAnsi="Times New Roman"/>
          <w:strike w:val="false"/>
          <w:dstrike w:val="false"/>
          <w:sz w:val="20"/>
          <w:u w:val="none"/>
          <w:effect w:val="none"/>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w:t>
      </w:r>
      <w:r>
        <w:rPr>
          <w:rFonts w:ascii="times new roman;times" w:hAnsi="times new roman;times"/>
          <w:sz w:val="20"/>
        </w:rPr>
        <w:t xml:space="preserve"> </w:t>
      </w:r>
      <w:r>
        <w:rPr>
          <w:rFonts w:ascii="Times New Roman" w:hAnsi="Times New Roman"/>
          <w:strike w:val="false"/>
          <w:dstrike w:val="false"/>
          <w:sz w:val="20"/>
          <w:u w:val="none"/>
          <w:effect w:val="none"/>
        </w:rPr>
        <w:t>when a director, officer, employee or Consultant is in possession of material nonpublic information. The Company therefore prohibits directors, officers, employees and Consultants from placing standing or limit orders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complying</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 restrictions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procedures</w:t>
      </w:r>
      <w:r>
        <w:rPr>
          <w:rFonts w:ascii="times new roman;times" w:hAnsi="times new roman;times"/>
          <w:sz w:val="20"/>
        </w:rPr>
        <w:t xml:space="preserve"> </w:t>
      </w:r>
      <w:r>
        <w:rPr>
          <w:rFonts w:ascii="Times New Roman" w:hAnsi="Times New Roman"/>
          <w:strike w:val="false"/>
          <w:dstrike w:val="false"/>
          <w:sz w:val="20"/>
          <w:u w:val="none"/>
          <w:effect w:val="none"/>
        </w:rPr>
        <w:t>outlined</w:t>
      </w:r>
      <w:r>
        <w:rPr>
          <w:rFonts w:ascii="times new roman;times" w:hAnsi="times new roman;times"/>
          <w:sz w:val="20"/>
        </w:rPr>
        <w:t xml:space="preserve"> </w:t>
      </w:r>
      <w:r>
        <w:rPr>
          <w:rFonts w:ascii="Times New Roman" w:hAnsi="Times New Roman"/>
          <w:strike w:val="false"/>
          <w:dstrike w:val="false"/>
          <w:sz w:val="20"/>
          <w:u w:val="none"/>
          <w:effect w:val="none"/>
        </w:rPr>
        <w:t>below under the heading “Additional Procedures,” including the pre-clearance requirements as well as the durational limit of any pre-cleared transaction. Notwithstanding the foregoing, if a person subject to this Policy</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placed a</w:t>
      </w:r>
      <w:r>
        <w:rPr>
          <w:rFonts w:ascii="times new roman;times" w:hAnsi="times new roman;times"/>
          <w:sz w:val="20"/>
        </w:rPr>
        <w:t xml:space="preserve"> </w:t>
      </w:r>
      <w:r>
        <w:rPr>
          <w:rFonts w:ascii="Times New Roman" w:hAnsi="Times New Roman"/>
          <w:strike w:val="false"/>
          <w:dstrike w:val="false"/>
          <w:sz w:val="20"/>
          <w:u w:val="none"/>
          <w:effect w:val="none"/>
        </w:rPr>
        <w:t>limit</w:t>
      </w:r>
      <w:r>
        <w:rPr>
          <w:rFonts w:ascii="times new roman;times" w:hAnsi="times new roman;times"/>
          <w:sz w:val="20"/>
        </w:rPr>
        <w:t xml:space="preserve"> </w:t>
      </w:r>
      <w:r>
        <w:rPr>
          <w:rFonts w:ascii="Times New Roman" w:hAnsi="Times New Roman"/>
          <w:strike w:val="false"/>
          <w:dstrike w:val="false"/>
          <w:sz w:val="20"/>
          <w:u w:val="none"/>
          <w:effect w:val="none"/>
        </w:rPr>
        <w:t>order or</w:t>
      </w:r>
      <w:r>
        <w:rPr>
          <w:rFonts w:ascii="times new roman;times" w:hAnsi="times new roman;times"/>
          <w:sz w:val="20"/>
        </w:rPr>
        <w:t xml:space="preserve"> </w:t>
      </w:r>
      <w:r>
        <w:rPr>
          <w:rFonts w:ascii="Times New Roman" w:hAnsi="Times New Roman"/>
          <w:strike w:val="false"/>
          <w:dstrike w:val="false"/>
          <w:sz w:val="20"/>
          <w:u w:val="none"/>
          <w:effect w:val="none"/>
        </w:rPr>
        <w:t>open instruction</w:t>
      </w:r>
      <w:r>
        <w:rPr>
          <w:rFonts w:ascii="times new roman;times" w:hAnsi="times new roman;times"/>
          <w:sz w:val="20"/>
        </w:rPr>
        <w:t xml:space="preserve"> </w:t>
      </w:r>
      <w:r>
        <w:rPr>
          <w:rFonts w:ascii="Times New Roman" w:hAnsi="Times New Roman"/>
          <w:strike w:val="false"/>
          <w:dstrike w:val="false"/>
          <w:sz w:val="20"/>
          <w:u w:val="none"/>
          <w:effect w:val="none"/>
        </w:rPr>
        <w:t>to buy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sell</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bear responsibility for canceling such instructions immediately upon becoming in possession of material nonpublic information.</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val="false"/>
        <w:bidi w:val="0"/>
        <w:spacing w:before="0" w:after="0"/>
        <w:ind w:left="840" w:right="0" w:hanging="0"/>
        <w:jc w:val="left"/>
        <w:rPr>
          <w:rFonts w:ascii="Times New Roman" w:hAnsi="Times New Roman"/>
          <w:b/>
          <w:sz w:val="20"/>
        </w:rPr>
      </w:pPr>
      <w:r>
        <w:rPr>
          <w:rFonts w:ascii="Times New Roman" w:hAnsi="Times New Roman"/>
          <w:b/>
          <w:sz w:val="20"/>
        </w:rPr>
      </w:r>
    </w:p>
    <w:p>
      <w:pPr>
        <w:pStyle w:val="TextBody"/>
        <w:widowControl w:val="false"/>
        <w:bidi w:val="0"/>
        <w:ind w:left="840" w:right="0" w:hanging="0"/>
        <w:jc w:val="left"/>
        <w:rPr>
          <w:rFonts w:ascii="Times New Roman" w:hAnsi="Times New Roman"/>
          <w:b/>
          <w:sz w:val="20"/>
        </w:rPr>
      </w:pPr>
      <w:r>
        <w:rPr>
          <w:rFonts w:ascii="Times New Roman" w:hAnsi="Times New Roman"/>
          <w:b/>
          <w:sz w:val="20"/>
        </w:rPr>
        <w:t>12.    </w:t>
      </w:r>
      <w:r>
        <w:rPr>
          <w:rFonts w:ascii="Times New Roman" w:hAnsi="Times New Roman"/>
          <w:b/>
          <w:sz w:val="20"/>
          <w:u w:val="single"/>
        </w:rPr>
        <w:t>Additional</w:t>
      </w:r>
      <w:r>
        <w:rPr>
          <w:rFonts w:ascii="Times New Roman" w:hAnsi="Times New Roman"/>
          <w:b/>
          <w:sz w:val="20"/>
        </w:rPr>
        <w:t xml:space="preserve"> </w:t>
      </w:r>
      <w:r>
        <w:rPr>
          <w:rFonts w:ascii="Times New Roman" w:hAnsi="Times New Roman"/>
          <w:b/>
          <w:spacing w:val="-2"/>
          <w:sz w:val="20"/>
          <w:u w:val="single"/>
        </w:rPr>
        <w:t>Procedures</w:t>
      </w:r>
    </w:p>
    <w:p>
      <w:pPr>
        <w:pStyle w:val="TextBody"/>
        <w:widowControl w:val="false"/>
        <w:bidi w:val="0"/>
        <w:spacing w:before="6" w:after="0"/>
        <w:ind w:left="0" w:right="0" w:hanging="0"/>
        <w:jc w:val="left"/>
        <w:rPr/>
      </w:pPr>
      <w:r>
        <w:rPr/>
        <w:t> </w:t>
      </w:r>
    </w:p>
    <w:p>
      <w:pPr>
        <w:pStyle w:val="TextBody"/>
        <w:widowControl w:val="false"/>
        <w:bidi w:val="0"/>
        <w:spacing w:before="0" w:after="0"/>
        <w:ind w:left="600" w:right="724" w:hanging="0"/>
        <w:jc w:val="left"/>
        <w:rPr>
          <w:rFonts w:ascii="times new roman;times" w:hAnsi="times new roman;times"/>
          <w:sz w:val="20"/>
        </w:rPr>
      </w:pP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established additional procedures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to assist</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 administration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 Policy, to facilitate compliance with laws prohibiting insider trading while in possession of material nonpublic information,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avoid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appearance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impropriety.</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additional</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to those individuals described below.</w:t>
      </w:r>
    </w:p>
    <w:p>
      <w:pPr>
        <w:pStyle w:val="TextBody"/>
        <w:widowControl w:val="false"/>
        <w:bidi w:val="0"/>
        <w:spacing w:before="9" w:after="0"/>
        <w:ind w:left="0" w:right="0" w:hanging="0"/>
        <w:jc w:val="left"/>
        <w:rPr/>
      </w:pPr>
      <w:r>
        <w:rPr/>
        <w:t> </w:t>
      </w:r>
    </w:p>
    <w:p>
      <w:pPr>
        <w:pStyle w:val="TextBody"/>
        <w:widowControl w:val="false"/>
        <w:bidi w:val="0"/>
        <w:spacing w:before="0" w:after="0"/>
        <w:ind w:left="1320" w:right="617" w:hanging="0"/>
        <w:jc w:val="left"/>
        <w:rPr>
          <w:rFonts w:ascii="times new roman;times" w:hAnsi="times new roman;times"/>
          <w:sz w:val="20"/>
        </w:rPr>
      </w:pPr>
      <w:r>
        <w:rPr>
          <w:rFonts w:ascii="Times New Roman" w:hAnsi="Times New Roman"/>
          <w:sz w:val="20"/>
        </w:rPr>
        <w:t>Article XIII.</w:t>
      </w:r>
      <w:r>
        <w:rPr>
          <w:rFonts w:ascii="times new roman;times" w:hAnsi="times new roman;times"/>
          <w:sz w:val="20"/>
        </w:rPr>
        <w:t>        </w:t>
      </w:r>
      <w:r>
        <w:rPr>
          <w:rFonts w:ascii="Times New Roman" w:hAnsi="Times New Roman"/>
          <w:sz w:val="20"/>
          <w:u w:val="single"/>
        </w:rPr>
        <w:t>Pre-Clearance Procedures</w:t>
      </w:r>
      <w:r>
        <w:rPr>
          <w:rFonts w:ascii="Times New Roman" w:hAnsi="Times New Roman"/>
          <w:strike w:val="false"/>
          <w:dstrike w:val="false"/>
          <w:sz w:val="20"/>
          <w:u w:val="none"/>
          <w:effect w:val="none"/>
        </w:rPr>
        <w:t>. Directors, officers, employees and Consultants, as well as the Family Members and Controlled Entities of such persons, may not engage in any transaction in Company Securities without first</w:t>
      </w:r>
      <w:r>
        <w:rPr>
          <w:rFonts w:ascii="times new roman;times" w:hAnsi="times new roman;times"/>
          <w:sz w:val="20"/>
        </w:rPr>
        <w:t xml:space="preserve"> </w:t>
      </w:r>
      <w:r>
        <w:rPr>
          <w:rFonts w:ascii="Times New Roman" w:hAnsi="Times New Roman"/>
          <w:strike w:val="false"/>
          <w:dstrike w:val="false"/>
          <w:sz w:val="20"/>
          <w:u w:val="none"/>
          <w:effect w:val="none"/>
        </w:rPr>
        <w:t>obtaining</w:t>
      </w:r>
      <w:r>
        <w:rPr>
          <w:rFonts w:ascii="times new roman;times" w:hAnsi="times new roman;times"/>
          <w:sz w:val="20"/>
        </w:rPr>
        <w:t xml:space="preserve"> </w:t>
      </w:r>
      <w:r>
        <w:rPr>
          <w:rFonts w:ascii="Times New Roman" w:hAnsi="Times New Roman"/>
          <w:strike w:val="false"/>
          <w:dstrike w:val="false"/>
          <w:sz w:val="20"/>
          <w:u w:val="none"/>
          <w:effect w:val="none"/>
        </w:rPr>
        <w:t>pre-clearance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 Compliance</w:t>
      </w:r>
      <w:r>
        <w:rPr>
          <w:rFonts w:ascii="times new roman;times" w:hAnsi="times new roman;times"/>
          <w:sz w:val="20"/>
        </w:rPr>
        <w:t xml:space="preserve"> </w:t>
      </w:r>
      <w:r>
        <w:rPr>
          <w:rFonts w:ascii="Times New Roman" w:hAnsi="Times New Roman"/>
          <w:strike w:val="false"/>
          <w:dstrike w:val="false"/>
          <w:sz w:val="20"/>
          <w:u w:val="none"/>
          <w:effect w:val="none"/>
        </w:rPr>
        <w:t>Officer.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person seeking to request pre-clearance can obtain the Company’s pre-clearance form upon request from the Compliance Officer. A request for pre-clearance should be submitted to the Compliance Officer at least</w:t>
      </w:r>
      <w:r>
        <w:rPr>
          <w:rFonts w:ascii="times new roman;times" w:hAnsi="times new roman;times"/>
          <w:sz w:val="20"/>
        </w:rPr>
        <w:t xml:space="preserve"> </w:t>
      </w:r>
      <w:r>
        <w:rPr>
          <w:rFonts w:ascii="Times New Roman" w:hAnsi="Times New Roman"/>
          <w:strike w:val="false"/>
          <w:dstrike w:val="false"/>
          <w:sz w:val="20"/>
          <w:u w:val="none"/>
          <w:effect w:val="none"/>
        </w:rPr>
        <w:t>two</w:t>
      </w:r>
      <w:r>
        <w:rPr>
          <w:rFonts w:ascii="times new roman;times" w:hAnsi="times new roman;times"/>
          <w:sz w:val="20"/>
        </w:rPr>
        <w:t xml:space="preserve"> </w:t>
      </w:r>
      <w:r>
        <w:rPr>
          <w:rFonts w:ascii="Times New Roman" w:hAnsi="Times New Roman"/>
          <w:strike w:val="false"/>
          <w:dstrike w:val="false"/>
          <w:sz w:val="20"/>
          <w:u w:val="none"/>
          <w:effect w:val="none"/>
        </w:rPr>
        <w:t>Trading</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advance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proposed</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Officer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obligation</w:t>
      </w:r>
      <w:r>
        <w:rPr>
          <w:rFonts w:ascii="times new roman;times" w:hAnsi="times new roman;times"/>
          <w:sz w:val="20"/>
        </w:rPr>
        <w:t xml:space="preserve"> </w:t>
      </w:r>
      <w:r>
        <w:rPr>
          <w:rFonts w:ascii="Times New Roman" w:hAnsi="Times New Roman"/>
          <w:strike w:val="false"/>
          <w:dstrike w:val="false"/>
          <w:sz w:val="20"/>
          <w:u w:val="none"/>
          <w:effect w:val="none"/>
        </w:rPr>
        <w:t>to approve a transaction submitted for pre-clearance, and may determine not to permit the transaction. If a person seeks pre-clearance and permission to engage in the transaction and such pre-clearance is not received, then he or she should refrain from initiating any transaction in Company Securities, and should not inform any other person of the restriction.</w:t>
      </w:r>
    </w:p>
    <w:p>
      <w:pPr>
        <w:pStyle w:val="TextBody"/>
        <w:widowControl w:val="false"/>
        <w:bidi w:val="0"/>
        <w:spacing w:before="10" w:after="0"/>
        <w:ind w:left="0" w:right="0" w:hanging="0"/>
        <w:jc w:val="left"/>
        <w:rPr/>
      </w:pPr>
      <w:r>
        <w:rPr/>
        <w:t> </w:t>
      </w:r>
    </w:p>
    <w:p>
      <w:pPr>
        <w:pStyle w:val="TextBody"/>
        <w:widowControl w:val="false"/>
        <w:bidi w:val="0"/>
        <w:spacing w:before="0" w:after="0"/>
        <w:ind w:left="1320" w:right="734" w:hanging="0"/>
        <w:jc w:val="left"/>
        <w:rPr>
          <w:rFonts w:ascii="times new roman;times" w:hAnsi="times new roman;times"/>
          <w:sz w:val="20"/>
        </w:rPr>
      </w:pPr>
      <w:r>
        <w:rPr>
          <w:rFonts w:ascii="Times New Roman" w:hAnsi="Times New Roman"/>
          <w:sz w:val="20"/>
        </w:rPr>
        <w:t>Article XIV.</w:t>
      </w:r>
      <w:r>
        <w:rPr>
          <w:rFonts w:ascii="times new roman;times" w:hAnsi="times new roman;times"/>
          <w:sz w:val="20"/>
        </w:rPr>
        <w:t xml:space="preserve">        </w:t>
      </w:r>
      <w:r>
        <w:rPr>
          <w:rFonts w:ascii="Times New Roman" w:hAnsi="Times New Roman"/>
          <w:sz w:val="20"/>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effected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non-exempt</w:t>
      </w:r>
      <w:r>
        <w:rPr>
          <w:rFonts w:ascii="times new roman;times" w:hAnsi="times new roman;times"/>
          <w:sz w:val="20"/>
        </w:rPr>
        <w:t xml:space="preserve"> “</w:t>
      </w:r>
      <w:r>
        <w:rPr>
          <w:rFonts w:ascii="Times New Roman" w:hAnsi="Times New Roman"/>
          <w:sz w:val="20"/>
        </w:rPr>
        <w:t>opposite-way”</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six</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should be prepared to report the proposed transaction on an appropriate Form 4 or Form</w:t>
      </w:r>
      <w:r>
        <w:rPr>
          <w:rFonts w:ascii="times new roman;times" w:hAnsi="times new roman;times"/>
          <w:sz w:val="20"/>
        </w:rPr>
        <w:t xml:space="preserve"> </w:t>
      </w:r>
      <w:r>
        <w:rPr>
          <w:rFonts w:ascii="Times New Roman" w:hAnsi="Times New Roman"/>
          <w:sz w:val="20"/>
        </w:rPr>
        <w:t>5. The requestor should also be prepared to comply with SEC Rule 144 and file a Form 144, if necessary, at the time of any sale.</w:t>
      </w:r>
    </w:p>
    <w:p>
      <w:pPr>
        <w:pStyle w:val="TextBody"/>
        <w:widowControl w:val="false"/>
        <w:bidi w:val="0"/>
        <w:spacing w:before="10" w:after="0"/>
        <w:ind w:left="0" w:right="0" w:hanging="0"/>
        <w:jc w:val="left"/>
        <w:rPr/>
      </w:pPr>
      <w:r>
        <w:rPr/>
        <w:t> </w:t>
      </w:r>
    </w:p>
    <w:p>
      <w:pPr>
        <w:pStyle w:val="TextBody"/>
        <w:widowControl w:val="false"/>
        <w:bidi w:val="0"/>
        <w:spacing w:before="1" w:after="0"/>
        <w:ind w:left="1320" w:right="847" w:hanging="0"/>
        <w:jc w:val="left"/>
        <w:rPr>
          <w:rFonts w:ascii="times new roman;times" w:hAnsi="times new roman;times"/>
          <w:sz w:val="20"/>
        </w:rPr>
      </w:pPr>
      <w:r>
        <w:rPr>
          <w:rFonts w:ascii="Times New Roman" w:hAnsi="Times New Roman"/>
          <w:sz w:val="20"/>
        </w:rPr>
        <w:t>Article XV.</w:t>
      </w:r>
      <w:r>
        <w:rPr>
          <w:rFonts w:ascii="times new roman;times" w:hAnsi="times new roman;times"/>
          <w:sz w:val="20"/>
        </w:rPr>
        <w:t>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pre-cleared</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effected</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indicated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 pre-clearance form as approved by the Compliance Officer (typically not to exceed 10 Trading Days), unless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different</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effected within such specified period shall be subject to pre-clearance again before a trade can be effected.</w:t>
      </w:r>
    </w:p>
    <w:p>
      <w:pPr>
        <w:pStyle w:val="TextBody"/>
        <w:widowControl w:val="false"/>
        <w:bidi w:val="0"/>
        <w:spacing w:before="9" w:after="0"/>
        <w:ind w:left="0" w:right="0" w:hanging="0"/>
        <w:jc w:val="left"/>
        <w:rPr/>
      </w:pPr>
      <w:r>
        <w:rPr/>
        <w:t> </w:t>
      </w:r>
    </w:p>
    <w:p>
      <w:pPr>
        <w:pStyle w:val="TextBody"/>
        <w:widowControl w:val="false"/>
        <w:bidi w:val="0"/>
        <w:spacing w:before="0" w:after="0"/>
        <w:ind w:left="1320" w:right="659" w:hanging="0"/>
        <w:jc w:val="left"/>
        <w:rPr>
          <w:rFonts w:ascii="times new roman;times" w:hAnsi="times new roman;times"/>
          <w:sz w:val="20"/>
        </w:rPr>
      </w:pPr>
      <w:r>
        <w:rPr>
          <w:rFonts w:ascii="Times New Roman" w:hAnsi="Times New Roman"/>
          <w:sz w:val="20"/>
        </w:rPr>
        <w:t>Article XVI.</w:t>
      </w:r>
      <w:r>
        <w:rPr>
          <w:rFonts w:ascii="times new roman;times" w:hAnsi="times new roman;times"/>
          <w:sz w:val="20"/>
        </w:rPr>
        <w:t>        </w:t>
      </w:r>
      <w:r>
        <w:rPr>
          <w:rFonts w:ascii="Times New Roman" w:hAnsi="Times New Roman"/>
          <w:i/>
          <w:sz w:val="20"/>
        </w:rPr>
        <w:t>Quarterly Trading Restrictions</w:t>
      </w:r>
      <w:r>
        <w:rPr>
          <w:rFonts w:ascii="Times New Roman" w:hAnsi="Times New Roman"/>
          <w:sz w:val="20"/>
        </w:rPr>
        <w:t>. No person that is subject to this Policy may</w:t>
      </w:r>
      <w:r>
        <w:rPr>
          <w:rFonts w:ascii="times new roman;times" w:hAnsi="times new roman;times"/>
          <w:sz w:val="20"/>
        </w:rPr>
        <w:t xml:space="preserve"> </w:t>
      </w:r>
      <w:r>
        <w:rPr>
          <w:rFonts w:ascii="Times New Roman" w:hAnsi="Times New Roman"/>
          <w:sz w:val="20"/>
        </w:rPr>
        <w:t>conduct any transactions involving the Company’s Securities (other than as specified by this Policy), during a “Quarterly</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beginning</w:t>
      </w:r>
      <w:r>
        <w:rPr>
          <w:rFonts w:ascii="times new roman;times" w:hAnsi="times new roman;times"/>
          <w:sz w:val="20"/>
        </w:rPr>
        <w:t xml:space="preserve"> </w:t>
      </w:r>
      <w:r>
        <w:rPr>
          <w:rFonts w:ascii="Times New Roman" w:hAnsi="Times New Roman"/>
          <w:sz w:val="20"/>
        </w:rPr>
        <w:t>14</w:t>
      </w:r>
      <w:r>
        <w:rPr>
          <w:rFonts w:ascii="times new roman;times" w:hAnsi="times new roman;times"/>
          <w:sz w:val="20"/>
        </w:rPr>
        <w:t xml:space="preserve"> </w:t>
      </w:r>
      <w:r>
        <w:rPr>
          <w:rFonts w:ascii="Times New Roman" w:hAnsi="Times New Roman"/>
          <w:sz w:val="20"/>
        </w:rPr>
        <w:t>calendar 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fiscal quarter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ending on the second Trading Day following the date of the public release of the Company’s earnings results for that</w:t>
      </w:r>
      <w:r>
        <w:rPr>
          <w:rFonts w:ascii="times new roman;times" w:hAnsi="times new roman;times"/>
          <w:sz w:val="20"/>
        </w:rPr>
        <w:t xml:space="preserve"> </w:t>
      </w:r>
      <w:r>
        <w:rPr>
          <w:rFonts w:ascii="Times New Roman" w:hAnsi="Times New Roman"/>
          <w:sz w:val="20"/>
        </w:rPr>
        <w:t>quarter.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other words,</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Securities during</w:t>
      </w:r>
      <w:r>
        <w:rPr>
          <w:rFonts w:ascii="times new roman;times" w:hAnsi="times new roman;times"/>
          <w:sz w:val="20"/>
        </w:rPr>
        <w:t xml:space="preserve"> </w:t>
      </w:r>
      <w:r>
        <w:rPr>
          <w:rFonts w:ascii="Times New Roman" w:hAnsi="Times New Roman"/>
          <w:sz w:val="20"/>
        </w:rPr>
        <w:t>the “Window Period” beginning on the second Trading Day following the date of the public release of the Company’s</w:t>
      </w:r>
      <w:r>
        <w:rPr>
          <w:rFonts w:ascii="times new roman;times" w:hAnsi="times new roman;times"/>
          <w:sz w:val="20"/>
        </w:rPr>
        <w:t xml:space="preserve"> </w:t>
      </w:r>
      <w:r>
        <w:rPr>
          <w:rFonts w:ascii="Times New Roman" w:hAnsi="Times New Roman"/>
          <w:sz w:val="20"/>
        </w:rPr>
        <w:t>earnings</w:t>
      </w:r>
      <w:r>
        <w:rPr>
          <w:rFonts w:ascii="times new roman;times" w:hAnsi="times new roman;times"/>
          <w:sz w:val="20"/>
        </w:rPr>
        <w:t xml:space="preserve"> </w:t>
      </w:r>
      <w:r>
        <w:rPr>
          <w:rFonts w:ascii="Times New Roman" w:hAnsi="Times New Roman"/>
          <w:sz w:val="20"/>
        </w:rPr>
        <w:t>results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quarter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14</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next</w:t>
      </w:r>
      <w:r>
        <w:rPr>
          <w:rFonts w:ascii="times new roman;times" w:hAnsi="times new roman;times"/>
          <w:sz w:val="20"/>
        </w:rPr>
        <w:t xml:space="preserve"> </w:t>
      </w:r>
      <w:r>
        <w:rPr>
          <w:rFonts w:ascii="Times New Roman" w:hAnsi="Times New Roman"/>
          <w:sz w:val="20"/>
        </w:rPr>
        <w:t>fiscal quarter. It</w:t>
      </w:r>
      <w:r>
        <w:rPr>
          <w:rFonts w:ascii="times new roman;times" w:hAnsi="times new roman;times"/>
          <w:sz w:val="20"/>
        </w:rPr>
        <w:t xml:space="preserve"> </w:t>
      </w:r>
      <w:r>
        <w:rPr>
          <w:rFonts w:ascii="Times New Roman" w:hAnsi="Times New Roman"/>
          <w:sz w:val="20"/>
        </w:rPr>
        <w:t>should be noted that preliminary</w:t>
      </w:r>
      <w:r>
        <w:rPr>
          <w:rFonts w:ascii="times new roman;times" w:hAnsi="times new roman;times"/>
          <w:sz w:val="20"/>
        </w:rPr>
        <w:t xml:space="preserve"> </w:t>
      </w:r>
      <w:r>
        <w:rPr>
          <w:rFonts w:ascii="Times New Roman" w:hAnsi="Times New Roman"/>
          <w:sz w:val="20"/>
        </w:rPr>
        <w:t>guidance 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the quarterly</w:t>
      </w:r>
      <w:r>
        <w:rPr>
          <w:rFonts w:ascii="times new roman;times" w:hAnsi="times new roman;times"/>
          <w:sz w:val="20"/>
        </w:rPr>
        <w:t xml:space="preserve"> </w:t>
      </w:r>
      <w:r>
        <w:rPr>
          <w:rFonts w:ascii="Times New Roman" w:hAnsi="Times New Roman"/>
          <w:sz w:val="20"/>
        </w:rPr>
        <w:t>results generally</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not suffice to end the Quarterly Restricted Period.</w:t>
      </w:r>
    </w:p>
    <w:p>
      <w:pPr>
        <w:pStyle w:val="TextBody"/>
        <w:widowControl w:val="false"/>
        <w:bidi w:val="0"/>
        <w:spacing w:before="11" w:after="0"/>
        <w:ind w:left="0" w:right="0" w:hanging="0"/>
        <w:jc w:val="left"/>
        <w:rPr/>
      </w:pPr>
      <w:r>
        <w:rPr/>
        <w:t> </w:t>
      </w:r>
    </w:p>
    <w:p>
      <w:pPr>
        <w:pStyle w:val="TextBody"/>
        <w:widowControl w:val="false"/>
        <w:bidi w:val="0"/>
        <w:spacing w:before="1" w:after="0"/>
        <w:ind w:left="1320" w:right="617" w:hanging="0"/>
        <w:jc w:val="left"/>
        <w:rPr>
          <w:rFonts w:ascii="times new roman;times" w:hAnsi="times new roman;times"/>
          <w:sz w:val="20"/>
        </w:rPr>
      </w:pPr>
      <w:r>
        <w:rPr>
          <w:rFonts w:ascii="Times New Roman" w:hAnsi="Times New Roman"/>
          <w:sz w:val="20"/>
        </w:rPr>
        <w:t>Article XVII.</w:t>
      </w:r>
      <w:r>
        <w:rPr>
          <w:rFonts w:ascii="times new roman;times" w:hAnsi="times new roman;times"/>
          <w:sz w:val="20"/>
        </w:rPr>
        <w:t>       </w:t>
      </w:r>
      <w:r>
        <w:rPr>
          <w:rFonts w:ascii="Times New Roman" w:hAnsi="Times New Roman"/>
          <w:sz w:val="20"/>
        </w:rPr>
        <w:t>To illustrate the commencement of a Quarterly Restricted Period, if the Company’s</w:t>
      </w:r>
      <w:r>
        <w:rPr>
          <w:rFonts w:ascii="times new roman;times" w:hAnsi="times new roman;times"/>
          <w:sz w:val="20"/>
        </w:rPr>
        <w:t xml:space="preserve"> </w:t>
      </w:r>
      <w:r>
        <w:rPr>
          <w:rFonts w:ascii="Times New Roman" w:hAnsi="Times New Roman"/>
          <w:sz w:val="20"/>
        </w:rPr>
        <w:t>fourth fiscal quarter ends immediately following 11:59 p.m., Eastern time, on December 31st, the corresponding</w:t>
      </w:r>
      <w:r>
        <w:rPr>
          <w:rFonts w:ascii="times new roman;times" w:hAnsi="times new roman;times"/>
          <w:sz w:val="20"/>
        </w:rPr>
        <w:t xml:space="preserve"> </w:t>
      </w:r>
      <w:r>
        <w:rPr>
          <w:rFonts w:ascii="Times New Roman" w:hAnsi="Times New Roman"/>
          <w:sz w:val="20"/>
        </w:rPr>
        <w:t>Quarterly</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begin</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11:59</w:t>
      </w:r>
      <w:r>
        <w:rPr>
          <w:rFonts w:ascii="times new roman;times" w:hAnsi="times new roman;times"/>
          <w:sz w:val="20"/>
        </w:rPr>
        <w:t xml:space="preserve"> </w:t>
      </w:r>
      <w:r>
        <w:rPr>
          <w:rFonts w:ascii="Times New Roman" w:hAnsi="Times New Roman"/>
          <w:sz w:val="20"/>
        </w:rPr>
        <w:t>p.m.,</w:t>
      </w:r>
      <w:r>
        <w:rPr>
          <w:rFonts w:ascii="times new roman;times" w:hAnsi="times new roman;times"/>
          <w:sz w:val="20"/>
        </w:rPr>
        <w:t xml:space="preserve"> </w:t>
      </w:r>
      <w:r>
        <w:rPr>
          <w:rFonts w:ascii="Times New Roman" w:hAnsi="Times New Roman"/>
          <w:sz w:val="20"/>
        </w:rPr>
        <w:t>Eastern</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on December 17</w:t>
      </w:r>
      <w:r>
        <w:rPr>
          <w:rFonts w:ascii="Times New Roman" w:hAnsi="Times New Roman"/>
          <w:sz w:val="13"/>
        </w:rPr>
        <w:t>th</w:t>
      </w:r>
      <w:r>
        <w:rPr>
          <w:rFonts w:ascii="Times New Roman" w:hAnsi="Times New Roman"/>
          <w:sz w:val="20"/>
        </w:rPr>
        <w:t>.</w:t>
      </w:r>
    </w:p>
    <w:p>
      <w:pPr>
        <w:pStyle w:val="TextBody"/>
        <w:widowControl w:val="false"/>
        <w:bidi w:val="0"/>
        <w:spacing w:before="9" w:after="0"/>
        <w:ind w:left="0" w:right="0" w:hanging="0"/>
        <w:jc w:val="left"/>
        <w:rPr/>
      </w:pPr>
      <w:r>
        <w:rPr/>
        <w:t> </w:t>
      </w:r>
    </w:p>
    <w:p>
      <w:pPr>
        <w:pStyle w:val="TextBody"/>
        <w:widowControl w:val="false"/>
        <w:bidi w:val="0"/>
        <w:spacing w:before="1" w:after="0"/>
        <w:ind w:left="1320" w:right="891" w:hanging="0"/>
        <w:jc w:val="left"/>
        <w:rPr>
          <w:rFonts w:ascii="times new roman;times" w:hAnsi="times new roman;times"/>
          <w:sz w:val="20"/>
        </w:rPr>
      </w:pPr>
      <w:r>
        <w:rPr>
          <w:rFonts w:ascii="Times New Roman" w:hAnsi="Times New Roman"/>
          <w:sz w:val="20"/>
        </w:rPr>
        <w:t>Article XVIII.</w:t>
      </w:r>
      <w:r>
        <w:rPr>
          <w:rFonts w:ascii="times new roman;times" w:hAnsi="times new roman;times"/>
          <w:sz w:val="20"/>
        </w:rPr>
        <w:t xml:space="preserve">      </w:t>
      </w:r>
      <w:r>
        <w:rPr>
          <w:rFonts w:ascii="Times New Roman" w:hAnsi="Times New Roman"/>
          <w:sz w:val="20"/>
        </w:rPr>
        <w:t>To illustrate the commencement of the Window Period, if the Company publicly announces its earnings results intra-day or post-market, for example, on Monday, March 8</w:t>
      </w:r>
      <w:r>
        <w:rPr>
          <w:rFonts w:ascii="Times New Roman" w:hAnsi="Times New Roman"/>
          <w:sz w:val="13"/>
        </w:rPr>
        <w:t>th</w:t>
      </w:r>
      <w:r>
        <w:rPr>
          <w:rFonts w:ascii="Times New Roman" w:hAnsi="Times New Roman"/>
          <w:sz w:val="20"/>
        </w:rPr>
        <w:t>, then the Window Period shall begin on Thursday, March 11</w:t>
      </w:r>
      <w:r>
        <w:rPr>
          <w:rFonts w:ascii="Times New Roman" w:hAnsi="Times New Roman"/>
          <w:sz w:val="13"/>
        </w:rPr>
        <w:t>th</w:t>
      </w:r>
      <w:r>
        <w:rPr>
          <w:rFonts w:ascii="Times New Roman" w:hAnsi="Times New Roman"/>
          <w:sz w:val="20"/>
        </w:rPr>
        <w:t>. However, if the Company publicly announces its earnings</w:t>
      </w:r>
      <w:r>
        <w:rPr>
          <w:rFonts w:ascii="times new roman;times" w:hAnsi="times new roman;times"/>
          <w:sz w:val="20"/>
        </w:rPr>
        <w:t xml:space="preserve"> </w:t>
      </w:r>
      <w:r>
        <w:rPr>
          <w:rFonts w:ascii="Times New Roman" w:hAnsi="Times New Roman"/>
          <w:sz w:val="20"/>
        </w:rPr>
        <w:t>results</w:t>
      </w:r>
      <w:r>
        <w:rPr>
          <w:rFonts w:ascii="times new roman;times" w:hAnsi="times new roman;times"/>
          <w:sz w:val="20"/>
        </w:rPr>
        <w:t xml:space="preserve"> </w:t>
      </w:r>
      <w:r>
        <w:rPr>
          <w:rFonts w:ascii="Times New Roman" w:hAnsi="Times New Roman"/>
          <w:sz w:val="20"/>
        </w:rPr>
        <w:t>pre-market, for</w:t>
      </w:r>
      <w:r>
        <w:rPr>
          <w:rFonts w:ascii="times new roman;times" w:hAnsi="times new roman;times"/>
          <w:sz w:val="20"/>
        </w:rPr>
        <w:t xml:space="preserve"> </w:t>
      </w:r>
      <w:r>
        <w:rPr>
          <w:rFonts w:ascii="Times New Roman" w:hAnsi="Times New Roman"/>
          <w:sz w:val="20"/>
        </w:rPr>
        <w:t>example,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Monday,</w:t>
      </w:r>
      <w:r>
        <w:rPr>
          <w:rFonts w:ascii="times new roman;times" w:hAnsi="times new roman;times"/>
          <w:sz w:val="20"/>
        </w:rPr>
        <w:t xml:space="preserve"> </w:t>
      </w:r>
      <w:r>
        <w:rPr>
          <w:rFonts w:ascii="Times New Roman" w:hAnsi="Times New Roman"/>
          <w:sz w:val="20"/>
        </w:rPr>
        <w:t>March</w:t>
      </w:r>
      <w:r>
        <w:rPr>
          <w:rFonts w:ascii="times new roman;times" w:hAnsi="times new roman;times"/>
          <w:sz w:val="20"/>
        </w:rPr>
        <w:t xml:space="preserve"> </w:t>
      </w:r>
      <w:r>
        <w:rPr>
          <w:rFonts w:ascii="Times New Roman" w:hAnsi="Times New Roman"/>
          <w:sz w:val="20"/>
        </w:rPr>
        <w:t>8</w:t>
      </w:r>
      <w:r>
        <w:rPr>
          <w:rFonts w:ascii="Times New Roman" w:hAnsi="Times New Roman"/>
          <w:sz w:val="13"/>
        </w:rPr>
        <w:t>th</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Window</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begin</w:t>
      </w:r>
      <w:r>
        <w:rPr>
          <w:rFonts w:ascii="times new roman;times" w:hAnsi="times new roman;times"/>
          <w:sz w:val="20"/>
        </w:rPr>
        <w:t xml:space="preserve"> </w:t>
      </w:r>
      <w:r>
        <w:rPr>
          <w:rFonts w:ascii="Times New Roman" w:hAnsi="Times New Roman"/>
          <w:sz w:val="20"/>
        </w:rPr>
        <w:t>on Wednesday, March 10</w:t>
      </w:r>
      <w:r>
        <w:rPr>
          <w:rFonts w:ascii="Times New Roman" w:hAnsi="Times New Roman"/>
          <w:sz w:val="13"/>
        </w:rPr>
        <w:t>th</w:t>
      </w:r>
      <w:r>
        <w:rPr>
          <w:rFonts w:ascii="Times New Roman" w:hAnsi="Times New Roman"/>
          <w:sz w:val="20"/>
        </w:rPr>
        <w:t>.</w:t>
      </w:r>
    </w:p>
    <w:p>
      <w:pPr>
        <w:pStyle w:val="TextBody"/>
        <w:widowControl w:val="false"/>
        <w:bidi w:val="0"/>
        <w:spacing w:before="9" w:after="0"/>
        <w:ind w:left="0" w:right="0" w:hanging="0"/>
        <w:jc w:val="left"/>
        <w:rPr/>
      </w:pPr>
      <w:r>
        <w:rPr/>
        <w:t> </w:t>
      </w:r>
    </w:p>
    <w:p>
      <w:pPr>
        <w:pStyle w:val="TextBody"/>
        <w:widowControl w:val="false"/>
        <w:bidi w:val="0"/>
        <w:spacing w:before="0" w:after="0"/>
        <w:ind w:left="1320" w:right="719" w:hanging="0"/>
        <w:jc w:val="left"/>
        <w:rPr>
          <w:rFonts w:ascii="times new roman;times" w:hAnsi="times new roman;times"/>
          <w:sz w:val="20"/>
        </w:rPr>
      </w:pPr>
      <w:r>
        <w:rPr>
          <w:rFonts w:ascii="Times New Roman" w:hAnsi="Times New Roman"/>
          <w:sz w:val="20"/>
        </w:rPr>
        <w:t>Article XIX.</w:t>
      </w:r>
      <w:r>
        <w:rPr>
          <w:rFonts w:ascii="times new roman;times" w:hAnsi="times new roman;times"/>
          <w:sz w:val="20"/>
        </w:rPr>
        <w:t>         </w:t>
      </w:r>
      <w:r>
        <w:rPr>
          <w:rFonts w:ascii="Times New Roman" w:hAnsi="Times New Roman"/>
          <w:sz w:val="20"/>
        </w:rPr>
        <w:t>The foregoing calculation of the two-Trading Day period required prior to commencement of a Window Period assumes all relevant days are Trading Days and is made using the same</w:t>
      </w:r>
      <w:r>
        <w:rPr>
          <w:rFonts w:ascii="times new roman;times" w:hAnsi="times new roman;times"/>
          <w:sz w:val="20"/>
        </w:rPr>
        <w:t xml:space="preserve"> </w:t>
      </w:r>
      <w:r>
        <w:rPr>
          <w:rFonts w:ascii="Times New Roman" w:hAnsi="Times New Roman"/>
          <w:sz w:val="20"/>
        </w:rPr>
        <w:t>method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calculating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two-Trading</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heading</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Information is Considered Public”.</w:t>
      </w:r>
    </w:p>
    <w:p>
      <w:pPr>
        <w:pStyle w:val="TextBody"/>
        <w:widowControl w:val="false"/>
        <w:bidi w:val="0"/>
        <w:spacing w:before="0" w:after="0"/>
        <w:ind w:left="1320" w:right="719"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before="0" w:after="0"/>
        <w:ind w:left="1320" w:right="734" w:hanging="0"/>
        <w:jc w:val="left"/>
        <w:rPr>
          <w:rFonts w:ascii="Times New Roman" w:hAnsi="Times New Roman"/>
          <w:sz w:val="20"/>
        </w:rPr>
      </w:pPr>
      <w:r>
        <w:rPr>
          <w:rFonts w:ascii="Times New Roman" w:hAnsi="Times New Roman"/>
          <w:sz w:val="20"/>
        </w:rPr>
      </w:r>
    </w:p>
    <w:p>
      <w:pPr>
        <w:pStyle w:val="TextBody"/>
        <w:widowControl w:val="false"/>
        <w:bidi w:val="0"/>
        <w:spacing w:before="0" w:after="0"/>
        <w:ind w:left="1320" w:right="734" w:hanging="0"/>
        <w:jc w:val="left"/>
        <w:rPr>
          <w:rFonts w:ascii="times new roman;times" w:hAnsi="times new roman;times"/>
          <w:sz w:val="20"/>
        </w:rPr>
      </w:pPr>
      <w:r>
        <w:rPr>
          <w:rFonts w:ascii="Times New Roman" w:hAnsi="Times New Roman"/>
          <w:sz w:val="20"/>
        </w:rPr>
        <w:t>Article XX.</w:t>
      </w:r>
      <w:r>
        <w:rPr>
          <w:rFonts w:ascii="times new roman;times" w:hAnsi="times new roman;times"/>
          <w:sz w:val="20"/>
        </w:rPr>
        <w:t>           </w:t>
      </w:r>
      <w:r>
        <w:rPr>
          <w:rFonts w:ascii="Times New Roman" w:hAnsi="Times New Roman"/>
          <w:sz w:val="20"/>
        </w:rPr>
        <w:t>For the avoidance of doubt, all persons designated by the Compliance Officer as being subject to pre-clearance procedures, as well as the Family Members and Controlled Entities of such persons,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obtaining</w:t>
      </w:r>
      <w:r>
        <w:rPr>
          <w:rFonts w:ascii="times new roman;times" w:hAnsi="times new roman;times"/>
          <w:sz w:val="20"/>
        </w:rPr>
        <w:t xml:space="preserve"> </w:t>
      </w:r>
      <w:r>
        <w:rPr>
          <w:rFonts w:ascii="Times New Roman" w:hAnsi="Times New Roman"/>
          <w:sz w:val="20"/>
        </w:rPr>
        <w:t>pre-clearance</w:t>
      </w:r>
      <w:r>
        <w:rPr>
          <w:rFonts w:ascii="times new roman;times" w:hAnsi="times new roman;times"/>
          <w:sz w:val="20"/>
        </w:rPr>
        <w:t xml:space="preserve"> </w:t>
      </w:r>
      <w:r>
        <w:rPr>
          <w:rFonts w:ascii="Times New Roman" w:hAnsi="Times New Roman"/>
          <w:sz w:val="20"/>
        </w:rPr>
        <w:t>of the transaction from the Compliance Officer in accordance with the terms of this Policy, even during a Window</w:t>
      </w:r>
      <w:r>
        <w:rPr>
          <w:rFonts w:ascii="times new roman;times" w:hAnsi="times new roman;times"/>
          <w:sz w:val="20"/>
        </w:rPr>
        <w:t xml:space="preserve"> </w:t>
      </w:r>
      <w:r>
        <w:rPr>
          <w:rFonts w:ascii="Times New Roman" w:hAnsi="Times New Roman"/>
          <w:sz w:val="20"/>
        </w:rPr>
        <w:t>Period.</w:t>
      </w:r>
    </w:p>
    <w:p>
      <w:pPr>
        <w:pStyle w:val="TextBody"/>
        <w:widowControl w:val="false"/>
        <w:bidi w:val="0"/>
        <w:spacing w:before="10" w:after="0"/>
        <w:ind w:left="0" w:right="0" w:hanging="0"/>
        <w:jc w:val="left"/>
        <w:rPr/>
      </w:pPr>
      <w:r>
        <w:rPr/>
        <w:t> </w:t>
      </w:r>
    </w:p>
    <w:p>
      <w:pPr>
        <w:pStyle w:val="TextBody"/>
        <w:widowControl w:val="false"/>
        <w:bidi w:val="0"/>
        <w:spacing w:before="0" w:after="0"/>
        <w:ind w:left="1320" w:right="659" w:hanging="0"/>
        <w:jc w:val="left"/>
        <w:rPr>
          <w:rFonts w:ascii="times new roman;times" w:hAnsi="times new roman;times"/>
          <w:sz w:val="20"/>
        </w:rPr>
      </w:pPr>
      <w:r>
        <w:rPr>
          <w:rFonts w:ascii="Times New Roman" w:hAnsi="Times New Roman"/>
          <w:sz w:val="20"/>
        </w:rPr>
        <w:t>Article XXI.</w:t>
      </w:r>
      <w:r>
        <w:rPr>
          <w:rFonts w:ascii="times new roman;times" w:hAnsi="times new roman;times"/>
          <w:sz w:val="20"/>
        </w:rPr>
        <w:t xml:space="preserve">          </w:t>
      </w:r>
      <w:r>
        <w:rPr>
          <w:rFonts w:ascii="Times New Roman" w:hAnsi="Times New Roman"/>
          <w:sz w:val="20"/>
        </w:rPr>
        <w:t>Under certain</w:t>
      </w:r>
      <w:r>
        <w:rPr>
          <w:rFonts w:ascii="times new roman;times" w:hAnsi="times new roman;times"/>
          <w:sz w:val="20"/>
        </w:rPr>
        <w:t xml:space="preserve"> </w:t>
      </w:r>
      <w:r>
        <w:rPr>
          <w:rFonts w:ascii="Times New Roman" w:hAnsi="Times New Roman"/>
          <w:sz w:val="20"/>
        </w:rPr>
        <w:t>very</w:t>
      </w:r>
      <w:r>
        <w:rPr>
          <w:rFonts w:ascii="times new roman;times" w:hAnsi="times new roman;times"/>
          <w:sz w:val="20"/>
        </w:rPr>
        <w:t xml:space="preserve"> </w:t>
      </w:r>
      <w:r>
        <w:rPr>
          <w:rFonts w:ascii="Times New Roman" w:hAnsi="Times New Roman"/>
          <w:sz w:val="20"/>
        </w:rPr>
        <w:t>limited circumstances, a person</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a Quarterly</w:t>
      </w:r>
      <w:r>
        <w:rPr>
          <w:rFonts w:ascii="times new roman;times" w:hAnsi="times new roman;times"/>
          <w:sz w:val="20"/>
        </w:rPr>
        <w:t xml:space="preserve"> </w:t>
      </w:r>
      <w:r>
        <w:rPr>
          <w:rFonts w:ascii="Times New Roman" w:hAnsi="Times New Roman"/>
          <w:sz w:val="20"/>
        </w:rPr>
        <w:t>Restricted Period may be permitted to trade during such Quarterly Restricted Period, but only if the Compliance Officer concludes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wishing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a Quarterly</w:t>
      </w:r>
      <w:r>
        <w:rPr>
          <w:rFonts w:ascii="times new roman;times" w:hAnsi="times new roman;times"/>
          <w:sz w:val="20"/>
        </w:rPr>
        <w:t xml:space="preserve"> </w:t>
      </w:r>
      <w:r>
        <w:rPr>
          <w:rFonts w:ascii="Times New Roman" w:hAnsi="Times New Roman"/>
          <w:sz w:val="20"/>
        </w:rPr>
        <w:t>Restricted Period must</w:t>
      </w:r>
      <w:r>
        <w:rPr>
          <w:rFonts w:ascii="times new roman;times" w:hAnsi="times new roman;times"/>
          <w:sz w:val="20"/>
        </w:rPr>
        <w:t xml:space="preserve"> </w:t>
      </w:r>
      <w:r>
        <w:rPr>
          <w:rFonts w:ascii="Times New Roman" w:hAnsi="Times New Roman"/>
          <w:sz w:val="20"/>
        </w:rPr>
        <w:t>contact</w:t>
      </w:r>
      <w:r>
        <w:rPr>
          <w:rFonts w:ascii="times new roman;times" w:hAnsi="times new roman;times"/>
          <w:sz w:val="20"/>
        </w:rPr>
        <w:t xml:space="preserve"> </w:t>
      </w:r>
      <w:r>
        <w:rPr>
          <w:rFonts w:ascii="Times New Roman" w:hAnsi="Times New Roman"/>
          <w:sz w:val="20"/>
        </w:rPr>
        <w:t>the Compliance</w:t>
      </w:r>
      <w:r>
        <w:rPr>
          <w:rFonts w:ascii="times new roman;times" w:hAnsi="times new roman;times"/>
          <w:sz w:val="20"/>
        </w:rPr>
        <w:t xml:space="preserve"> </w:t>
      </w:r>
      <w:r>
        <w:rPr>
          <w:rFonts w:ascii="Times New Roman" w:hAnsi="Times New Roman"/>
          <w:sz w:val="20"/>
        </w:rPr>
        <w:t>Officer for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 xml:space="preserve">least </w:t>
      </w:r>
      <w:r>
        <w:rPr>
          <w:rFonts w:ascii="Times New Roman" w:hAnsi="Times New Roman"/>
          <w:i/>
          <w:sz w:val="20"/>
        </w:rPr>
        <w:t xml:space="preserve">two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in advance of any proposed transaction involving Company Securities.</w:t>
      </w:r>
    </w:p>
    <w:p>
      <w:pPr>
        <w:pStyle w:val="TextBody"/>
        <w:widowControl w:val="false"/>
        <w:bidi w:val="0"/>
        <w:spacing w:before="10" w:after="0"/>
        <w:ind w:left="0" w:right="0" w:hanging="0"/>
        <w:jc w:val="left"/>
        <w:rPr/>
      </w:pPr>
      <w:r>
        <w:rPr/>
        <w:t> </w:t>
      </w:r>
    </w:p>
    <w:p>
      <w:pPr>
        <w:pStyle w:val="TextBody"/>
        <w:widowControl w:val="false"/>
        <w:bidi w:val="0"/>
        <w:spacing w:before="0" w:after="0"/>
        <w:ind w:left="1320" w:right="652" w:hanging="0"/>
        <w:jc w:val="left"/>
        <w:rPr>
          <w:rFonts w:ascii="times new roman;times" w:hAnsi="times new roman;times"/>
          <w:sz w:val="20"/>
        </w:rPr>
      </w:pPr>
      <w:r>
        <w:rPr>
          <w:rFonts w:ascii="Times New Roman" w:hAnsi="Times New Roman"/>
          <w:sz w:val="20"/>
        </w:rPr>
        <w:t>Article XXII.</w:t>
      </w:r>
      <w:r>
        <w:rPr>
          <w:rFonts w:ascii="times new roman;times" w:hAnsi="times new roman;times"/>
          <w:sz w:val="20"/>
        </w:rPr>
        <w:t>         </w:t>
      </w:r>
      <w:r>
        <w:rPr>
          <w:rFonts w:ascii="Times New Roman" w:hAnsi="Times New Roman"/>
          <w:sz w:val="20"/>
          <w:u w:val="single"/>
        </w:rPr>
        <w:t>Event-Specific</w:t>
      </w:r>
      <w:r>
        <w:rPr>
          <w:rFonts w:ascii="times new roman;times" w:hAnsi="times new roman;times"/>
          <w:sz w:val="20"/>
        </w:rPr>
        <w:t xml:space="preserve"> </w:t>
      </w:r>
      <w:r>
        <w:rPr>
          <w:rFonts w:ascii="Times New Roman" w:hAnsi="Times New Roman"/>
          <w:sz w:val="20"/>
          <w:u w:val="single"/>
        </w:rPr>
        <w:t>Restricted</w:t>
      </w:r>
      <w:r>
        <w:rPr>
          <w:rFonts w:ascii="times new roman;times" w:hAnsi="times new roman;times"/>
          <w:sz w:val="20"/>
        </w:rPr>
        <w:t xml:space="preserve"> </w:t>
      </w:r>
      <w:r>
        <w:rPr>
          <w:rFonts w:ascii="Times New Roman" w:hAnsi="Times New Roman"/>
          <w:sz w:val="20"/>
          <w:u w:val="single"/>
        </w:rPr>
        <w:t>Periods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occur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material to the Company</w:t>
      </w:r>
      <w:r>
        <w:rPr>
          <w:rFonts w:ascii="times new roman;times" w:hAnsi="times new roman;times"/>
          <w:sz w:val="20"/>
        </w:rPr>
        <w:t xml:space="preserve"> </w:t>
      </w:r>
      <w:r>
        <w:rPr>
          <w:rFonts w:ascii="Times New Roman" w:hAnsi="Times New Roman"/>
          <w:strike w:val="false"/>
          <w:dstrike w:val="false"/>
          <w:sz w:val="20"/>
          <w:u w:val="none"/>
          <w:effect w:val="none"/>
        </w:rPr>
        <w:t>and is known by</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a few directors, officers, employees and Consultants. So long as the event remains material and nonpublic (the “Event-Specific Restricted Period”), the persons designated by the</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Officer may</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engage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 financial results may be sufficiently material in a particular fiscal quarter that, in the judgment of the Compliance Officer, designated persons should refrain from engaging in transactions in Company Securities even sooner than the Quarterly Restricted Period described above. In that situation, the</w:t>
      </w:r>
    </w:p>
    <w:p>
      <w:pPr>
        <w:pStyle w:val="TextBody"/>
        <w:widowControl w:val="false"/>
        <w:bidi w:val="0"/>
        <w:spacing w:before="1" w:after="0"/>
        <w:ind w:left="1320" w:right="623" w:hanging="0"/>
        <w:jc w:val="left"/>
        <w:rPr>
          <w:rFonts w:ascii="times new roman;times" w:hAnsi="times new roman;times"/>
          <w:sz w:val="20"/>
        </w:rPr>
      </w:pPr>
      <w:r>
        <w:rPr>
          <w:rFonts w:ascii="Times New Roman" w:hAnsi="Times New Roman"/>
          <w:sz w:val="20"/>
        </w:rPr>
        <w:t>Compliance Officer may notify these persons that they should not trade in the Company’s Securities, without</w:t>
      </w:r>
      <w:r>
        <w:rPr>
          <w:rFonts w:ascii="times new roman;times" w:hAnsi="times new roman;times"/>
          <w:sz w:val="20"/>
        </w:rPr>
        <w:t xml:space="preserve"> </w:t>
      </w:r>
      <w:r>
        <w:rPr>
          <w:rFonts w:ascii="Times New Roman" w:hAnsi="Times New Roman"/>
          <w:sz w:val="20"/>
        </w:rPr>
        <w:t>disclosing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restriction.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existence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Event-Specific</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extension of a Quarterly Restricted Period will not be announced to the Company as a whole, and should not be communicated to any other person. Even if the Compliance Officer has not designated you as a person who should not engage in transactions in Company Securities due to an Event-Specific Restricted Period,</w:t>
      </w:r>
      <w:r>
        <w:rPr>
          <w:rFonts w:ascii="times new roman;times" w:hAnsi="times new roman;times"/>
          <w:sz w:val="20"/>
        </w:rPr>
        <w:t xml:space="preserve"> </w:t>
      </w:r>
      <w:r>
        <w:rPr>
          <w:rFonts w:ascii="Times New Roman" w:hAnsi="Times New Roman"/>
          <w:sz w:val="20"/>
        </w:rPr>
        <w:t>you</w:t>
      </w:r>
      <w:r>
        <w:rPr>
          <w:rFonts w:ascii="times new roman;times" w:hAnsi="times new roman;times"/>
          <w:sz w:val="20"/>
        </w:rPr>
        <w:t xml:space="preserve"> </w:t>
      </w:r>
      <w:r>
        <w:rPr>
          <w:rFonts w:ascii="Times New Roman" w:hAnsi="Times New Roman"/>
          <w:sz w:val="20"/>
        </w:rPr>
        <w:t>should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trade while</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Exceptions will</w:t>
      </w:r>
      <w:r>
        <w:rPr>
          <w:rFonts w:ascii="times new roman;times" w:hAnsi="times new roman;times"/>
          <w:sz w:val="20"/>
        </w:rPr>
        <w:t xml:space="preserve"> </w:t>
      </w:r>
      <w:r>
        <w:rPr>
          <w:rFonts w:ascii="Times New Roman" w:hAnsi="Times New Roman"/>
          <w:sz w:val="20"/>
        </w:rPr>
        <w:t>not be</w:t>
      </w:r>
      <w:r>
        <w:rPr>
          <w:rFonts w:ascii="times new roman;times" w:hAnsi="times new roman;times"/>
          <w:sz w:val="20"/>
        </w:rPr>
        <w:t xml:space="preserve"> </w:t>
      </w:r>
      <w:r>
        <w:rPr>
          <w:rFonts w:ascii="Times New Roman" w:hAnsi="Times New Roman"/>
          <w:sz w:val="20"/>
        </w:rPr>
        <w:t>granted during an Event-Specific Restricted Period.</w:t>
      </w:r>
    </w:p>
    <w:p>
      <w:pPr>
        <w:pStyle w:val="TextBody"/>
        <w:widowControl w:val="false"/>
        <w:bidi w:val="0"/>
        <w:spacing w:before="11" w:after="0"/>
        <w:ind w:left="0" w:right="0" w:hanging="0"/>
        <w:jc w:val="left"/>
        <w:rPr/>
      </w:pPr>
      <w:r>
        <w:rPr/>
        <w:t> </w:t>
      </w:r>
    </w:p>
    <w:p>
      <w:pPr>
        <w:pStyle w:val="TextBody"/>
        <w:widowControl w:val="false"/>
        <w:bidi w:val="0"/>
        <w:spacing w:before="0" w:after="0"/>
        <w:ind w:left="1320" w:right="857" w:hanging="0"/>
        <w:jc w:val="left"/>
        <w:rPr>
          <w:rFonts w:ascii="times new roman;times" w:hAnsi="times new roman;times"/>
          <w:sz w:val="20"/>
        </w:rPr>
      </w:pPr>
      <w:r>
        <w:rPr>
          <w:rFonts w:ascii="Times New Roman" w:hAnsi="Times New Roman"/>
          <w:sz w:val="20"/>
        </w:rPr>
        <w:t>Article XXIII.</w:t>
      </w:r>
      <w:r>
        <w:rPr>
          <w:rFonts w:ascii="times new roman;times" w:hAnsi="times new roman;times"/>
          <w:sz w:val="20"/>
        </w:rPr>
        <w:t>        </w:t>
      </w:r>
      <w:r>
        <w:rPr>
          <w:rFonts w:ascii="Times New Roman" w:hAnsi="Times New Roman"/>
          <w:sz w:val="20"/>
          <w:u w:val="single"/>
        </w:rPr>
        <w:t>Exceptions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quarterly</w:t>
      </w:r>
      <w:r>
        <w:rPr>
          <w:rFonts w:ascii="times new roman;times" w:hAnsi="times new roman;times"/>
          <w:sz w:val="20"/>
        </w:rPr>
        <w:t xml:space="preserve"> </w:t>
      </w:r>
      <w:r>
        <w:rPr>
          <w:rFonts w:ascii="Times New Roman" w:hAnsi="Times New Roman"/>
          <w:strike w:val="false"/>
          <w:dstrike w:val="false"/>
          <w:sz w:val="20"/>
          <w:u w:val="none"/>
          <w:effect w:val="none"/>
        </w:rPr>
        <w:t>trading</w:t>
      </w:r>
      <w:r>
        <w:rPr>
          <w:rFonts w:ascii="times new roman;times" w:hAnsi="times new roman;times"/>
          <w:sz w:val="20"/>
        </w:rPr>
        <w:t xml:space="preserve"> </w:t>
      </w:r>
      <w:r>
        <w:rPr>
          <w:rFonts w:ascii="Times New Roman" w:hAnsi="Times New Roman"/>
          <w:strike w:val="false"/>
          <w:dstrike w:val="false"/>
          <w:sz w:val="20"/>
          <w:u w:val="none"/>
          <w:effect w:val="none"/>
        </w:rPr>
        <w:t>restrictions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event-specific</w:t>
      </w:r>
      <w:r>
        <w:rPr>
          <w:rFonts w:ascii="times new roman;times" w:hAnsi="times new roman;times"/>
          <w:sz w:val="20"/>
        </w:rPr>
        <w:t xml:space="preserve"> </w:t>
      </w:r>
      <w:r>
        <w:rPr>
          <w:rFonts w:ascii="Times New Roman" w:hAnsi="Times New Roman"/>
          <w:strike w:val="false"/>
          <w:dstrike w:val="false"/>
          <w:sz w:val="20"/>
          <w:u w:val="none"/>
          <w:effect w:val="none"/>
        </w:rPr>
        <w:t>trading</w:t>
      </w:r>
      <w:r>
        <w:rPr>
          <w:rFonts w:ascii="times new roman;times" w:hAnsi="times new roman;times"/>
          <w:sz w:val="20"/>
        </w:rPr>
        <w:t xml:space="preserve"> </w:t>
      </w:r>
      <w:r>
        <w:rPr>
          <w:rFonts w:ascii="Times New Roman" w:hAnsi="Times New Roman"/>
          <w:strike w:val="false"/>
          <w:dstrike w:val="false"/>
          <w:sz w:val="20"/>
          <w:u w:val="none"/>
          <w:effect w:val="none"/>
        </w:rPr>
        <w:t>restrictions</w:t>
      </w:r>
      <w:r>
        <w:rPr>
          <w:rFonts w:ascii="times new roman;times" w:hAnsi="times new roman;times"/>
          <w:sz w:val="20"/>
        </w:rPr>
        <w:t xml:space="preserve"> </w:t>
      </w:r>
      <w:r>
        <w:rPr>
          <w:rFonts w:ascii="Times New Roman" w:hAnsi="Times New Roman"/>
          <w:strike w:val="false"/>
          <w:dstrike w:val="false"/>
          <w:sz w:val="20"/>
          <w:u w:val="none"/>
          <w:effect w:val="none"/>
        </w:rPr>
        <w:t>do 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those</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to which</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Policy</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described</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heading “Transactions Under Company Plans.” Further, the requirement for pre-clearance, the quarterly trading restrictions and event-specific trading restrictions do not apply to transactions conducted pursuant to approved Rule 10b5-1 plans, described under the heading “Rule 10b5-1 Plans.”</w:t>
      </w:r>
    </w:p>
    <w:p>
      <w:pPr>
        <w:pStyle w:val="TextBody"/>
        <w:widowControl w:val="false"/>
        <w:bidi w:val="0"/>
        <w:spacing w:before="14" w:after="0"/>
        <w:ind w:left="0" w:right="0" w:hanging="0"/>
        <w:jc w:val="left"/>
        <w:rPr/>
      </w:pPr>
      <w:r>
        <w:rPr/>
        <w:t> </w:t>
      </w:r>
    </w:p>
    <w:p>
      <w:pPr>
        <w:pStyle w:val="TextBody"/>
        <w:widowControl w:val="false"/>
        <w:bidi w:val="0"/>
        <w:spacing w:before="1" w:after="283"/>
        <w:ind w:left="840" w:right="0" w:hanging="0"/>
        <w:jc w:val="left"/>
        <w:rPr>
          <w:rFonts w:ascii="Times New Roman" w:hAnsi="Times New Roman"/>
          <w:b/>
          <w:sz w:val="20"/>
        </w:rPr>
      </w:pPr>
      <w:r>
        <w:rPr>
          <w:rFonts w:ascii="Times New Roman" w:hAnsi="Times New Roman"/>
          <w:b/>
          <w:sz w:val="20"/>
        </w:rPr>
        <w:t>13.    </w:t>
      </w:r>
      <w:r>
        <w:rPr>
          <w:rFonts w:ascii="Times New Roman" w:hAnsi="Times New Roman"/>
          <w:b/>
          <w:sz w:val="20"/>
          <w:u w:val="single"/>
        </w:rPr>
        <w:t>Rule</w:t>
      </w:r>
      <w:r>
        <w:rPr>
          <w:rFonts w:ascii="Times New Roman" w:hAnsi="Times New Roman"/>
          <w:b/>
          <w:sz w:val="20"/>
        </w:rPr>
        <w:t xml:space="preserve"> </w:t>
      </w:r>
      <w:r>
        <w:rPr>
          <w:rFonts w:ascii="Times New Roman" w:hAnsi="Times New Roman"/>
          <w:b/>
          <w:sz w:val="20"/>
          <w:u w:val="single"/>
        </w:rPr>
        <w:t>10b5-1</w:t>
      </w:r>
      <w:r>
        <w:rPr>
          <w:rFonts w:ascii="Times New Roman" w:hAnsi="Times New Roman"/>
          <w:b/>
          <w:spacing w:val="-2"/>
          <w:sz w:val="20"/>
          <w:u w:val="single"/>
        </w:rPr>
        <w:t xml:space="preserve"> Plans</w:t>
      </w:r>
    </w:p>
    <w:p>
      <w:pPr>
        <w:pStyle w:val="TextBody"/>
        <w:widowControl w:val="false"/>
        <w:bidi w:val="0"/>
        <w:spacing w:before="5" w:after="0"/>
        <w:ind w:left="0" w:right="0" w:hanging="0"/>
        <w:jc w:val="left"/>
        <w:rPr/>
      </w:pPr>
      <w:r>
        <w:rPr/>
        <w:t> </w:t>
      </w:r>
    </w:p>
    <w:p>
      <w:pPr>
        <w:pStyle w:val="TextBody"/>
        <w:widowControl w:val="false"/>
        <w:bidi w:val="0"/>
        <w:spacing w:before="0" w:after="0"/>
        <w:ind w:left="600" w:right="693" w:hanging="0"/>
        <w:jc w:val="both"/>
        <w:rPr>
          <w:rFonts w:ascii="times new roman;times" w:hAnsi="times new roman;times"/>
          <w:sz w:val="20"/>
        </w:rPr>
      </w:pP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provides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defense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insider</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to be</w:t>
      </w:r>
      <w:r>
        <w:rPr>
          <w:rFonts w:ascii="times new roman;times" w:hAnsi="times new roman;times"/>
          <w:sz w:val="20"/>
        </w:rPr>
        <w:t xml:space="preserve"> </w:t>
      </w:r>
      <w:r>
        <w:rPr>
          <w:rFonts w:ascii="Times New Roman" w:hAnsi="Times New Roman"/>
          <w:sz w:val="20"/>
        </w:rPr>
        <w:t>eligible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rely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defense,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transactions in Company Securities that meets certain conditions specified in the Rule (a “Rule 10b5-1 Plan”) and must be in</w:t>
      </w:r>
    </w:p>
    <w:p>
      <w:pPr>
        <w:pStyle w:val="TextBody"/>
        <w:widowControl w:val="false"/>
        <w:bidi w:val="0"/>
        <w:spacing w:before="0" w:after="0"/>
        <w:ind w:left="600" w:right="685" w:hanging="0"/>
        <w:jc w:val="left"/>
        <w:rPr>
          <w:rFonts w:ascii="times new roman;times" w:hAnsi="times new roman;times"/>
          <w:sz w:val="20"/>
        </w:rPr>
      </w:pPr>
      <w:r>
        <w:rPr>
          <w:rFonts w:ascii="Times New Roman" w:hAnsi="Times New Roman"/>
          <w:sz w:val="20"/>
        </w:rPr>
        <w:t>accordance with the Company’s “Guidelines for Rule 10b5-1 Plans.” If the plan meets the requirements of Rule 10b5-1,</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occur</w:t>
      </w:r>
      <w:r>
        <w:rPr>
          <w:rFonts w:ascii="times new roman;times" w:hAnsi="times new roman;times"/>
          <w:sz w:val="20"/>
        </w:rPr>
        <w:t xml:space="preserve"> </w:t>
      </w:r>
      <w:r>
        <w:rPr>
          <w:rFonts w:ascii="Times New Roman" w:hAnsi="Times New Roman"/>
          <w:sz w:val="20"/>
        </w:rPr>
        <w:t>even</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aware of material nonpublic information.</w:t>
      </w:r>
    </w:p>
    <w:p>
      <w:pPr>
        <w:pStyle w:val="TextBody"/>
        <w:widowControl w:val="false"/>
        <w:bidi w:val="0"/>
        <w:spacing w:before="1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before="0" w:after="0"/>
        <w:ind w:left="0" w:right="0" w:hanging="0"/>
        <w:jc w:val="left"/>
        <w:rPr/>
      </w:pPr>
      <w:r>
        <w:rPr/>
      </w:r>
    </w:p>
    <w:p>
      <w:pPr>
        <w:pStyle w:val="TextBody"/>
        <w:widowControl w:val="false"/>
        <w:bidi w:val="0"/>
        <w:spacing w:before="0" w:after="0"/>
        <w:ind w:left="600" w:right="666" w:hanging="0"/>
        <w:jc w:val="left"/>
        <w:rPr>
          <w:rFonts w:ascii="times new roman;times" w:hAnsi="times new roman;times"/>
          <w:sz w:val="20"/>
        </w:rPr>
      </w:pPr>
      <w:r>
        <w:rPr>
          <w:rFonts w:ascii="Times New Roman" w:hAnsi="Times New Roman"/>
          <w:sz w:val="20"/>
        </w:rPr>
        <w:t>To comply with the Policy, a Rule 10b5-1 Plan must be approved by the Compliance Officer and meet the requirements of Rule 10b5-1 and the Company’s “Guidelines for Rule 10b5-1 Plans,” which may be obtained from the</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time when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entering</w:t>
      </w:r>
      <w:r>
        <w:rPr>
          <w:rFonts w:ascii="times new roman;times" w:hAnsi="times new roman;times"/>
          <w:sz w:val="20"/>
        </w:rPr>
        <w:t xml:space="preserve"> </w:t>
      </w:r>
      <w:r>
        <w:rPr>
          <w:rFonts w:ascii="Times New Roman" w:hAnsi="Times New Roman"/>
          <w:sz w:val="20"/>
        </w:rPr>
        <w:t>into the plan is not aware of material nonpublic information. Once the plan is adopted, the person must not exercise any influence over the amount of</w:t>
      </w:r>
      <w:r>
        <w:rPr>
          <w:rFonts w:ascii="times new roman;times" w:hAnsi="times new roman;times"/>
          <w:sz w:val="20"/>
        </w:rPr>
        <w:t xml:space="preserve"> </w:t>
      </w:r>
      <w:r>
        <w:rPr>
          <w:rFonts w:ascii="Times New Roman" w:hAnsi="Times New Roman"/>
          <w:sz w:val="20"/>
        </w:rPr>
        <w:t>securities to be traded, the price at which they are to be traded or the date of</w:t>
      </w:r>
      <w:r>
        <w:rPr>
          <w:rFonts w:ascii="times new roman;times" w:hAnsi="times new roman;times"/>
          <w:sz w:val="20"/>
        </w:rPr>
        <w:t xml:space="preserve"> </w:t>
      </w:r>
      <w:r>
        <w:rPr>
          <w:rFonts w:ascii="Times New Roman" w:hAnsi="Times New Roman"/>
          <w:sz w:val="20"/>
        </w:rPr>
        <w:t>the trade. The plan must either specify the amount, pricing and timing of transactions in advance or delegate discretion on these matters to an independent third party. The plan must include a cooling-off period before trading can commence that, for directors or officers, 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120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adoption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and for</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following the adoption or modification of a Rule 10b5-1 plan. A person may not enter into overlapping Rule 10b5-1 plans (subject to certain exceptions) and may only enter into one single-trade Rule 10b5-1 plans during any 12-month period.</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 must</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their 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certifying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they</w:t>
      </w:r>
      <w:r>
        <w:rPr>
          <w:rFonts w:ascii="times new roman;times" w:hAnsi="times new roman;times"/>
          <w:sz w:val="20"/>
        </w:rPr>
        <w:t xml:space="preserve"> </w:t>
      </w:r>
      <w:r>
        <w:rPr>
          <w:rFonts w:ascii="Times New Roman" w:hAnsi="Times New Roman"/>
          <w:sz w:val="20"/>
        </w:rPr>
        <w:t>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pStyle w:val="TextBody"/>
        <w:bidi w:val="0"/>
        <w:spacing w:before="0" w:after="0"/>
        <w:ind w:left="0" w:right="0" w:hanging="0"/>
        <w:jc w:val="left"/>
        <w:rPr/>
      </w:pPr>
      <w:r>
        <w:rPr/>
      </w:r>
    </w:p>
    <w:p>
      <w:pPr>
        <w:pStyle w:val="TextBody"/>
        <w:widowControl w:val="false"/>
        <w:bidi w:val="0"/>
        <w:spacing w:before="1" w:after="0"/>
        <w:ind w:left="600" w:right="724" w:hanging="0"/>
        <w:jc w:val="left"/>
        <w:rPr>
          <w:rFonts w:ascii="times new roman;times" w:hAnsi="times new roman;times"/>
          <w:sz w:val="20"/>
        </w:rPr>
      </w:pPr>
      <w:r>
        <w:rPr>
          <w:rFonts w:ascii="Times New Roman" w:hAnsi="Times New Roman"/>
          <w:sz w:val="20"/>
        </w:rPr>
        <w:t>Any Rule 10b5-1 Plan to be entered into by a director or officer must be submitted to the Compliance Officer at least ten days prior to the entry into the Rule 10b5-1 Plan. The Compliance Officer shall forward it to the Audit Committee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by anyone</w:t>
      </w:r>
      <w:r>
        <w:rPr>
          <w:rFonts w:ascii="times new roman;times" w:hAnsi="times new roman;times"/>
          <w:sz w:val="20"/>
        </w:rPr>
        <w:t xml:space="preserve"> </w:t>
      </w:r>
      <w:r>
        <w:rPr>
          <w:rFonts w:ascii="Times New Roman" w:hAnsi="Times New Roman"/>
          <w:sz w:val="20"/>
        </w:rPr>
        <w:t>else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submitted to the Compliance</w:t>
      </w:r>
      <w:r>
        <w:rPr>
          <w:rFonts w:ascii="times new roman;times" w:hAnsi="times new roman;times"/>
          <w:sz w:val="20"/>
        </w:rPr>
        <w:t xml:space="preserve"> </w:t>
      </w:r>
      <w:r>
        <w:rPr>
          <w:rFonts w:ascii="Times New Roman" w:hAnsi="Times New Roman"/>
          <w:sz w:val="20"/>
        </w:rPr>
        <w:t>Officer for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five</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 to the entry into the Rule 10b5-1 Plan.</w:t>
      </w:r>
    </w:p>
    <w:p>
      <w:pPr>
        <w:pStyle w:val="TextBody"/>
        <w:widowControl w:val="false"/>
        <w:bidi w:val="0"/>
        <w:spacing w:before="11" w:after="0"/>
        <w:ind w:left="0" w:right="0" w:hanging="0"/>
        <w:jc w:val="left"/>
        <w:rPr/>
      </w:pPr>
      <w:r>
        <w:rPr/>
        <w:t> </w:t>
      </w:r>
    </w:p>
    <w:p>
      <w:pPr>
        <w:pStyle w:val="TextBody"/>
        <w:widowControl w:val="false"/>
        <w:bidi w:val="0"/>
        <w:spacing w:before="1" w:after="0"/>
        <w:ind w:left="600" w:right="0" w:hanging="0"/>
        <w:jc w:val="left"/>
        <w:rPr>
          <w:rFonts w:ascii="times new roman;times" w:hAnsi="times new roman;times"/>
          <w:sz w:val="20"/>
        </w:rPr>
      </w:pPr>
      <w:r>
        <w:rPr>
          <w:rFonts w:ascii="Times New Roman" w:hAnsi="Times New Roman"/>
          <w:sz w:val="20"/>
        </w:rPr>
        <w:t>No</w:t>
      </w:r>
      <w:r>
        <w:rPr>
          <w:rFonts w:ascii="times new roman;times" w:hAnsi="times new roman;times"/>
          <w:sz w:val="20"/>
        </w:rPr>
        <w:t xml:space="preserve"> </w:t>
      </w:r>
      <w:r>
        <w:rPr>
          <w:rFonts w:ascii="Times New Roman" w:hAnsi="Times New Roman"/>
          <w:sz w:val="20"/>
        </w:rPr>
        <w:t>further</w:t>
      </w:r>
      <w:r>
        <w:rPr>
          <w:rFonts w:ascii="times new roman;times" w:hAnsi="times new roman;times"/>
          <w:sz w:val="20"/>
        </w:rPr>
        <w:t xml:space="preserve"> </w:t>
      </w:r>
      <w:r>
        <w:rPr>
          <w:rFonts w:ascii="Times New Roman" w:hAnsi="Times New Roman"/>
          <w:sz w:val="20"/>
        </w:rPr>
        <w:t>pre-approval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Rule</w:t>
      </w:r>
      <w:r>
        <w:rPr>
          <w:rFonts w:ascii="times new roman;times" w:hAnsi="times new roman;times"/>
          <w:sz w:val="20"/>
        </w:rPr>
        <w:t xml:space="preserve"> </w:t>
      </w:r>
      <w:r>
        <w:rPr>
          <w:rFonts w:ascii="Times New Roman" w:hAnsi="Times New Roman"/>
          <w:sz w:val="20"/>
        </w:rPr>
        <w:t>10b5-1</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pacing w:val="-2"/>
          <w:sz w:val="20"/>
        </w:rPr>
        <w:t>required.</w:t>
      </w:r>
    </w:p>
    <w:p>
      <w:pPr>
        <w:pStyle w:val="TextBody"/>
        <w:widowControl w:val="false"/>
        <w:bidi w:val="0"/>
        <w:spacing w:before="12" w:after="0"/>
        <w:ind w:left="0" w:right="0" w:hanging="0"/>
        <w:jc w:val="left"/>
        <w:rPr/>
      </w:pPr>
      <w:r>
        <w:rPr/>
        <w:t> </w:t>
      </w:r>
    </w:p>
    <w:p>
      <w:pPr>
        <w:pStyle w:val="TextBody"/>
        <w:widowControl w:val="false"/>
        <w:bidi w:val="0"/>
        <w:ind w:left="840" w:right="0" w:hanging="0"/>
        <w:jc w:val="left"/>
        <w:rPr>
          <w:rFonts w:ascii="Times New Roman" w:hAnsi="Times New Roman"/>
          <w:b/>
          <w:sz w:val="20"/>
        </w:rPr>
      </w:pPr>
      <w:r>
        <w:rPr>
          <w:rFonts w:ascii="Times New Roman" w:hAnsi="Times New Roman"/>
          <w:b/>
          <w:sz w:val="20"/>
        </w:rPr>
        <w:t>14.    </w:t>
      </w:r>
      <w:r>
        <w:rPr>
          <w:rFonts w:ascii="Times New Roman" w:hAnsi="Times New Roman"/>
          <w:b/>
          <w:spacing w:val="-2"/>
          <w:sz w:val="20"/>
          <w:u w:val="single"/>
        </w:rPr>
        <w:t>Post-Termination</w:t>
      </w:r>
      <w:r>
        <w:rPr>
          <w:rFonts w:ascii="Times New Roman" w:hAnsi="Times New Roman"/>
          <w:b/>
          <w:sz w:val="20"/>
        </w:rPr>
        <w:t xml:space="preserve"> </w:t>
      </w:r>
      <w:r>
        <w:rPr>
          <w:rFonts w:ascii="Times New Roman" w:hAnsi="Times New Roman"/>
          <w:b/>
          <w:spacing w:val="-2"/>
          <w:sz w:val="20"/>
          <w:u w:val="single"/>
        </w:rPr>
        <w:t>Transactions</w:t>
      </w:r>
    </w:p>
    <w:p>
      <w:pPr>
        <w:pStyle w:val="TextBody"/>
        <w:widowControl w:val="false"/>
        <w:bidi w:val="0"/>
        <w:spacing w:before="6" w:after="0"/>
        <w:ind w:left="0" w:right="0" w:hanging="0"/>
        <w:jc w:val="left"/>
        <w:rPr/>
      </w:pPr>
      <w:r>
        <w:rPr/>
        <w:t> </w:t>
      </w:r>
    </w:p>
    <w:p>
      <w:pPr>
        <w:pStyle w:val="TextBody"/>
        <w:widowControl w:val="false"/>
        <w:bidi w:val="0"/>
        <w:spacing w:before="0" w:after="0"/>
        <w:ind w:left="600" w:right="614" w:hanging="0"/>
        <w:jc w:val="left"/>
        <w:rPr>
          <w:rFonts w:ascii="times new roman;times" w:hAnsi="times new roman;times"/>
          <w:sz w:val="20"/>
        </w:rPr>
      </w:pPr>
      <w:r>
        <w:rPr>
          <w:rFonts w:ascii="Times New Roman" w:hAnsi="Times New Roman"/>
          <w:sz w:val="20"/>
        </w:rPr>
        <w:t>This Policy continues to apply to transactions in Company Securities even after termination of service to the Company.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individual</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possession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terminates,</w:t>
      </w:r>
      <w:r>
        <w:rPr>
          <w:rFonts w:ascii="times new roman;times" w:hAnsi="times new roman;times"/>
          <w:sz w:val="20"/>
        </w:rPr>
        <w:t xml:space="preserve"> </w:t>
      </w:r>
      <w:r>
        <w:rPr>
          <w:rFonts w:ascii="Times New Roman" w:hAnsi="Times New Roman"/>
          <w:sz w:val="20"/>
        </w:rPr>
        <w:t>that individual may</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has been</w:t>
      </w:r>
      <w:r>
        <w:rPr>
          <w:rFonts w:ascii="times new roman;times" w:hAnsi="times new roman;times"/>
          <w:sz w:val="20"/>
        </w:rPr>
        <w:t xml:space="preserve"> </w:t>
      </w:r>
      <w:r>
        <w:rPr>
          <w:rFonts w:ascii="Times New Roman" w:hAnsi="Times New Roman"/>
          <w:sz w:val="20"/>
        </w:rPr>
        <w:t>publicly</w:t>
      </w:r>
      <w:r>
        <w:rPr>
          <w:rFonts w:ascii="times new roman;times" w:hAnsi="times new roman;times"/>
          <w:sz w:val="20"/>
        </w:rPr>
        <w:t xml:space="preserve"> </w:t>
      </w:r>
      <w:r>
        <w:rPr>
          <w:rFonts w:ascii="Times New Roman" w:hAnsi="Times New Roman"/>
          <w:sz w:val="20"/>
        </w:rPr>
        <w:t>announced or is no longer material. The pre-clearance procedures specified under the heading “Additional Procedures” above, however, will cease to apply to transactions in Company Securities upon the expiration of any Quarterly Restricted Period, Event-Specific Restricted Period, or other Company-imposed trading restrictions applicable at the time of</w:t>
      </w:r>
      <w:r>
        <w:rPr>
          <w:rFonts w:ascii="times new roman;times" w:hAnsi="times new roman;times"/>
          <w:sz w:val="20"/>
        </w:rPr>
        <w:t xml:space="preserve"> </w:t>
      </w:r>
      <w:r>
        <w:rPr>
          <w:rFonts w:ascii="Times New Roman" w:hAnsi="Times New Roman"/>
          <w:sz w:val="20"/>
        </w:rPr>
        <w:t>the termination of service.</w:t>
      </w:r>
    </w:p>
    <w:p>
      <w:pPr>
        <w:pStyle w:val="TextBody"/>
        <w:widowControl w:val="false"/>
        <w:bidi w:val="0"/>
        <w:spacing w:before="16" w:after="0"/>
        <w:ind w:left="0" w:right="0" w:hanging="0"/>
        <w:jc w:val="left"/>
        <w:rPr/>
      </w:pPr>
      <w:r>
        <w:rPr/>
        <w:t> </w:t>
      </w:r>
    </w:p>
    <w:p>
      <w:pPr>
        <w:pStyle w:val="TextBody"/>
        <w:widowControl w:val="false"/>
        <w:bidi w:val="0"/>
        <w:ind w:left="840" w:right="0" w:hanging="0"/>
        <w:jc w:val="left"/>
        <w:rPr>
          <w:rFonts w:ascii="Times New Roman" w:hAnsi="Times New Roman"/>
          <w:b/>
          <w:sz w:val="20"/>
        </w:rPr>
      </w:pPr>
      <w:r>
        <w:rPr>
          <w:rFonts w:ascii="Times New Roman" w:hAnsi="Times New Roman"/>
          <w:b/>
          <w:sz w:val="20"/>
        </w:rPr>
        <w:t>15.    </w:t>
      </w:r>
      <w:r>
        <w:rPr>
          <w:rFonts w:ascii="Times New Roman" w:hAnsi="Times New Roman"/>
          <w:b/>
          <w:sz w:val="20"/>
          <w:u w:val="single"/>
        </w:rPr>
        <w:t>Consequences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pacing w:val="-2"/>
          <w:sz w:val="20"/>
          <w:u w:val="single"/>
        </w:rPr>
        <w:t>Violations</w:t>
      </w:r>
    </w:p>
    <w:p>
      <w:pPr>
        <w:pStyle w:val="TextBody"/>
        <w:widowControl w:val="false"/>
        <w:bidi w:val="0"/>
        <w:spacing w:before="6" w:after="0"/>
        <w:ind w:left="0" w:right="0" w:hanging="0"/>
        <w:jc w:val="left"/>
        <w:rPr/>
      </w:pPr>
      <w:r>
        <w:rPr/>
        <w:t> </w:t>
      </w:r>
    </w:p>
    <w:p>
      <w:pPr>
        <w:pStyle w:val="TextBody"/>
        <w:widowControl w:val="false"/>
        <w:bidi w:val="0"/>
        <w:spacing w:before="0" w:after="0"/>
        <w:ind w:left="600" w:right="623" w:hanging="0"/>
        <w:jc w:val="left"/>
        <w:rPr>
          <w:rFonts w:ascii="times new roman;times" w:hAnsi="times new roman;times"/>
          <w:sz w:val="20"/>
        </w:rPr>
      </w:pPr>
      <w:r>
        <w:rPr>
          <w:rFonts w:ascii="Times New Roman" w:hAnsi="Times New Roman"/>
          <w:sz w:val="20"/>
        </w:rPr>
        <w:t>The purchase or sale of securities while aware of material nonpublic information, or the disclosure of material nonpublic information to others who then engage in transactions in the Company’s Securities, is prohibited by</w:t>
      </w:r>
      <w:r>
        <w:rPr>
          <w:rFonts w:ascii="times new roman;times" w:hAnsi="times new roman;times"/>
          <w:sz w:val="20"/>
        </w:rPr>
        <w:t xml:space="preserve"> </w:t>
      </w:r>
      <w:r>
        <w:rPr>
          <w:rFonts w:ascii="Times New Roman" w:hAnsi="Times New Roman"/>
          <w:sz w:val="20"/>
        </w:rPr>
        <w:t>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individuals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tip</w:t>
      </w:r>
      <w:r>
        <w:rPr>
          <w:rFonts w:ascii="times new roman;times" w:hAnsi="times new roman;times"/>
          <w:sz w:val="20"/>
        </w:rPr>
        <w:t xml:space="preserve"> </w:t>
      </w:r>
      <w:r>
        <w:rPr>
          <w:rFonts w:ascii="Times New Roman" w:hAnsi="Times New Roman"/>
          <w:sz w:val="20"/>
        </w:rPr>
        <w:t>inside</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others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federal securities laws also impose potential liability on companies and other “controlling persons” if they fail to take reasonable steps to prevent insider trading by company personnel.</w:t>
      </w:r>
    </w:p>
    <w:p>
      <w:pPr>
        <w:pStyle w:val="TextBody"/>
        <w:widowControl w:val="false"/>
        <w:bidi w:val="0"/>
        <w:spacing w:before="8" w:after="0"/>
        <w:ind w:left="0" w:right="0" w:hanging="0"/>
        <w:jc w:val="left"/>
        <w:rPr/>
      </w:pPr>
      <w:r>
        <w:rPr/>
        <w:t> </w:t>
      </w:r>
    </w:p>
    <w:p>
      <w:pPr>
        <w:pStyle w:val="TextBody"/>
        <w:widowControl w:val="false"/>
        <w:bidi w:val="0"/>
        <w:spacing w:before="1" w:after="0"/>
        <w:ind w:left="600" w:right="659" w:hanging="0"/>
        <w:jc w:val="left"/>
        <w:rPr>
          <w:rFonts w:ascii="times new roman;times" w:hAnsi="times new roman;times"/>
          <w:sz w:val="20"/>
        </w:rPr>
      </w:pPr>
      <w:r>
        <w:rPr>
          <w:rFonts w:ascii="Times New Roman" w:hAnsi="Times New Roman"/>
          <w:sz w:val="20"/>
        </w:rPr>
        <w:t>In addition, an individual’s failure to comply with this Policy may subject the individual to Company-imposed sanctions, including dismissal for cause, whether or not the employee’s failure to comply results in a violation of law.</w:t>
      </w:r>
      <w:r>
        <w:rPr>
          <w:rFonts w:ascii="times new roman;times" w:hAnsi="times new roman;times"/>
          <w:sz w:val="20"/>
        </w:rPr>
        <w:t xml:space="preserve"> </w:t>
      </w:r>
      <w:r>
        <w:rPr>
          <w:rFonts w:ascii="Times New Roman" w:hAnsi="Times New Roman"/>
          <w:sz w:val="20"/>
        </w:rPr>
        <w:t>Needless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say,</w:t>
      </w:r>
      <w:r>
        <w:rPr>
          <w:rFonts w:ascii="times new roman;times" w:hAnsi="times new roman;times"/>
          <w:sz w:val="20"/>
        </w:rPr>
        <w:t xml:space="preserve"> </w:t>
      </w:r>
      <w:r>
        <w:rPr>
          <w:rFonts w:ascii="Times New Roman" w:hAnsi="Times New Roman"/>
          <w:sz w:val="20"/>
        </w:rPr>
        <w:t>a 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even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prosecution,</w:t>
      </w:r>
      <w:r>
        <w:rPr>
          <w:rFonts w:ascii="times new roman;times" w:hAnsi="times new roman;times"/>
          <w:sz w:val="20"/>
        </w:rPr>
        <w:t xml:space="preserve"> </w:t>
      </w:r>
      <w:r>
        <w:rPr>
          <w:rFonts w:ascii="Times New Roman" w:hAnsi="Times New Roman"/>
          <w:sz w:val="20"/>
        </w:rPr>
        <w:t>can</w:t>
      </w:r>
      <w:r>
        <w:rPr>
          <w:rFonts w:ascii="times new roman;times" w:hAnsi="times new roman;times"/>
          <w:sz w:val="20"/>
        </w:rPr>
        <w:t xml:space="preserve"> </w:t>
      </w:r>
      <w:r>
        <w:rPr>
          <w:rFonts w:ascii="Times New Roman" w:hAnsi="Times New Roman"/>
          <w:sz w:val="20"/>
        </w:rPr>
        <w:t>tarnish a person’s reputation and irreparably damage a career.</w:t>
      </w:r>
    </w:p>
    <w:p>
      <w:pPr>
        <w:pStyle w:val="TextBody"/>
        <w:widowControl w:val="false"/>
        <w:bidi w:val="0"/>
        <w:spacing w:before="11" w:after="0"/>
        <w:ind w:left="0" w:right="0" w:hanging="0"/>
        <w:jc w:val="left"/>
        <w:rPr/>
      </w:pPr>
      <w:r>
        <w:rPr/>
        <w:t> </w:t>
      </w:r>
    </w:p>
    <w:p>
      <w:pPr>
        <w:pStyle w:val="TextBody"/>
        <w:widowControl w:val="false"/>
        <w:bidi w:val="0"/>
        <w:spacing w:before="0" w:after="0"/>
        <w:ind w:left="600" w:right="659" w:hanging="0"/>
        <w:jc w:val="left"/>
        <w:rPr>
          <w:rFonts w:ascii="times new roman;times" w:hAnsi="times new roman;times"/>
          <w:sz w:val="20"/>
        </w:rPr>
      </w:pP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located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engaged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dealings</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should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regarding</w:t>
      </w:r>
      <w:r>
        <w:rPr>
          <w:rFonts w:ascii="times new roman;times" w:hAnsi="times new roman;times"/>
          <w:sz w:val="20"/>
        </w:rPr>
        <w:t xml:space="preserve"> </w:t>
      </w:r>
      <w:r>
        <w:rPr>
          <w:rFonts w:ascii="Times New Roman" w:hAnsi="Times New Roman"/>
          <w:sz w:val="20"/>
        </w:rPr>
        <w:t>insider</w:t>
      </w:r>
      <w:r>
        <w:rPr>
          <w:rFonts w:ascii="times new roman;times" w:hAnsi="times new roman;times"/>
          <w:sz w:val="20"/>
        </w:rPr>
        <w:t xml:space="preserve"> </w:t>
      </w:r>
      <w:r>
        <w:rPr>
          <w:rFonts w:ascii="Times New Roman" w:hAnsi="Times New Roman"/>
          <w:sz w:val="20"/>
        </w:rPr>
        <w:t>trading and similar offenses differ from country to country.</w:t>
      </w:r>
      <w:r>
        <w:rPr>
          <w:rFonts w:ascii="times new roman;times" w:hAnsi="times new roman;times"/>
          <w:sz w:val="20"/>
        </w:rPr>
        <w:t xml:space="preserve"> </w:t>
      </w:r>
      <w:r>
        <w:rPr>
          <w:rFonts w:ascii="Times New Roman" w:hAnsi="Times New Roman"/>
          <w:sz w:val="20"/>
        </w:rPr>
        <w:t>Employees must abide by the laws in the country where they are located.</w:t>
      </w:r>
      <w:r>
        <w:rPr>
          <w:rFonts w:ascii="times new roman;times" w:hAnsi="times new roman;times"/>
          <w:sz w:val="20"/>
        </w:rPr>
        <w:t xml:space="preserve"> </w:t>
      </w:r>
      <w:r>
        <w:rPr>
          <w:rFonts w:ascii="Times New Roman" w:hAnsi="Times New Roman"/>
          <w:sz w:val="20"/>
        </w:rPr>
        <w:t>However, all persons subject to this Policy are required to comply with this Policy even if applicable local law is less restrictive.</w:t>
      </w:r>
      <w:r>
        <w:rPr>
          <w:rFonts w:ascii="times new roman;times" w:hAnsi="times new roman;times"/>
          <w:sz w:val="20"/>
        </w:rPr>
        <w:t xml:space="preserve"> </w:t>
      </w:r>
      <w:r>
        <w:rPr>
          <w:rFonts w:ascii="Times New Roman" w:hAnsi="Times New Roman"/>
          <w:sz w:val="20"/>
        </w:rPr>
        <w:t>If a local law conflicts with this Policy, consult the Compliance Officer.</w:t>
      </w:r>
    </w:p>
    <w:p>
      <w:pPr>
        <w:pStyle w:val="TextBody"/>
        <w:widowControl w:val="false"/>
        <w:bidi w:val="0"/>
        <w:spacing w:before="14"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ind w:left="840" w:right="0" w:hanging="0"/>
        <w:jc w:val="left"/>
        <w:rPr>
          <w:rFonts w:ascii="Times New Roman" w:hAnsi="Times New Roman"/>
          <w:sz w:val="20"/>
        </w:rPr>
      </w:pPr>
      <w:r>
        <w:rPr>
          <w:rFonts w:ascii="Times New Roman" w:hAnsi="Times New Roman"/>
          <w:b/>
          <w:sz w:val="20"/>
        </w:rPr>
        <w:t>16</w:t>
      </w:r>
      <w:r>
        <w:rPr>
          <w:rFonts w:ascii="Times New Roman" w:hAnsi="Times New Roman"/>
          <w:sz w:val="20"/>
        </w:rPr>
        <w:t>.    </w:t>
      </w:r>
      <w:r>
        <w:rPr>
          <w:rFonts w:ascii="Times New Roman" w:hAnsi="Times New Roman"/>
          <w:b/>
          <w:spacing w:val="-2"/>
          <w:sz w:val="20"/>
          <w:u w:val="single"/>
        </w:rPr>
        <w:t>Reporting</w:t>
      </w:r>
    </w:p>
    <w:p>
      <w:pPr>
        <w:pStyle w:val="TextBody"/>
        <w:widowControl w:val="false"/>
        <w:bidi w:val="0"/>
        <w:spacing w:before="7" w:after="0"/>
        <w:ind w:left="0" w:right="0" w:hanging="0"/>
        <w:jc w:val="left"/>
        <w:rPr/>
      </w:pPr>
      <w:r>
        <w:rPr/>
        <w:t> </w:t>
      </w:r>
    </w:p>
    <w:p>
      <w:pPr>
        <w:pStyle w:val="TextBody"/>
        <w:widowControl w:val="false"/>
        <w:bidi w:val="0"/>
        <w:spacing w:before="0" w:after="0"/>
        <w:ind w:left="600" w:right="623" w:hanging="0"/>
        <w:jc w:val="left"/>
        <w:rPr>
          <w:rFonts w:ascii="times new roman;times" w:hAnsi="times new roman;times"/>
          <w:sz w:val="20"/>
        </w:rPr>
      </w:pPr>
      <w:r>
        <w:rPr>
          <w:rFonts w:ascii="Times New Roman" w:hAnsi="Times New Roman"/>
          <w:sz w:val="20"/>
        </w:rPr>
        <w:t>It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responsibility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and Consultants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 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to the Compliance Officer.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duty</w:t>
      </w:r>
      <w:r>
        <w:rPr>
          <w:rFonts w:ascii="times new roman;times" w:hAnsi="times new roman;times"/>
          <w:sz w:val="20"/>
        </w:rPr>
        <w:t xml:space="preserve"> </w:t>
      </w:r>
      <w:r>
        <w:rPr>
          <w:rFonts w:ascii="Times New Roman" w:hAnsi="Times New Roman"/>
          <w:sz w:val="20"/>
        </w:rPr>
        <w:t>should be broadly</w:t>
      </w:r>
      <w:r>
        <w:rPr>
          <w:rFonts w:ascii="times new roman;times" w:hAnsi="times new roman;times"/>
          <w:sz w:val="20"/>
        </w:rPr>
        <w:t xml:space="preserve"> </w:t>
      </w:r>
      <w:r>
        <w:rPr>
          <w:rFonts w:ascii="Times New Roman" w:hAnsi="Times New Roman"/>
          <w:sz w:val="20"/>
        </w:rPr>
        <w:t>construed to include any</w:t>
      </w:r>
      <w:r>
        <w:rPr>
          <w:rFonts w:ascii="times new roman;times" w:hAnsi="times new roman;times"/>
          <w:sz w:val="20"/>
        </w:rPr>
        <w:t xml:space="preserve"> </w:t>
      </w:r>
      <w:r>
        <w:rPr>
          <w:rFonts w:ascii="Times New Roman" w:hAnsi="Times New Roman"/>
          <w:sz w:val="20"/>
        </w:rPr>
        <w:t xml:space="preserve">inappropriate conduct by their Family Members and Controlled Entities in respect of trading in the securities of the Company, as well as the sharing or misuse of the confidential information of the Company and any material nonpublic </w:t>
      </w:r>
      <w:r>
        <w:rPr>
          <w:rFonts w:ascii="Times New Roman" w:hAnsi="Times New Roman"/>
          <w:spacing w:val="-2"/>
          <w:sz w:val="20"/>
        </w:rPr>
        <w:t>information.</w:t>
      </w:r>
    </w:p>
    <w:p>
      <w:pPr>
        <w:pStyle w:val="TextBody"/>
        <w:widowControl w:val="false"/>
        <w:bidi w:val="0"/>
        <w:spacing w:before="14" w:after="0"/>
        <w:ind w:left="0" w:right="0" w:hanging="0"/>
        <w:jc w:val="left"/>
        <w:rPr/>
      </w:pPr>
      <w:r>
        <w:rPr/>
        <w:t> </w:t>
      </w:r>
    </w:p>
    <w:p>
      <w:pPr>
        <w:pStyle w:val="TextBody"/>
        <w:widowControl w:val="false"/>
        <w:bidi w:val="0"/>
        <w:ind w:left="840" w:right="0" w:hanging="0"/>
        <w:jc w:val="left"/>
        <w:rPr>
          <w:rFonts w:ascii="Times New Roman" w:hAnsi="Times New Roman"/>
          <w:b/>
          <w:sz w:val="20"/>
        </w:rPr>
      </w:pPr>
      <w:r>
        <w:rPr>
          <w:rFonts w:ascii="Times New Roman" w:hAnsi="Times New Roman"/>
          <w:b/>
          <w:sz w:val="20"/>
        </w:rPr>
        <w:t>17.    </w:t>
      </w:r>
      <w:r>
        <w:rPr>
          <w:rFonts w:ascii="Times New Roman" w:hAnsi="Times New Roman"/>
          <w:b/>
          <w:sz w:val="20"/>
          <w:u w:val="single"/>
        </w:rPr>
        <w:t>Company</w:t>
      </w:r>
      <w:r>
        <w:rPr>
          <w:rFonts w:ascii="Times New Roman" w:hAnsi="Times New Roman"/>
          <w:b/>
          <w:sz w:val="20"/>
        </w:rPr>
        <w:t xml:space="preserve"> </w:t>
      </w:r>
      <w:r>
        <w:rPr>
          <w:rFonts w:ascii="Times New Roman" w:hAnsi="Times New Roman"/>
          <w:b/>
          <w:spacing w:val="-2"/>
          <w:sz w:val="20"/>
          <w:u w:val="single"/>
        </w:rPr>
        <w:t>Assistance</w:t>
      </w:r>
    </w:p>
    <w:p>
      <w:pPr>
        <w:pStyle w:val="TextBody"/>
        <w:widowControl w:val="false"/>
        <w:bidi w:val="0"/>
        <w:spacing w:before="6" w:after="0"/>
        <w:ind w:left="0" w:right="0" w:hanging="0"/>
        <w:jc w:val="left"/>
        <w:rPr/>
      </w:pPr>
      <w:r>
        <w:rPr/>
        <w:t> </w:t>
      </w:r>
    </w:p>
    <w:p>
      <w:pPr>
        <w:pStyle w:val="TextBody"/>
        <w:widowControl w:val="false"/>
        <w:bidi w:val="0"/>
        <w:spacing w:before="0" w:after="0"/>
        <w:ind w:left="600" w:right="0" w:hanging="0"/>
        <w:jc w:val="left"/>
        <w:rPr>
          <w:rFonts w:ascii="times new roman;times" w:hAnsi="times new roman;times"/>
          <w:sz w:val="20"/>
        </w:rPr>
      </w:pP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question</w:t>
      </w:r>
      <w:r>
        <w:rPr>
          <w:rFonts w:ascii="times new roman;times" w:hAnsi="times new roman;times"/>
          <w:sz w:val="20"/>
        </w:rPr>
        <w:t xml:space="preserve"> </w:t>
      </w:r>
      <w:r>
        <w:rPr>
          <w:rFonts w:ascii="Times New Roman" w:hAnsi="Times New Roman"/>
          <w:sz w:val="20"/>
        </w:rPr>
        <w:t>about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application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obtain</w:t>
      </w:r>
      <w:r>
        <w:rPr>
          <w:rFonts w:ascii="times new roman;times" w:hAnsi="times new roman;times"/>
          <w:sz w:val="20"/>
        </w:rPr>
        <w:t xml:space="preserve"> </w:t>
      </w:r>
      <w:r>
        <w:rPr>
          <w:rFonts w:ascii="Times New Roman" w:hAnsi="Times New Roman"/>
          <w:sz w:val="20"/>
        </w:rPr>
        <w:t>additional guidance from the Compliance Officer.</w:t>
      </w:r>
    </w:p>
    <w:p>
      <w:pPr>
        <w:pStyle w:val="TextBody"/>
        <w:widowControl w:val="false"/>
        <w:bidi w:val="0"/>
        <w:spacing w:lineRule="auto" w:line="14" w:before="0" w:after="0"/>
        <w:ind w:left="0" w:right="0" w:hanging="0"/>
        <w:jc w:val="left"/>
        <w:rPr/>
      </w:pPr>
      <w:r>
        <w:rPr/>
        <w:t> </w:t>
      </w:r>
    </w:p>
    <w:p>
      <w:pPr>
        <w:pStyle w:val="TextBody"/>
        <w:widowControl w:val="false"/>
        <w:bidi w:val="0"/>
        <w:spacing w:before="0" w:after="0"/>
        <w:ind w:left="600" w:right="703" w:hanging="0"/>
        <w:jc w:val="both"/>
        <w:rPr>
          <w:rFonts w:ascii="times new roman;times" w:hAnsi="times new roman;times"/>
          <w:sz w:val="20"/>
        </w:rPr>
      </w:pP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of 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nonpublic</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concerning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disclosed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public</w:t>
      </w:r>
      <w:r>
        <w:rPr>
          <w:rFonts w:ascii="times new roman;times" w:hAnsi="times new roman;times"/>
          <w:sz w:val="20"/>
        </w:rPr>
        <w:t xml:space="preserve"> </w:t>
      </w:r>
      <w:r>
        <w:rPr>
          <w:rFonts w:ascii="Times New Roman" w:hAnsi="Times New Roman"/>
          <w:sz w:val="20"/>
        </w:rPr>
        <w:t>should</w:t>
      </w:r>
      <w:r>
        <w:rPr>
          <w:rFonts w:ascii="times new roman;times" w:hAnsi="times new roman;times"/>
          <w:sz w:val="20"/>
        </w:rPr>
        <w:t xml:space="preserve"> </w:t>
      </w:r>
      <w:r>
        <w:rPr>
          <w:rFonts w:ascii="Times New Roman" w:hAnsi="Times New Roman"/>
          <w:sz w:val="20"/>
        </w:rPr>
        <w:t>report the intention to disclose such information promptly to the Compliance Officer and obtain approval to do so.</w:t>
      </w:r>
    </w:p>
    <w:p>
      <w:pPr>
        <w:pStyle w:val="TextBody"/>
        <w:widowControl w:val="false"/>
        <w:bidi w:val="0"/>
        <w:spacing w:before="14" w:after="0"/>
        <w:ind w:left="0" w:right="0" w:hanging="0"/>
        <w:jc w:val="left"/>
        <w:rPr/>
      </w:pPr>
      <w:r>
        <w:rPr/>
        <w:t> </w:t>
      </w:r>
    </w:p>
    <w:p>
      <w:pPr>
        <w:pStyle w:val="TextBody"/>
        <w:widowControl w:val="false"/>
        <w:bidi w:val="0"/>
        <w:ind w:left="840" w:right="0" w:hanging="0"/>
        <w:jc w:val="left"/>
        <w:rPr>
          <w:rFonts w:ascii="Times New Roman" w:hAnsi="Times New Roman"/>
          <w:b/>
          <w:sz w:val="20"/>
        </w:rPr>
      </w:pPr>
      <w:r>
        <w:rPr>
          <w:rFonts w:ascii="Times New Roman" w:hAnsi="Times New Roman"/>
          <w:b/>
          <w:sz w:val="20"/>
        </w:rPr>
        <w:t>18.    </w:t>
      </w:r>
      <w:r>
        <w:rPr>
          <w:rFonts w:ascii="Times New Roman" w:hAnsi="Times New Roman"/>
          <w:b/>
          <w:spacing w:val="-2"/>
          <w:sz w:val="20"/>
          <w:u w:val="single"/>
        </w:rPr>
        <w:t>Certification</w:t>
      </w:r>
    </w:p>
    <w:p>
      <w:pPr>
        <w:pStyle w:val="TextBody"/>
        <w:widowControl w:val="false"/>
        <w:bidi w:val="0"/>
        <w:spacing w:before="0" w:after="0"/>
        <w:ind w:left="0" w:right="0" w:hanging="0"/>
        <w:jc w:val="left"/>
        <w:rPr/>
      </w:pPr>
      <w:r>
        <w:rPr/>
        <w:t> </w:t>
      </w:r>
    </w:p>
    <w:p>
      <w:pPr>
        <w:pStyle w:val="TextBody"/>
        <w:widowControl w:val="false"/>
        <w:bidi w:val="0"/>
        <w:spacing w:before="0" w:after="0"/>
        <w:ind w:left="600" w:right="0" w:hanging="0"/>
        <w:jc w:val="left"/>
        <w:rPr>
          <w:rFonts w:ascii="times new roman;times" w:hAnsi="times new roman;times"/>
          <w:sz w:val="20"/>
        </w:rPr>
      </w:pP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certify</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understanding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intent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pacing w:val="-2"/>
          <w:sz w:val="20"/>
        </w:rPr>
        <w:t>Policy.</w:t>
      </w:r>
    </w:p>
    <w:p>
      <w:pPr>
        <w:pStyle w:val="TextBody"/>
        <w:widowControl w:val="false"/>
        <w:bidi w:val="0"/>
        <w:spacing w:before="13" w:after="0"/>
        <w:ind w:left="0" w:right="0" w:hanging="0"/>
        <w:jc w:val="left"/>
        <w:rPr/>
      </w:pPr>
      <w:r>
        <w:rPr/>
        <w:t> </w:t>
      </w:r>
    </w:p>
    <w:p>
      <w:pPr>
        <w:pStyle w:val="TextBody"/>
        <w:widowControl w:val="false"/>
        <w:bidi w:val="0"/>
        <w:spacing w:before="0" w:after="0"/>
        <w:ind w:left="1933" w:right="1934" w:hanging="0"/>
        <w:jc w:val="center"/>
        <w:rPr>
          <w:rFonts w:ascii="Times New Roman" w:hAnsi="Times New Roman"/>
          <w:b/>
          <w:spacing w:val="-2"/>
          <w:sz w:val="20"/>
          <w:u w:val="single"/>
        </w:rPr>
      </w:pPr>
      <w:r>
        <w:rPr>
          <w:rFonts w:ascii="Times New Roman" w:hAnsi="Times New Roman"/>
          <w:b/>
          <w:spacing w:val="-2"/>
          <w:sz w:val="20"/>
          <w:u w:val="single"/>
        </w:rPr>
        <w:t>CERTIFICATION</w:t>
      </w:r>
    </w:p>
    <w:p>
      <w:pPr>
        <w:pStyle w:val="TextBody"/>
        <w:widowControl w:val="false"/>
        <w:bidi w:val="0"/>
        <w:spacing w:before="6" w:after="0"/>
        <w:ind w:left="0" w:right="0" w:hanging="0"/>
        <w:jc w:val="left"/>
        <w:rPr/>
      </w:pPr>
      <w:r>
        <w:rPr/>
      </w:r>
    </w:p>
    <w:p>
      <w:pPr>
        <w:pStyle w:val="TextBody"/>
        <w:widowControl w:val="false"/>
        <w:bidi w:val="0"/>
        <w:spacing w:before="0" w:after="0"/>
        <w:ind w:left="600" w:right="0" w:hanging="0"/>
        <w:jc w:val="left"/>
        <w:rPr>
          <w:rFonts w:ascii="times new roman;times" w:hAnsi="times new roman;times"/>
          <w:sz w:val="20"/>
        </w:rPr>
      </w:pPr>
      <w:r>
        <w:rPr>
          <w:rFonts w:ascii="Times New Roman" w:hAnsi="Times New Roman"/>
          <w:sz w:val="20"/>
        </w:rPr>
        <w:t>I</w:t>
      </w:r>
      <w:r>
        <w:rPr>
          <w:rFonts w:ascii="times new roman;times" w:hAnsi="times new roman;times"/>
          <w:sz w:val="20"/>
        </w:rPr>
        <w:t xml:space="preserve"> </w:t>
      </w:r>
      <w:r>
        <w:rPr>
          <w:rFonts w:ascii="Times New Roman" w:hAnsi="Times New Roman"/>
          <w:sz w:val="20"/>
        </w:rPr>
        <w:t>certify</w:t>
      </w:r>
      <w:r>
        <w:rPr>
          <w:rFonts w:ascii="times new roman;times" w:hAnsi="times new roman;times"/>
          <w:sz w:val="20"/>
        </w:rPr>
        <w:t xml:space="preserve"> </w:t>
      </w:r>
      <w:r>
        <w:rPr>
          <w:rFonts w:ascii="Times New Roman" w:hAnsi="Times New Roman"/>
          <w:spacing w:val="-2"/>
          <w:sz w:val="20"/>
        </w:rPr>
        <w:t>that:</w:t>
      </w:r>
    </w:p>
    <w:p>
      <w:pPr>
        <w:pStyle w:val="TextBody"/>
        <w:widowControl w:val="false"/>
        <w:bidi w:val="0"/>
        <w:spacing w:before="10" w:after="0"/>
        <w:ind w:left="0" w:right="0" w:hanging="0"/>
        <w:jc w:val="left"/>
        <w:rPr/>
      </w:pPr>
      <w:r>
        <w:rPr/>
        <w:t> </w:t>
      </w:r>
    </w:p>
    <w:p>
      <w:pPr>
        <w:pStyle w:val="TextBody"/>
        <w:widowControl w:val="false"/>
        <w:bidi w:val="0"/>
        <w:spacing w:before="0" w:after="0"/>
        <w:ind w:left="2040" w:right="623" w:hanging="720"/>
        <w:jc w:val="left"/>
        <w:rPr>
          <w:rFonts w:ascii="times new roman;times" w:hAnsi="times new roman;times"/>
          <w:sz w:val="20"/>
        </w:rPr>
      </w:pPr>
      <w:r>
        <w:rPr>
          <w:rFonts w:ascii="Times New Roman" w:hAnsi="Times New Roman"/>
          <w:sz w:val="20"/>
        </w:rPr>
        <w:t>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read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understand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understand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available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answer</w:t>
      </w:r>
      <w:r>
        <w:rPr>
          <w:rFonts w:ascii="times new roman;times" w:hAnsi="times new roman;times"/>
          <w:sz w:val="20"/>
        </w:rPr>
        <w:t xml:space="preserve"> </w:t>
      </w:r>
      <w:r>
        <w:rPr>
          <w:rFonts w:ascii="Times New Roman" w:hAnsi="Times New Roman"/>
          <w:sz w:val="20"/>
        </w:rPr>
        <w:t>any questions I have regarding the Policy.</w:t>
      </w:r>
    </w:p>
    <w:p>
      <w:pPr>
        <w:pStyle w:val="TextBody"/>
        <w:widowControl w:val="false"/>
        <w:bidi w:val="0"/>
        <w:spacing w:before="11" w:after="0"/>
        <w:ind w:left="0" w:right="0" w:hanging="0"/>
        <w:jc w:val="left"/>
        <w:rPr/>
      </w:pPr>
      <w:r>
        <w:rPr/>
        <w:t> </w:t>
      </w:r>
    </w:p>
    <w:p>
      <w:pPr>
        <w:pStyle w:val="TextBody"/>
        <w:widowControl w:val="false"/>
        <w:bidi w:val="0"/>
        <w:spacing w:before="0" w:after="0"/>
        <w:ind w:left="2040" w:right="623" w:hanging="720"/>
        <w:jc w:val="left"/>
        <w:rPr>
          <w:rFonts w:ascii="times new roman;times" w:hAnsi="times new roman;times"/>
          <w:sz w:val="20"/>
        </w:rPr>
      </w:pP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became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shorter</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 of the Company, I have complied with the Policy.</w:t>
      </w:r>
    </w:p>
    <w:p>
      <w:pPr>
        <w:pStyle w:val="TextBody"/>
        <w:widowControl w:val="false"/>
        <w:bidi w:val="0"/>
        <w:spacing w:before="8" w:after="0"/>
        <w:ind w:left="0" w:right="0" w:hanging="0"/>
        <w:jc w:val="left"/>
        <w:rPr/>
      </w:pPr>
      <w:r>
        <w:rPr/>
        <w:t> </w:t>
      </w:r>
    </w:p>
    <w:p>
      <w:pPr>
        <w:pStyle w:val="TextBody"/>
        <w:widowControl w:val="false"/>
        <w:bidi w:val="0"/>
        <w:spacing w:before="1" w:after="0"/>
        <w:ind w:left="1320" w:right="0" w:hanging="0"/>
        <w:jc w:val="left"/>
        <w:rPr>
          <w:rFonts w:ascii="times new roman;times" w:hAnsi="times new roman;times"/>
          <w:sz w:val="20"/>
        </w:rPr>
      </w:pPr>
      <w:r>
        <w:rPr>
          <w:rFonts w:ascii="Times New Roman" w:hAnsi="Times New Roman"/>
          <w:sz w:val="20"/>
        </w:rPr>
        <w:t>I</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long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am</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Policy.</w:t>
      </w:r>
    </w:p>
    <w:p>
      <w:pPr>
        <w:pStyle w:val="TextBody"/>
        <w:widowControl w:val="false"/>
        <w:bidi w:val="0"/>
        <w:spacing w:before="12" w:after="0"/>
        <w:ind w:left="0" w:right="0" w:hanging="0"/>
        <w:jc w:val="left"/>
        <w:rPr/>
      </w:pPr>
      <w:r>
        <w:rPr/>
        <w:t> </w:t>
      </w:r>
    </w:p>
    <w:tbl>
      <w:tblPr>
        <w:tblW w:w="4315" w:type="dxa"/>
        <w:jc w:val="left"/>
        <w:tblInd w:w="0" w:type="dxa"/>
        <w:tblLayout w:type="fixed"/>
        <w:tblCellMar>
          <w:top w:w="28" w:type="dxa"/>
          <w:left w:w="28" w:type="dxa"/>
          <w:bottom w:w="28" w:type="dxa"/>
          <w:right w:w="28" w:type="dxa"/>
        </w:tblCellMar>
      </w:tblPr>
      <w:tblGrid>
        <w:gridCol w:w="124"/>
        <w:gridCol w:w="4037"/>
        <w:gridCol w:w="154"/>
      </w:tblGrid>
      <w:tr>
        <w:trPr/>
        <w:tc>
          <w:tcPr>
            <w:tcW w:w="124" w:type="dxa"/>
            <w:tcBorders/>
            <w:vAlign w:val="center"/>
          </w:tcPr>
          <w:p>
            <w:pPr>
              <w:pStyle w:val="TableContents"/>
              <w:bidi w:val="0"/>
              <w:spacing w:before="0" w:after="283"/>
              <w:jc w:val="left"/>
              <w:rPr/>
            </w:pPr>
            <w:r>
              <w:rPr/>
            </w:r>
          </w:p>
        </w:tc>
        <w:tc>
          <w:tcPr>
            <w:tcW w:w="4037" w:type="dxa"/>
            <w:tcBorders/>
            <w:vAlign w:val="center"/>
          </w:tcPr>
          <w:p>
            <w:pPr>
              <w:pStyle w:val="TableContents"/>
              <w:bidi w:val="0"/>
              <w:spacing w:before="0" w:after="283"/>
              <w:jc w:val="left"/>
              <w:rPr/>
            </w:pPr>
            <w:r>
              <w:rPr>
                <w:rFonts w:ascii="Times New Roman" w:hAnsi="Times New Roman"/>
                <w:sz w:val="20"/>
              </w:rPr>
              <w:t>Print</w:t>
            </w:r>
            <w:r>
              <w:rPr/>
              <w:t> </w:t>
            </w:r>
            <w:r>
              <w:rPr>
                <w:rFonts w:ascii="Times New Roman" w:hAnsi="Times New Roman"/>
                <w:spacing w:val="-2"/>
                <w:sz w:val="20"/>
              </w:rPr>
              <w:t>name:</w:t>
            </w:r>
            <w:r>
              <w:rPr>
                <w:rFonts w:ascii="Times New Roman" w:hAnsi="Times New Roman"/>
                <w:b/>
                <w:spacing w:val="-2"/>
                <w:sz w:val="20"/>
              </w:rPr>
              <w:t>_____________________________</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37" w:type="dxa"/>
            <w:tcBorders/>
            <w:vAlign w:val="center"/>
          </w:tcPr>
          <w:p>
            <w:pPr>
              <w:pStyle w:val="TableContents"/>
              <w:bidi w:val="0"/>
              <w:spacing w:before="0" w:after="283"/>
              <w:jc w:val="left"/>
              <w:rPr>
                <w:rFonts w:ascii="Times New Roman" w:hAnsi="Times New Roman"/>
                <w:spacing w:val="-2"/>
                <w:sz w:val="20"/>
              </w:rPr>
            </w:pPr>
            <w:r>
              <w:rPr>
                <w:rFonts w:ascii="Times New Roman" w:hAnsi="Times New Roman"/>
                <w:spacing w:val="-2"/>
                <w:sz w:val="20"/>
              </w:rPr>
              <w:t>Signature:______________________________</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37" w:type="dxa"/>
            <w:tcBorders/>
            <w:vAlign w:val="center"/>
          </w:tcPr>
          <w:p>
            <w:pPr>
              <w:pStyle w:val="TableContents"/>
              <w:bidi w:val="0"/>
              <w:spacing w:before="0" w:after="283"/>
              <w:jc w:val="left"/>
              <w:rPr>
                <w:rFonts w:ascii="Times New Roman" w:hAnsi="Times New Roman"/>
                <w:spacing w:val="-2"/>
                <w:sz w:val="20"/>
              </w:rPr>
            </w:pPr>
            <w:r>
              <w:rPr>
                <w:rFonts w:ascii="Times New Roman" w:hAnsi="Times New Roman"/>
                <w:spacing w:val="-2"/>
                <w:sz w:val="20"/>
              </w:rPr>
              <w:t>Date:__________________________________</w:t>
            </w:r>
          </w:p>
        </w:tc>
        <w:tc>
          <w:tcPr>
            <w:tcW w:w="154" w:type="dxa"/>
            <w:tcBorders/>
            <w:vAlign w:val="center"/>
          </w:tcPr>
          <w:p>
            <w:pPr>
              <w:pStyle w:val="TableContents"/>
              <w:bidi w:val="0"/>
              <w:spacing w:before="0" w:after="283"/>
              <w:jc w:val="left"/>
              <w:rPr/>
            </w:pPr>
            <w:r>
              <w:rPr/>
            </w:r>
          </w:p>
        </w:tc>
      </w:tr>
    </w:tbl>
    <w:p>
      <w:pPr>
        <w:pStyle w:val="TextBody"/>
        <w:widowControl w:val="false"/>
        <w:bidi w:val="0"/>
        <w:spacing w:before="6"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right"/>
        <w:rPr>
          <w:rFonts w:ascii="times new roman;times" w:hAnsi="times new roman;times"/>
          <w:b/>
          <w:sz w:val="20"/>
        </w:rPr>
      </w:pPr>
      <w:bookmarkStart w:id="105" w:name="ex41_1.htm"/>
      <w:bookmarkStart w:id="106" w:name="ksex41_1"/>
      <w:bookmarkEnd w:id="105"/>
      <w:bookmarkEnd w:id="106"/>
      <w:r>
        <w:rPr>
          <w:rFonts w:ascii="times new roman;times" w:hAnsi="times new roman;times"/>
          <w:b/>
          <w:sz w:val="20"/>
        </w:rPr>
        <w:t>Exhibit 4.1</w:t>
      </w:r>
      <w:r>
        <w:br w:type="page"/>
      </w:r>
    </w:p>
    <w:p>
      <w:pPr>
        <w:pStyle w:val="TextBody"/>
        <w:bidi w:val="0"/>
        <w:spacing w:lineRule="auto" w:line="288" w:before="100" w:after="0"/>
        <w:ind w:left="0" w:right="0" w:hanging="0"/>
        <w:jc w:val="center"/>
        <w:rPr>
          <w:rFonts w:ascii="times new roman;times" w:hAnsi="times new roman;times"/>
          <w:b/>
          <w:sz w:val="20"/>
        </w:rPr>
      </w:pPr>
      <w:r>
        <w:rPr>
          <w:rFonts w:ascii="times new roman;times" w:hAnsi="times new roman;times"/>
          <w:b/>
          <w:sz w:val="20"/>
        </w:rPr>
        <w:t>DESCRIPTION OF SECURITIES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 xml:space="preserve">The following description summarizes important terms of our common stock, which is the sole class of securities registered under Section 12 of the Securities Exchange Act of 1934. For a complete description, you should refer to our certificate of incorporation and bylaws, which are incorporated by reference as exhibits to the Annual Report on Form 10-K of which this exhibit is a part, as well as the relevant portions of the Delaware General Corporation Law(the “DGCL”).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of the date of this Annual Report on Form 10-K, we have authorized 500 million shares of common stock, par value $0.001 per share. As of March 6, 2024, there were 7,193,092 shares of common stock outstanding. We also have 10 million authorized shares of preferred stock, par value $0.001 per share, which may be issued in one or more series as may be designated by our Board of Directors. No such shares of preferred stock are issued or outstanding as of the date of this Annual Report on Form 10-K.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Voting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Each holder of our common stock is entitled to one vote for each share on all matters submitted to a vote of the stockholders, including the election of directors. Under our certificate of incorporation and our bylaws, our stockholders do not have cumulative voting rights. Because of this, the holders of a majority of the shares of common stock entitled to vote in any election of directors are able to elect all of the directors standing for election, if they should so choose.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Dividend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Subject to preferences that may be applicable to any then-outstanding preferred stock, holders of common stock are not entitled to receive ratably those dividends, if any, as may be declared from time to time by the Board out of legally available funds.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Liquidation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Other Rights and Preferences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pStyle w:val="TextBody"/>
        <w:bidi w:val="0"/>
        <w:spacing w:lineRule="auto" w:line="288" w:before="200" w:after="200"/>
        <w:ind w:left="0" w:right="0" w:hanging="0"/>
        <w:jc w:val="left"/>
        <w:rPr>
          <w:rFonts w:ascii="times new roman;times" w:hAnsi="times new roman;times"/>
          <w:b/>
          <w:sz w:val="20"/>
        </w:rPr>
      </w:pPr>
      <w:r>
        <w:rPr>
          <w:rFonts w:ascii="times new roman;times" w:hAnsi="times new roman;times"/>
          <w:b/>
          <w:sz w:val="20"/>
        </w:rPr>
        <w:t>Anti-Takeover Provisions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provisions of Delaware law, and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Section 203 of the DGCL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0"/>
        <w:ind w:left="0" w:right="0" w:hanging="0"/>
        <w:jc w:val="left"/>
        <w:rPr/>
      </w:pPr>
      <w:r>
        <w:rPr/>
        <w:t> </w:t>
      </w:r>
    </w:p>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4"/>
        <w:gridCol w:w="99"/>
        <w:gridCol w:w="9294"/>
      </w:tblGrid>
      <w:tr>
        <w:trPr/>
        <w:tc>
          <w:tcPr>
            <w:tcW w:w="508"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99" w:type="dxa"/>
            <w:tcBorders/>
          </w:tcPr>
          <w:p>
            <w:pPr>
              <w:pStyle w:val="TableContents"/>
              <w:bidi w:val="0"/>
              <w:spacing w:before="0" w:after="283"/>
              <w:jc w:val="left"/>
              <w:rPr>
                <w:sz w:val="4"/>
                <w:szCs w:val="4"/>
              </w:rPr>
            </w:pPr>
            <w:r>
              <w:rPr>
                <w:sz w:val="4"/>
                <w:szCs w:val="4"/>
              </w:rPr>
            </w:r>
          </w:p>
        </w:tc>
        <w:tc>
          <w:tcPr>
            <w:tcW w:w="9294"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4"/>
        <w:gridCol w:w="100"/>
        <w:gridCol w:w="9293"/>
      </w:tblGrid>
      <w:tr>
        <w:trPr/>
        <w:tc>
          <w:tcPr>
            <w:tcW w:w="508"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3"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general, Section 203 defines a “business combination” to include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merger or consolidation involving the corporation and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sale, transfer, pledge or other disposition of 10% or more of the assets of the corporation involving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subject to specified exceptions, any transaction that results in the issuance or transfer by the corporation of any stock of the corporation to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0"/>
        <w:gridCol w:w="9291"/>
      </w:tblGrid>
      <w:tr>
        <w:trPr/>
        <w:tc>
          <w:tcPr>
            <w:tcW w:w="510"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receipt by the interested stockholder of the benefit of any loans, advances, guarantees, pledges or other financial benefits by or through the corporation. </w:t>
            </w:r>
          </w:p>
        </w:tc>
      </w:tr>
    </w:tbl>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color w:val="000000"/>
          <w:sz w:val="20"/>
        </w:rPr>
        <w:t>In general, Section 203 defines an “interested stockholder” as an entity or person who, together with the person’s affiliates and associates, beneficially owns, or within three years prior to the time of determin</w:t>
      </w:r>
      <w:r>
        <w:rPr>
          <w:rFonts w:ascii="times new roman;times" w:hAnsi="times new roman;times"/>
          <w:sz w:val="20"/>
        </w:rPr>
        <w:t xml:space="preserve">ation of interested stockholder status did own, 15% or more of the outstanding voting stock of the corporation.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Our Certificate of Incorporation and Bylaws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and bylaws include a number of provisions that could deter hostile takeovers or delay or prevent changes in control of our company, including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Classified Board.</w:t>
            </w:r>
            <w:r>
              <w:rPr>
                <w:rFonts w:ascii="times new roman;times" w:hAnsi="times new roman;times"/>
                <w:color w:val="000000"/>
                <w:sz w:val="20"/>
              </w:rPr>
              <w:t xml:space="preserve"> Our certificate of incorporation provides for our Board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 xml:space="preserve">Special Meetings of Stockholders and Stockholder Action by Written Consent. </w:t>
            </w:r>
            <w:r>
              <w:rPr>
                <w:rFonts w:ascii="times new roman;times" w:hAnsi="times new roman;times"/>
                <w:color w:val="000000"/>
                <w:sz w:val="20"/>
              </w:rPr>
              <w:t xml:space="preserve">Our certificate of incorporation and bylaws provide that all stockholder actions must be effected at a duly called meeting of stockholders and eliminate the right of stockholders to act by written consent without a meeting. Our bylaws also provide that only our chairman of the board, Chief Executive Officer (or if there is no Chief Executive Officer, the President) or the board of directors pursuant to a resolution adopted by a majority of the total number of authorized directors may call a special meeting of stockholders.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Advance Notice Requirements for Stockholder Proposals</w:t>
            </w:r>
            <w:r>
              <w:rPr>
                <w:rFonts w:ascii="times new roman;times" w:hAnsi="times new roman;times"/>
                <w:color w:val="000000"/>
                <w:sz w:val="20"/>
              </w:rPr>
              <w:t xml:space="preserve">. Our bylaws provide that stockholders seeking to present proposals before a meeting of stockholders, including the nomination of director candidates, must provide timely advance notice in writing, and specifies requirements as to the form and content of a stockholder’s notice.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7"/>
        <w:gridCol w:w="306"/>
        <w:gridCol w:w="101"/>
        <w:gridCol w:w="9291"/>
      </w:tblGrid>
      <w:tr>
        <w:trPr/>
        <w:tc>
          <w:tcPr>
            <w:tcW w:w="507"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Amendment to Certificate of Incorporation and Bylaws.</w:t>
            </w:r>
            <w:r>
              <w:rPr>
                <w:rFonts w:ascii="times new roman;times" w:hAnsi="times new roman;times"/>
                <w:color w:val="000000"/>
                <w:sz w:val="20"/>
              </w:rPr>
              <w:t xml:space="preserve"> Our certificate of incorporation and bylaws provide that the stockholders cannot amend the provisions described above except by a vote of 66 2/3% or more of our outstanding common stock.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combination of these provisions makes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any attempt to effect a change of control of our company.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Choice of Forum</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provides that the Court of Chancery of the state of Delaware (the “Chancery Court”) is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in each case provided that the Chancery Court has subject matter jurisdiction. If the Chancery Court does not have subject matter jurisdiction, then such actions may be brought in any state court located in the state of Delaware (the “State Courts”) or, if and only if the State Courts lack subject matter jurisdiction, in the federal district court for the District of Delaware.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March 2020, the Delaware Supreme Court issued a decision in </w:t>
      </w:r>
      <w:r>
        <w:rPr>
          <w:rFonts w:ascii="times new roman;times" w:hAnsi="times new roman;times"/>
          <w:i/>
          <w:sz w:val="20"/>
        </w:rPr>
        <w:t>Salzburg et al. v. Sciabacucchi</w:t>
      </w:r>
      <w:r>
        <w:rPr>
          <w:rFonts w:ascii="times new roman;times" w:hAnsi="times new roman;times"/>
          <w:sz w:val="20"/>
        </w:rPr>
        <w:t xml:space="preserve">, which found that an exclusive forum provision similar to the one in our certificate of incorporation providing for claims under the Securities Act to be brought in federal court is facially valid under Delaware law. We intend to enforce the federal forum selection provision in our certificate of incorporation, but we do not know whether courts all in all jurisdictions will agree with the </w:t>
      </w:r>
      <w:r>
        <w:rPr>
          <w:rFonts w:ascii="times new roman;times" w:hAnsi="times new roman;times"/>
          <w:i/>
          <w:sz w:val="20"/>
        </w:rPr>
        <w:t>Sciabacucchi</w:t>
      </w:r>
      <w:r>
        <w:rPr>
          <w:rFonts w:ascii="times new roman;times" w:hAnsi="times new roman;times"/>
          <w:sz w:val="20"/>
        </w:rPr>
        <w:t xml:space="preserve"> decision or enforce it.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Limitation of Liability and Indemnification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certificate of incorporation provides that no director will be personally liable for monetary damages for breach of any fiduciary duty as a director, except with respect to liability: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any breach of the director’s duty of loyalty to us or our stockholders;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acts or omissions not in good faith or that involve intentional misconduct or a knowing violation of law;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7"/>
        <w:gridCol w:w="306"/>
        <w:gridCol w:w="101"/>
        <w:gridCol w:w="9291"/>
      </w:tblGrid>
      <w:tr>
        <w:trPr/>
        <w:tc>
          <w:tcPr>
            <w:tcW w:w="507"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under Section 174 of the DGCL (governing distributions to stockholders);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any transaction from which the director derived any improper personal benefit.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Transfer Agent and Registrar</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transfer agent and registrar for our common stock is Broadridge Corporate Issuer Solutions, Inc.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51 Mercedes Way, Edgewood, New York 11717.</w:t>
      </w:r>
    </w:p>
    <w:p>
      <w:pPr>
        <w:pStyle w:val="TextBody"/>
        <w:widowControl/>
        <w:bidi w:val="0"/>
        <w:jc w:val="left"/>
        <w:rPr>
          <w:rFonts w:ascii="Times New Roman" w:hAnsi="Times New Roman"/>
          <w:i w:val="false"/>
          <w:caps w:val="false"/>
          <w:smallCaps w:val="false"/>
          <w:color w:val="000000"/>
          <w:spacing w:val="0"/>
          <w:sz w:val="20"/>
        </w:rPr>
      </w:pPr>
      <w:bookmarkStart w:id="107" w:name="ex211_3.htm"/>
      <w:bookmarkStart w:id="108" w:name="ksex211_3"/>
      <w:bookmarkEnd w:id="107"/>
      <w:bookmarkEnd w:id="108"/>
      <w:r>
        <w:rPr>
          <w:rFonts w:ascii="Times New Roman" w:hAnsi="Times New Roman"/>
          <w:i w:val="false"/>
          <w:caps w:val="false"/>
          <w:smallCaps w:val="false"/>
          <w:color w:val="000000"/>
          <w:spacing w:val="0"/>
          <w:sz w:val="20"/>
        </w:rPr>
        <w:t>Exhibit 21.1</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List of Subsidiaries of electroCore, Inc.</w:t>
      </w:r>
    </w:p>
    <w:p>
      <w:pPr>
        <w:pStyle w:val="TextBody"/>
        <w:widowControl/>
        <w:bidi w:val="0"/>
        <w:jc w:val="left"/>
        <w:rPr>
          <w:caps w:val="false"/>
          <w:smallCaps w:val="false"/>
          <w:color w:val="000000"/>
          <w:spacing w:val="0"/>
        </w:rPr>
      </w:pPr>
      <w:r>
        <w:rPr>
          <w:caps w:val="false"/>
          <w:smallCaps w:val="false"/>
          <w:color w:val="000000"/>
          <w:spacing w:val="0"/>
        </w:rPr>
        <w:t> </w:t>
      </w:r>
    </w:p>
    <w:tbl>
      <w:tblPr>
        <w:tblW w:w="6745" w:type="dxa"/>
        <w:jc w:val="left"/>
        <w:tblInd w:w="0" w:type="dxa"/>
        <w:tblLayout w:type="fixed"/>
        <w:tblCellMar>
          <w:top w:w="0" w:type="dxa"/>
          <w:left w:w="0" w:type="dxa"/>
          <w:bottom w:w="0" w:type="dxa"/>
          <w:right w:w="0" w:type="dxa"/>
        </w:tblCellMar>
      </w:tblPr>
      <w:tblGrid>
        <w:gridCol w:w="60"/>
        <w:gridCol w:w="60"/>
        <w:gridCol w:w="2360"/>
        <w:gridCol w:w="60"/>
        <w:gridCol w:w="540"/>
        <w:gridCol w:w="3665"/>
      </w:tblGrid>
      <w:tr>
        <w:trPr/>
        <w:tc>
          <w:tcPr>
            <w:tcW w:w="60" w:type="dxa"/>
            <w:tcBorders/>
            <w:vAlign w:val="center"/>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540" w:type="dxa"/>
            <w:tcBorders/>
            <w:vAlign w:val="bottom"/>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283"/>
              <w:jc w:val="left"/>
              <w:rPr/>
            </w:pPr>
            <w:r>
              <w:rPr/>
            </w:r>
          </w:p>
        </w:tc>
      </w:tr>
      <w:tr>
        <w:trPr/>
        <w:tc>
          <w:tcPr>
            <w:tcW w:w="60" w:type="dxa"/>
            <w:tcBorders>
              <w:bottom w:val="single" w:sz="6" w:space="0" w:color="000000"/>
            </w:tcBorders>
            <w:tcMar>
              <w:bottom w:w="28" w:type="dxa"/>
            </w:tcMar>
          </w:tcPr>
          <w:p>
            <w:pPr>
              <w:pStyle w:val="TableContents"/>
              <w:bidi w:val="0"/>
              <w:spacing w:before="0" w:after="0"/>
              <w:ind w:left="0" w:right="0" w:hanging="0"/>
              <w:jc w:val="left"/>
              <w:rPr/>
            </w:pPr>
            <w:r>
              <w:rPr/>
              <w:t> </w:t>
            </w:r>
          </w:p>
        </w:tc>
        <w:tc>
          <w:tcPr>
            <w:tcW w:w="6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bottom w:val="single" w:sz="6" w:space="0" w:color="000000"/>
            </w:tcBorders>
            <w:tcMar>
              <w:bottom w:w="28" w:type="dxa"/>
            </w:tcMa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Subsidiary</w:t>
            </w:r>
          </w:p>
        </w:tc>
        <w:tc>
          <w:tcPr>
            <w:tcW w:w="6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54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3665" w:type="dxa"/>
            <w:tcBorders>
              <w:bottom w:val="single" w:sz="6" w:space="0" w:color="000000"/>
            </w:tcBorders>
            <w:tcMar>
              <w:bottom w:w="28" w:type="dxa"/>
            </w:tcMa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Jurisdiction of Incorporation or Organization</w:t>
            </w:r>
          </w:p>
        </w:tc>
      </w:tr>
      <w:tr>
        <w:trPr/>
        <w:tc>
          <w:tcPr>
            <w:tcW w:w="60"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electroCore Germany GmbH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540" w:type="dxa"/>
            <w:tcBorders/>
            <w:vAlign w:val="bottom"/>
          </w:tcPr>
          <w:p>
            <w:pPr>
              <w:pStyle w:val="TableContents"/>
              <w:bidi w:val="0"/>
              <w:spacing w:before="0" w:after="0"/>
              <w:ind w:left="0" w:right="0" w:firstLine="480"/>
              <w:jc w:val="left"/>
              <w:rPr>
                <w:caps w:val="false"/>
                <w:smallCaps w:val="false"/>
              </w:rPr>
            </w:pPr>
            <w:r>
              <w:rPr>
                <w:caps w:val="false"/>
                <w:smallCaps w:val="false"/>
              </w:rPr>
              <w:t> </w:t>
            </w:r>
          </w:p>
        </w:tc>
        <w:tc>
          <w:tcPr>
            <w:tcW w:w="3665" w:type="dxa"/>
            <w:tcBorders/>
            <w:vAlign w:val="bottom"/>
          </w:tcPr>
          <w:p>
            <w:pPr>
              <w:pStyle w:val="TableContents"/>
              <w:bidi w:val="0"/>
              <w:spacing w:before="0" w:after="0"/>
              <w:ind w:left="0" w:right="0" w:firstLine="480"/>
              <w:jc w:val="left"/>
              <w:rPr>
                <w:rFonts w:ascii="Times New Roman" w:hAnsi="Times New Roman"/>
                <w:b w:val="false"/>
                <w:caps w:val="false"/>
                <w:smallCaps w:val="false"/>
                <w:sz w:val="20"/>
              </w:rPr>
            </w:pPr>
            <w:r>
              <w:rPr>
                <w:rFonts w:ascii="Times New Roman" w:hAnsi="Times New Roman"/>
                <w:b w:val="false"/>
                <w:caps w:val="false"/>
                <w:smallCaps w:val="false"/>
                <w:sz w:val="20"/>
              </w:rPr>
              <w:t>Germany</w:t>
            </w:r>
          </w:p>
        </w:tc>
      </w:tr>
      <w:tr>
        <w:trPr/>
        <w:tc>
          <w:tcPr>
            <w:tcW w:w="60"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electroCore UK Ltd.</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54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665" w:type="dxa"/>
            <w:tcBorders/>
            <w:vAlign w:val="bottom"/>
          </w:tcPr>
          <w:p>
            <w:pPr>
              <w:pStyle w:val="TableContents"/>
              <w:bidi w:val="0"/>
              <w:spacing w:before="0" w:after="0"/>
              <w:ind w:left="0" w:right="0" w:firstLine="480"/>
              <w:jc w:val="left"/>
              <w:rPr>
                <w:rFonts w:ascii="Times New Roman" w:hAnsi="Times New Roman"/>
                <w:b w:val="false"/>
                <w:caps w:val="false"/>
                <w:smallCaps w:val="false"/>
                <w:sz w:val="20"/>
              </w:rPr>
            </w:pPr>
            <w:r>
              <w:rPr>
                <w:rFonts w:ascii="Times New Roman" w:hAnsi="Times New Roman"/>
                <w:b w:val="false"/>
                <w:caps w:val="false"/>
                <w:smallCaps w:val="false"/>
                <w:sz w:val="20"/>
              </w:rPr>
              <w:t>United Kingdom</w:t>
            </w:r>
          </w:p>
        </w:tc>
      </w:tr>
    </w:tbl>
    <w:p>
      <w:pPr>
        <w:pStyle w:val="TextBody"/>
        <w:widowControl/>
        <w:bidi w:val="0"/>
        <w:jc w:val="left"/>
        <w:rPr>
          <w:caps w:val="false"/>
          <w:smallCaps w:val="false"/>
          <w:color w:val="000000"/>
          <w:spacing w:val="0"/>
        </w:rPr>
      </w:pPr>
      <w:r>
        <w:rPr>
          <w:caps w:val="false"/>
          <w:smallCaps w:val="false"/>
          <w:color w:val="000000"/>
          <w:spacing w:val="0"/>
        </w:rPr>
        <w:t> </w:t>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i w:val="false"/>
          <w:caps w:val="false"/>
          <w:smallCaps w:val="false"/>
          <w:color w:val="000000"/>
          <w:spacing w:val="0"/>
          <w:sz w:val="20"/>
        </w:rPr>
      </w:pPr>
      <w:bookmarkStart w:id="109" w:name="ex231_4.htm"/>
      <w:bookmarkStart w:id="110" w:name="ksex231_4"/>
      <w:bookmarkEnd w:id="109"/>
      <w:bookmarkEnd w:id="110"/>
      <w:r>
        <w:rPr>
          <w:rFonts w:ascii="times new roman;times" w:hAnsi="times new roman;times"/>
          <w:i w:val="false"/>
          <w:caps w:val="false"/>
          <w:smallCaps w:val="false"/>
          <w:color w:val="000000"/>
          <w:spacing w:val="0"/>
          <w:sz w:val="20"/>
        </w:rPr>
        <w:t>Exhibit 23.1</w:t>
      </w:r>
      <w:r>
        <w:br w:type="page"/>
      </w:r>
    </w:p>
    <w:p>
      <w:pPr>
        <w:pStyle w:val="TextBody"/>
        <w:bidi w:val="0"/>
        <w:spacing w:lineRule="auto" w:line="288" w:before="100" w:after="0"/>
        <w:ind w:left="0" w:right="0" w:hanging="0"/>
        <w:jc w:val="center"/>
        <w:rPr>
          <w:rFonts w:ascii="times new roman;times" w:hAnsi="times new roman;times"/>
          <w:b/>
          <w:sz w:val="20"/>
        </w:rPr>
      </w:pPr>
      <w:r>
        <w:rPr>
          <w:rFonts w:ascii="times new roman;times" w:hAnsi="times new roman;times"/>
          <w:b/>
          <w:sz w:val="20"/>
        </w:rPr>
        <w:t>Independent Registered Public Accounting Firm's Consent</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We consent to the incorporation by reference in the Registration Statement of electroCore, Inc. on Forms S-1 (No. 333-274199 and 333-280742), Forms S-3 (No. 333-238721 and 333-262223) and Forms S-8 (No. 333-225864, 333-237498, 333-254171, 333-263675, 333-270362, and 333-277901) of our report dated March 12, 2025, with respect to our audits of the consolidated financial statements of electroCore, Inc. and Subsidiaries as of December 31, 2024 and 2023 and for the years ended December 31, 2024 and 2023, which report is included in this Annual Report on Form 10-K of electroCore, Inc. for the year ended December 31, 2024.</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/s/ Marcum </w:t>
      </w:r>
      <w:r>
        <w:rPr>
          <w:rFonts w:ascii="times new roman;times" w:hAnsi="times new roman;times"/>
          <w:smallCaps/>
          <w:sz w:val="20"/>
        </w:rPr>
        <w:t>llp</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Marcum </w:t>
      </w:r>
      <w:r>
        <w:rPr>
          <w:rFonts w:ascii="times new roman;times" w:hAnsi="times new roman;times"/>
          <w:smallCaps/>
          <w:sz w:val="20"/>
        </w:rPr>
        <w:t>llp</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New York, NY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March 12, 2025</w:t>
      </w:r>
    </w:p>
    <w:p>
      <w:pPr>
        <w:pStyle w:val="TextBody"/>
        <w:widowControl/>
        <w:bidi w:val="0"/>
        <w:jc w:val="left"/>
        <w:rPr>
          <w:rFonts w:ascii="Times New Roman" w:hAnsi="Times New Roman"/>
          <w:i w:val="false"/>
          <w:caps w:val="false"/>
          <w:smallCaps w:val="false"/>
          <w:color w:val="000000"/>
          <w:spacing w:val="0"/>
          <w:sz w:val="20"/>
        </w:rPr>
      </w:pPr>
      <w:bookmarkStart w:id="111" w:name="ex311_5.htm"/>
      <w:bookmarkStart w:id="112" w:name="ksex311_5"/>
      <w:bookmarkEnd w:id="111"/>
      <w:bookmarkEnd w:id="112"/>
      <w:r>
        <w:rPr>
          <w:rFonts w:ascii="Times New Roman" w:hAnsi="Times New Roman"/>
          <w:i w:val="false"/>
          <w:caps w:val="false"/>
          <w:smallCaps w:val="false"/>
          <w:color w:val="000000"/>
          <w:spacing w:val="0"/>
          <w:sz w:val="20"/>
        </w:rPr>
        <w:t>Exhibit 31.1</w:t>
      </w:r>
      <w:r>
        <w:br w:type="page"/>
      </w:r>
    </w:p>
    <w:p>
      <w:pPr>
        <w:pStyle w:val="TextBody"/>
        <w:widowControl/>
        <w:bidi w:val="0"/>
        <w:jc w:val="left"/>
        <w:rPr>
          <w:caps w:val="false"/>
          <w:smallCaps w:val="false"/>
          <w:color w:val="000000"/>
          <w:spacing w:val="0"/>
        </w:rPr>
      </w:pPr>
      <w:r>
        <w:rPr>
          <w:caps w:val="false"/>
          <w:smallCaps w:val="false"/>
          <w:color w:val="000000"/>
          <w:spacing w:val="0"/>
        </w:rPr>
        <w:t> </w:t>
      </w: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RULES 13a-14(a) AND 15d-14(a) UNDER THE SECURITIES EXCHANGE ACT OF 1934,</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AS ADOPTED PURSUANT TO SECTION 302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Daniel S. Goldberger, certify that:</w:t>
      </w:r>
    </w:p>
    <w:tbl>
      <w:tblPr>
        <w:tblW w:w="5875" w:type="dxa"/>
        <w:jc w:val="left"/>
        <w:tblInd w:w="0" w:type="dxa"/>
        <w:tblLayout w:type="fixed"/>
        <w:tblCellMar>
          <w:top w:w="0" w:type="dxa"/>
          <w:left w:w="0" w:type="dxa"/>
          <w:bottom w:w="0" w:type="dxa"/>
          <w:right w:w="0" w:type="dxa"/>
        </w:tblCellMar>
      </w:tblPr>
      <w:tblGrid>
        <w:gridCol w:w="170"/>
        <w:gridCol w:w="5705"/>
      </w:tblGrid>
      <w:tr>
        <w:trPr/>
        <w:tc>
          <w:tcPr>
            <w:tcW w:w="17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705"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Annual Report on Form 10-K of electroCore,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tcPr>
          <w:p>
            <w:pPr>
              <w:pStyle w:val="TableContents"/>
              <w:bidi w:val="0"/>
              <w:spacing w:before="120" w:after="0"/>
              <w:ind w:left="0" w:right="0" w:hanging="0"/>
              <w:jc w:val="left"/>
              <w:rPr>
                <w:rFonts w:ascii="Times New Roman;serif" w:hAnsi="Times New Roman;serif"/>
                <w:color w:val="000000"/>
                <w:sz w:val="20"/>
              </w:rPr>
            </w:pPr>
            <w:r>
              <w:rPr>
                <w:rFonts w:ascii="Times New Roman;serif" w:hAnsi="Times New Roman;serif"/>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88"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serif" w:hAnsi="Times New Roman;serif"/>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b w:val="false"/>
                <w:i w:val="false"/>
                <w:caps w:val="false"/>
                <w:smallCaps w:val="false"/>
                <w:sz w:val="20"/>
              </w:rPr>
              <w:t xml:space="preserve"> </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2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4665" w:type="dxa"/>
        <w:jc w:val="left"/>
        <w:tblInd w:w="0" w:type="dxa"/>
        <w:tblLayout w:type="fixed"/>
        <w:tblCellMar>
          <w:top w:w="0" w:type="dxa"/>
          <w:left w:w="0" w:type="dxa"/>
          <w:bottom w:w="28" w:type="dxa"/>
          <w:right w:w="0" w:type="dxa"/>
        </w:tblCellMar>
      </w:tblPr>
      <w:tblGrid>
        <w:gridCol w:w="1835"/>
        <w:gridCol w:w="320"/>
        <w:gridCol w:w="251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12, 2025</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3" w:name="ex312_6.htm"/>
      <w:bookmarkStart w:id="114" w:name="ksex312_6"/>
      <w:bookmarkEnd w:id="113"/>
      <w:bookmarkEnd w:id="114"/>
      <w:r>
        <w:rPr>
          <w:rFonts w:ascii="Times New Roman" w:hAnsi="Times New Roman"/>
          <w:i w:val="false"/>
          <w:caps w:val="false"/>
          <w:smallCaps w:val="false"/>
          <w:color w:val="000000"/>
          <w:spacing w:val="0"/>
          <w:sz w:val="20"/>
        </w:rPr>
        <w:t>Exhibit 31.2</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RULES 13a-14(a) AND 15d-14(a) UNDER THE SECURITIES EXCHANGE ACT OF 1934,</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AS ADOPTED PURSUANT TO SECTION 302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Joshua S. Lev, certify that:</w:t>
      </w:r>
    </w:p>
    <w:tbl>
      <w:tblPr>
        <w:tblW w:w="5875" w:type="dxa"/>
        <w:jc w:val="left"/>
        <w:tblInd w:w="0" w:type="dxa"/>
        <w:tblLayout w:type="fixed"/>
        <w:tblCellMar>
          <w:top w:w="0" w:type="dxa"/>
          <w:left w:w="0" w:type="dxa"/>
          <w:bottom w:w="0" w:type="dxa"/>
          <w:right w:w="0" w:type="dxa"/>
        </w:tblCellMar>
      </w:tblPr>
      <w:tblGrid>
        <w:gridCol w:w="170"/>
        <w:gridCol w:w="5705"/>
      </w:tblGrid>
      <w:tr>
        <w:trPr/>
        <w:tc>
          <w:tcPr>
            <w:tcW w:w="17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70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Annual Report on Form 10-K of electroCore,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serif" w:hAnsi="Times New Roman;serif"/>
                <w:b w:val="false"/>
                <w:i w:val="false"/>
                <w:caps w:val="false"/>
                <w:smallCaps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b w:val="false"/>
                <w:i w:val="false"/>
                <w:caps w:val="false"/>
                <w:smallCaps w:val="false"/>
                <w:sz w:val="20"/>
              </w:rPr>
              <w:t xml:space="preserve"> </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88"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serif" w:hAnsi="Times New Roman;serif"/>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b w:val="false"/>
                <w:i w:val="false"/>
                <w:caps w:val="false"/>
                <w:smallCaps w:val="false"/>
                <w:sz w:val="20"/>
              </w:rPr>
              <w:t xml:space="preserve"> </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2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widowControl/>
        <w:bidi w:val="0"/>
        <w:spacing w:before="0" w:after="0"/>
        <w:jc w:val="left"/>
        <w:rPr>
          <w:rFonts w:ascii="Times New Roman" w:hAnsi="Times New Roman"/>
          <w:b w:val="false"/>
          <w:i w:val="false"/>
          <w:caps w:val="false"/>
          <w:smallCaps w:val="false"/>
          <w:color w:val="000000"/>
          <w:spacing w:val="0"/>
          <w:sz w:val="28"/>
        </w:rPr>
      </w:pPr>
      <w:r>
        <w:rPr>
          <w:rFonts w:ascii="Times New Roman" w:hAnsi="Times New Roman"/>
          <w:b w:val="false"/>
          <w:i w:val="false"/>
          <w:caps w:val="false"/>
          <w:smallCaps w:val="false"/>
          <w:color w:val="000000"/>
          <w:spacing w:val="0"/>
          <w:sz w:val="28"/>
        </w:rPr>
      </w:r>
    </w:p>
    <w:tbl>
      <w:tblPr>
        <w:tblW w:w="5955" w:type="dxa"/>
        <w:jc w:val="left"/>
        <w:tblInd w:w="0" w:type="dxa"/>
        <w:tblLayout w:type="fixed"/>
        <w:tblCellMar>
          <w:top w:w="0" w:type="dxa"/>
          <w:left w:w="0" w:type="dxa"/>
          <w:bottom w:w="28" w:type="dxa"/>
          <w:right w:w="0" w:type="dxa"/>
        </w:tblCellMar>
      </w:tblPr>
      <w:tblGrid>
        <w:gridCol w:w="1835"/>
        <w:gridCol w:w="320"/>
        <w:gridCol w:w="380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12, 2025</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80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JOSHUA S. LEV</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Joshua S. Lev</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5" w:name="ex321_7.htm"/>
      <w:bookmarkStart w:id="116" w:name="ksex321_7"/>
      <w:bookmarkEnd w:id="115"/>
      <w:bookmarkEnd w:id="116"/>
      <w:r>
        <w:rPr>
          <w:rFonts w:ascii="Times New Roman" w:hAnsi="Times New Roman"/>
          <w:i w:val="false"/>
          <w:caps w:val="false"/>
          <w:smallCaps w:val="false"/>
          <w:color w:val="000000"/>
          <w:spacing w:val="0"/>
          <w:sz w:val="20"/>
        </w:rPr>
        <w:t>Exhibit 32.1</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18 U.S.C. SECTION 1350, AS ADOPTED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SECTION 906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Annual Report of electroCore, Inc. (the “Company”) on Form 10-K for the period ending December 31, 2024 as filed with the Securities and Exchange Commission on the date hereof (the “Report”), I certify, pursuant to 18 U.S.C. § 1350, as adopted pursuant to § 906 of the Sarbanes-Oxley Act of 2002, that:</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45"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34"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tcPr>
          <w:p>
            <w:pPr>
              <w:pStyle w:val="TableContents"/>
              <w:bidi w:val="0"/>
              <w:spacing w:lineRule="auto" w:line="288"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4665" w:type="dxa"/>
        <w:jc w:val="left"/>
        <w:tblInd w:w="0" w:type="dxa"/>
        <w:tblLayout w:type="fixed"/>
        <w:tblCellMar>
          <w:top w:w="0" w:type="dxa"/>
          <w:left w:w="0" w:type="dxa"/>
          <w:bottom w:w="28" w:type="dxa"/>
          <w:right w:w="0" w:type="dxa"/>
        </w:tblCellMar>
      </w:tblPr>
      <w:tblGrid>
        <w:gridCol w:w="1835"/>
        <w:gridCol w:w="320"/>
        <w:gridCol w:w="251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12, 2025</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7" w:name="ex322_8.htm"/>
      <w:bookmarkStart w:id="118" w:name="ksex322_8"/>
      <w:bookmarkEnd w:id="117"/>
      <w:bookmarkEnd w:id="118"/>
      <w:r>
        <w:rPr>
          <w:rFonts w:ascii="Times New Roman" w:hAnsi="Times New Roman"/>
          <w:i w:val="false"/>
          <w:caps w:val="false"/>
          <w:smallCaps w:val="false"/>
          <w:color w:val="000000"/>
          <w:spacing w:val="0"/>
          <w:sz w:val="20"/>
        </w:rPr>
        <w:t>Exhibit 32.2</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18 U.S.C. SECTION 1350, AS ADOPTED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SECTION 906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Annual Report of electroCore, Inc. (the “Company”) on Form 10-K for the period ending December 31, 2024 as filed with the Securities and Exchange Commission on the date hereof (the “Report”), I certify, pursuant to 18 U.S.C. § 1350, as adopted pursuant to § 906 of the Sarbanes-Oxley Act of 2002, that:</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45"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34"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tcPr>
          <w:p>
            <w:pPr>
              <w:pStyle w:val="TableContents"/>
              <w:bidi w:val="0"/>
              <w:spacing w:lineRule="auto" w:line="288"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6000" w:type="dxa"/>
        <w:jc w:val="left"/>
        <w:tblInd w:w="0" w:type="dxa"/>
        <w:tblLayout w:type="fixed"/>
        <w:tblCellMar>
          <w:top w:w="0" w:type="dxa"/>
          <w:left w:w="0" w:type="dxa"/>
          <w:bottom w:w="28" w:type="dxa"/>
          <w:right w:w="0" w:type="dxa"/>
        </w:tblCellMar>
      </w:tblPr>
      <w:tblGrid>
        <w:gridCol w:w="1880"/>
        <w:gridCol w:w="320"/>
        <w:gridCol w:w="3800"/>
      </w:tblGrid>
      <w:tr>
        <w:trPr/>
        <w:tc>
          <w:tcPr>
            <w:tcW w:w="1880"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12, 2025</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80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JOSHUA S. LEV</w:t>
            </w:r>
          </w:p>
        </w:tc>
      </w:tr>
      <w:tr>
        <w:trPr/>
        <w:tc>
          <w:tcPr>
            <w:tcW w:w="188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Joshua S. Lev</w:t>
            </w:r>
          </w:p>
        </w:tc>
      </w:tr>
      <w:tr>
        <w:trPr/>
        <w:tc>
          <w:tcPr>
            <w:tcW w:w="188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cMar>
              <w:bottom w:w="0" w:type="dxa"/>
            </w:tcMar>
            <w:vAlign w:val="bottom"/>
          </w:tcPr>
          <w:p>
            <w:pPr>
              <w:pStyle w:val="TableContents"/>
              <w:bidi w:val="0"/>
              <w:spacing w:lineRule="auto" w:line="288"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bidi w:val="0"/>
              <w:spacing w:lineRule="auto" w:line="288"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 w:name="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0"/>
        </w:tabs>
        <w:ind w:left="0"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http://www.sec.gov/Archives/edgar/data/1560258/000156459018021717/ecor-ex31_161.htm" TargetMode="External"/><Relationship Id="rId13" Type="http://schemas.openxmlformats.org/officeDocument/2006/relationships/hyperlink" Target="http://www.sec.gov/Archives/edgar/data/1560258/000156459018021717/ecor-ex31_161.htm" TargetMode="External"/><Relationship Id="rId14" Type="http://schemas.openxmlformats.org/officeDocument/2006/relationships/hyperlink" Target="http://www.sec.gov/Archives/edgar/data/1560258/000121390024097489/ex31_1.htm" TargetMode="External"/><Relationship Id="rId15" Type="http://schemas.openxmlformats.org/officeDocument/2006/relationships/hyperlink" Target="http://www.sec.gov/Archives/edgar/data/1560258/000121390024097489/ex31_1.htm" TargetMode="External"/><Relationship Id="rId16" Type="http://schemas.openxmlformats.org/officeDocument/2006/relationships/hyperlink" Target="http://www.sec.gov/Archives/edgar/data/1560258/000119380522001663/e618092_ex3-1.htm" TargetMode="External"/><Relationship Id="rId17" Type="http://schemas.openxmlformats.org/officeDocument/2006/relationships/hyperlink" Target="http://www.sec.gov/Archives/edgar/data/1560258/000119380522001663/e618092_ex3-1.htm" TargetMode="External"/><Relationship Id="rId18" Type="http://schemas.openxmlformats.org/officeDocument/2006/relationships/hyperlink" Target="http://www.sec.gov/Archives/edgar/data/1560258/000121390023018560/ex34_1.htm" TargetMode="External"/><Relationship Id="rId19" Type="http://schemas.openxmlformats.org/officeDocument/2006/relationships/hyperlink" Target="http://www.sec.gov/Archives/edgar/data/1560258/000121390023018560/ex35_2.htm" TargetMode="External"/><Relationship Id="rId20" Type="http://schemas.openxmlformats.org/officeDocument/2006/relationships/hyperlink" Target="http://www.sec.gov/Archives/edgar/data/1560258/000119380523001031/e618813_ex4-1.htm" TargetMode="External"/><Relationship Id="rId21" Type="http://schemas.openxmlformats.org/officeDocument/2006/relationships/hyperlink" Target="http://www.sec.gov/Archives/edgar/data/1560258/000119380523001031/e618813_ex4-2.htm" TargetMode="External"/><Relationship Id="rId22" Type="http://schemas.openxmlformats.org/officeDocument/2006/relationships/hyperlink" Target="http://www.sec.gov/Archives/edgar/data/1560258/000119380524000740/e663679_ex4-3.htm" TargetMode="External"/><Relationship Id="rId23" Type="http://schemas.openxmlformats.org/officeDocument/2006/relationships/hyperlink" Target="http://www.sec.gov/Archives/edgar/data/1560258/000119380524000740/e663679_ex4-3.htm" TargetMode="External"/><Relationship Id="rId24" Type="http://schemas.openxmlformats.org/officeDocument/2006/relationships/hyperlink" Target="http://www.sec.gov/Archives/edgar/data/1560258/000119380524000740/e663679_ex4-1.htm" TargetMode="External"/><Relationship Id="rId25" Type="http://schemas.openxmlformats.org/officeDocument/2006/relationships/hyperlink" Target="http://www.sec.gov/Archives/edgar/data/1560258/000119380524000740/e663679_ex4-1.htm" TargetMode="External"/><Relationship Id="rId26" Type="http://schemas.openxmlformats.org/officeDocument/2006/relationships/hyperlink" Target="http://www.sec.gov/Archives/edgar/data/1560258/000119380524000740/e663679_ex4-2.htm" TargetMode="External"/><Relationship Id="rId27" Type="http://schemas.openxmlformats.org/officeDocument/2006/relationships/hyperlink" Target="http://www.sec.gov/Archives/edgar/data/1560258/000119380524000740/e663679_ex4-2.htm" TargetMode="External"/><Relationship Id="rId28" Type="http://schemas.openxmlformats.org/officeDocument/2006/relationships/hyperlink" Target="http://www.sec.gov/Archives/edgar/data/1560258/000121390023035987/ex101_1.htm" TargetMode="External"/><Relationship Id="rId29" Type="http://schemas.openxmlformats.org/officeDocument/2006/relationships/hyperlink" Target="http://www.sec.gov/Archives/edgar/data/1560258/000121390023018560/ex103_4.htm" TargetMode="External"/><Relationship Id="rId30" Type="http://schemas.openxmlformats.org/officeDocument/2006/relationships/hyperlink" Target="http://www.sec.gov/Archives/edgar/data/1560258/000121390023018560/ex104_5.htm" TargetMode="External"/><Relationship Id="rId31" Type="http://schemas.openxmlformats.org/officeDocument/2006/relationships/hyperlink" Target="http://www.sec.gov/Archives/edgar/data/1560258/000121390023018560/ex104_5.htm" TargetMode="External"/><Relationship Id="rId32" Type="http://schemas.openxmlformats.org/officeDocument/2006/relationships/hyperlink" Target="http://www.sec.gov/Archives/edgar/data/1560258/000119312518169701/d472601dex107.htm" TargetMode="External"/><Relationship Id="rId33" Type="http://schemas.openxmlformats.org/officeDocument/2006/relationships/hyperlink" Target="http://www.sec.gov/Archives/edgar/data/1560258/000119312518169701/d472601dex107.htm" TargetMode="External"/><Relationship Id="rId34" Type="http://schemas.openxmlformats.org/officeDocument/2006/relationships/hyperlink" Target="http://www.sec.gov/Archives/edgar/data/1560258/000119312518169701/d472601dex108.htm" TargetMode="External"/><Relationship Id="rId35" Type="http://schemas.openxmlformats.org/officeDocument/2006/relationships/hyperlink" Target="http://www.sec.gov/Archives/edgar/data/1560258/000119312518169701/d472601dex108.htm" TargetMode="External"/><Relationship Id="rId36" Type="http://schemas.openxmlformats.org/officeDocument/2006/relationships/hyperlink" Target="http://www.sec.gov/Archives/edgar/data/1560258/000119312518169701/d472601dex108.htm" TargetMode="External"/><Relationship Id="rId37" Type="http://schemas.openxmlformats.org/officeDocument/2006/relationships/hyperlink" Target="http://www.sec.gov/Archives/edgar/data/1560258/000119312518169701/d472601dex108.htm" TargetMode="External"/><Relationship Id="rId38" Type="http://schemas.openxmlformats.org/officeDocument/2006/relationships/hyperlink" Target="http://www.sec.gov/Archives/edgar/data/1560258/000119312518169701/d472601dex108.htm" TargetMode="External"/><Relationship Id="rId39" Type="http://schemas.openxmlformats.org/officeDocument/2006/relationships/hyperlink" Target="http://www.sec.gov/Archives/edgar/data/1560258/000119312518169701/d472601dex109.htm" TargetMode="External"/><Relationship Id="rId40" Type="http://schemas.openxmlformats.org/officeDocument/2006/relationships/hyperlink" Target="http://www.sec.gov/Archives/edgar/data/1560258/000119312518169701/d472601dex109.htm" TargetMode="External"/><Relationship Id="rId41" Type="http://schemas.openxmlformats.org/officeDocument/2006/relationships/hyperlink" Target="http://www.sec.gov/Archives/edgar/data/1560258/000119312518169701/d472601dex109.htm" TargetMode="External"/><Relationship Id="rId42" Type="http://schemas.openxmlformats.org/officeDocument/2006/relationships/hyperlink" Target="http://www.sec.gov/Archives/edgar/data/1560258/000119312518169701/d472601dex109.htm" TargetMode="External"/><Relationship Id="rId43" Type="http://schemas.openxmlformats.org/officeDocument/2006/relationships/hyperlink" Target="http://www.sec.gov/Archives/edgar/data/1560258/000119312518169701/d472601dex109.htm" TargetMode="External"/><Relationship Id="rId44" Type="http://schemas.openxmlformats.org/officeDocument/2006/relationships/hyperlink" Target="http://www.sec.gov/Archives/edgar/data/1560258/000119312518169701/d472601dex109.htm" TargetMode="External"/><Relationship Id="rId45" Type="http://schemas.openxmlformats.org/officeDocument/2006/relationships/hyperlink" Target="http://www.sec.gov/Archives/edgar/data/1560258/000119312518169701/d472601dex1010.htm" TargetMode="External"/><Relationship Id="rId46" Type="http://schemas.openxmlformats.org/officeDocument/2006/relationships/hyperlink" Target="http://www.sec.gov/Archives/edgar/data/1560258/000119312518169701/d472601dex1010.htm" TargetMode="External"/><Relationship Id="rId47" Type="http://schemas.openxmlformats.org/officeDocument/2006/relationships/hyperlink" Target="http://www.sec.gov/Archives/edgar/data/1560258/000119312518169701/d472601dex1010.htm" TargetMode="External"/><Relationship Id="rId48" Type="http://schemas.openxmlformats.org/officeDocument/2006/relationships/hyperlink" Target="http://www.sec.gov/Archives/edgar/data/1560258/000119312518169701/d472601dex1010.htm" TargetMode="External"/><Relationship Id="rId49" Type="http://schemas.openxmlformats.org/officeDocument/2006/relationships/hyperlink" Target="http://www.sec.gov/Archives/edgar/data/1560258/000119312518169701/d472601dex1010.htm" TargetMode="External"/><Relationship Id="rId50" Type="http://schemas.openxmlformats.org/officeDocument/2006/relationships/hyperlink" Target="http://www.sec.gov/Archives/edgar/data/1560258/000119312518169701/d472601dex1010.htm" TargetMode="External"/><Relationship Id="rId51" Type="http://schemas.openxmlformats.org/officeDocument/2006/relationships/hyperlink" Target="http://www.sec.gov/Archives/edgar/data/1560258/000119312518169701/d472601dex1011.htm" TargetMode="External"/><Relationship Id="rId52" Type="http://schemas.openxmlformats.org/officeDocument/2006/relationships/hyperlink" Target="http://www.sec.gov/Archives/edgar/data/1560258/000119312518169701/d472601dex1011.htm" TargetMode="External"/><Relationship Id="rId53" Type="http://schemas.openxmlformats.org/officeDocument/2006/relationships/hyperlink" Target="http://www.sec.gov/Archives/edgar/data/1560258/000119312518169701/d472601dex1011.htm" TargetMode="External"/><Relationship Id="rId54" Type="http://schemas.openxmlformats.org/officeDocument/2006/relationships/hyperlink" Target="http://www.sec.gov/Archives/edgar/data/1560258/000119312518169701/d472601dex1011.htm" TargetMode="External"/><Relationship Id="rId55" Type="http://schemas.openxmlformats.org/officeDocument/2006/relationships/hyperlink" Target="http://www.sec.gov/Archives/edgar/data/1560258/000119312518169701/d472601dex1011.htm" TargetMode="External"/><Relationship Id="rId56" Type="http://schemas.openxmlformats.org/officeDocument/2006/relationships/hyperlink" Target="http://www.sec.gov/Archives/edgar/data/1560258/000119312518169701/d472601dex1011.htm" TargetMode="External"/><Relationship Id="rId57" Type="http://schemas.openxmlformats.org/officeDocument/2006/relationships/hyperlink" Target="http://www.sec.gov/Archives/edgar/data/1560258/000119312518169701/d472601dex1012.htm" TargetMode="External"/><Relationship Id="rId58" Type="http://schemas.openxmlformats.org/officeDocument/2006/relationships/hyperlink" Target="http://www.sec.gov/Archives/edgar/data/1560258/000119312518169701/d472601dex1012.htm" TargetMode="External"/><Relationship Id="rId59" Type="http://schemas.openxmlformats.org/officeDocument/2006/relationships/hyperlink" Target="http://www.sec.gov/Archives/edgar/data/1560258/000119312518169701/d472601dex1012.htm" TargetMode="External"/><Relationship Id="rId60" Type="http://schemas.openxmlformats.org/officeDocument/2006/relationships/hyperlink" Target="http://www.sec.gov/Archives/edgar/data/1560258/000119312518169701/d472601dex1012.htm" TargetMode="External"/><Relationship Id="rId61" Type="http://schemas.openxmlformats.org/officeDocument/2006/relationships/hyperlink" Target="http://www.sec.gov/Archives/edgar/data/1560258/000119312518169701/d472601dex1012.htm" TargetMode="External"/><Relationship Id="rId62" Type="http://schemas.openxmlformats.org/officeDocument/2006/relationships/hyperlink" Target="http://www.sec.gov/Archives/edgar/data/1560258/000119312518169701/d472601dex1012.htm" TargetMode="External"/><Relationship Id="rId63" Type="http://schemas.openxmlformats.org/officeDocument/2006/relationships/hyperlink" Target="http://www.sec.gov/Archives/edgar/data/1560258/000119312518169701/d472601dex1013.htm" TargetMode="External"/><Relationship Id="rId64" Type="http://schemas.openxmlformats.org/officeDocument/2006/relationships/hyperlink" Target="http://www.sec.gov/Archives/edgar/data/1560258/000119312518169701/d472601dex1013.htm" TargetMode="External"/><Relationship Id="rId65" Type="http://schemas.openxmlformats.org/officeDocument/2006/relationships/hyperlink" Target="http://www.sec.gov/Archives/edgar/data/1560258/000119312518169701/d472601dex1013.htm" TargetMode="External"/><Relationship Id="rId66" Type="http://schemas.openxmlformats.org/officeDocument/2006/relationships/hyperlink" Target="http://www.sec.gov/Archives/edgar/data/1560258/000119312518169701/d472601dex1013.htm" TargetMode="External"/><Relationship Id="rId67" Type="http://schemas.openxmlformats.org/officeDocument/2006/relationships/hyperlink" Target="http://www.sec.gov/Archives/edgar/data/1560258/000119312518169701/d472601dex1013.htm" TargetMode="External"/><Relationship Id="rId68" Type="http://schemas.openxmlformats.org/officeDocument/2006/relationships/hyperlink" Target="http://www.sec.gov/Archives/edgar/data/1560258/000119312518169701/d472601dex1013.htm" TargetMode="External"/><Relationship Id="rId69" Type="http://schemas.openxmlformats.org/officeDocument/2006/relationships/hyperlink" Target="http://www.sec.gov/Archives/edgar/data/1560258/000119312518169701/d472601dex1014.htm" TargetMode="External"/><Relationship Id="rId70" Type="http://schemas.openxmlformats.org/officeDocument/2006/relationships/hyperlink" Target="http://www.sec.gov/Archives/edgar/data/1560258/000121390024040888/ex101_1.htm" TargetMode="External"/><Relationship Id="rId71" Type="http://schemas.openxmlformats.org/officeDocument/2006/relationships/hyperlink" Target="http://www.sec.gov/Archives/edgar/data/1560258/000121390023018560/ex1014_6.htm" TargetMode="External"/><Relationship Id="rId72" Type="http://schemas.openxmlformats.org/officeDocument/2006/relationships/hyperlink" Target="http://www.sec.gov/Archives/edgar/data/1560258/000119312518169701/d472601dex1023.htm" TargetMode="External"/><Relationship Id="rId73" Type="http://schemas.openxmlformats.org/officeDocument/2006/relationships/hyperlink" Target="http://www.sec.gov/Archives/edgar/data/1560258/000119312518169701/d472601dex1023.htm" TargetMode="External"/><Relationship Id="rId74" Type="http://schemas.openxmlformats.org/officeDocument/2006/relationships/hyperlink" Target="http://www.sec.gov/Archives/edgar/data/1560258/000119312518169701/d472601dex1023.htm" TargetMode="External"/><Relationship Id="rId75" Type="http://schemas.openxmlformats.org/officeDocument/2006/relationships/hyperlink" Target="http://www.sec.gov/Archives/edgar/data/1560258/000119312519260837/d812563dex101.htm" TargetMode="External"/><Relationship Id="rId76" Type="http://schemas.openxmlformats.org/officeDocument/2006/relationships/hyperlink" Target="http://www.sec.gov/Archives/edgar/data/1560258/000119312519260837/d812563dex101.htm" TargetMode="External"/><Relationship Id="rId77" Type="http://schemas.openxmlformats.org/officeDocument/2006/relationships/hyperlink" Target="http://www.sec.gov/Archives/edgar/data/1560258/000119312519260837/d812563dex101.htm" TargetMode="External"/><Relationship Id="rId78" Type="http://schemas.openxmlformats.org/officeDocument/2006/relationships/hyperlink" Target="http://www.sec.gov/Archives/edgar/data/0001560258/000119312519072042/d719272dex101.htm" TargetMode="External"/><Relationship Id="rId79" Type="http://schemas.openxmlformats.org/officeDocument/2006/relationships/hyperlink" Target="http://www.sec.gov/Archives/edgar/data/0001560258/000156459019032167/ecor-ex102_115.htm" TargetMode="External"/><Relationship Id="rId80" Type="http://schemas.openxmlformats.org/officeDocument/2006/relationships/hyperlink" Target="http://www.sec.gov/Archives/edgar/data/1560258/000119380523001031/e618813_ex10-1.htm" TargetMode="External"/><Relationship Id="rId81" Type="http://schemas.openxmlformats.org/officeDocument/2006/relationships/hyperlink" Target="http://www.sec.gov/Archives/edgar/data/1560258/000119380523001031/e618813_ex10-2.htm" TargetMode="External"/><Relationship Id="rId82" Type="http://schemas.openxmlformats.org/officeDocument/2006/relationships/hyperlink" Target="http://www.sec.gov/Archives/edgar/data/1560258/000121390024097489/ex101_2.htm" TargetMode="External"/><Relationship Id="rId83" Type="http://schemas.openxmlformats.org/officeDocument/2006/relationships/hyperlink" Target="http://www.sec.gov/Archives/edgar/data/1560258/000121390024097489/ex101_2.htm" TargetMode="External"/><Relationship Id="rId84" Type="http://schemas.openxmlformats.org/officeDocument/2006/relationships/hyperlink" Target="http://www.sec.gov/Archives/edgar/data/1560258/000119380524001098/e663875_ex10-1.htm" TargetMode="External"/><Relationship Id="rId85" Type="http://schemas.openxmlformats.org/officeDocument/2006/relationships/hyperlink" Target="http://www.sec.gov/Archives/edgar/data/1560258/000119380524001098/e663875_ex10-1.htm" TargetMode="External"/><Relationship Id="rId86" Type="http://schemas.openxmlformats.org/officeDocument/2006/relationships/hyperlink" Target="http://www.sec.gov/Archives/edgar/data/1560258/000119380524001098/e663875_ex10-2.htm" TargetMode="External"/><Relationship Id="rId87" Type="http://schemas.openxmlformats.org/officeDocument/2006/relationships/hyperlink" Target="http://www.sec.gov/Archives/edgar/data/1560258/000119380524001098/e663875_ex10-2.htm" TargetMode="External"/><Relationship Id="rId88" Type="http://schemas.openxmlformats.org/officeDocument/2006/relationships/hyperlink" Target="http://www.sec.gov/Archives/edgar/data/1560258/000119380524000740/e663679_ex10-1.htm" TargetMode="External"/><Relationship Id="rId89" Type="http://schemas.openxmlformats.org/officeDocument/2006/relationships/hyperlink" Target="http://www.sec.gov/Archives/edgar/data/1560258/000119380524000740/e663679_ex10-1.htm" TargetMode="External"/><Relationship Id="rId90" Type="http://schemas.openxmlformats.org/officeDocument/2006/relationships/hyperlink" Target="http://www.sec.gov/Archives/edgar/data/1560258/000119380524000740/e663679_ex10-2.htm" TargetMode="External"/><Relationship Id="rId91" Type="http://schemas.openxmlformats.org/officeDocument/2006/relationships/hyperlink" Target="http://www.sec.gov/Archives/edgar/data/1560258/000119380524001420/e664048_ex10-1.htm" TargetMode="External"/><Relationship Id="rId92" Type="http://schemas.openxmlformats.org/officeDocument/2006/relationships/hyperlink" Target="http://www.sec.gov/Archives/edgar/data/1560258/000119380524001481/e664079_ex2-1.htm" TargetMode="External"/><Relationship Id="rId93" Type="http://schemas.openxmlformats.org/officeDocument/2006/relationships/hyperlink" Target="http://www.sec.gov/Archives/edgar/data/1560258/000119380524001481/e664079_ex10-1.htm" TargetMode="External"/><Relationship Id="rId94" Type="http://schemas.openxmlformats.org/officeDocument/2006/relationships/hyperlink" Target="http://www.sec.gov/Archives/edgar/data/1560258/000119380524000934/e663785_ex99-1.htm" TargetMode="External"/><Relationship Id="rId95" Type="http://schemas.openxmlformats.org/officeDocument/2006/relationships/hyperlink" Target="http://www.sec.gov/Archives/edgar/data/1560258/000121390024022212/ex971_8.htm" TargetMode="External"/><Relationship Id="rId96" Type="http://schemas.openxmlformats.org/officeDocument/2006/relationships/hyperlink" Target="#" TargetMode="External"/><Relationship Id="rId97" Type="http://schemas.openxmlformats.org/officeDocument/2006/relationships/hyperlink" Target="#" TargetMode="External"/><Relationship Id="rId98" Type="http://schemas.openxmlformats.org/officeDocument/2006/relationships/hyperlink" Target="#" TargetMode="External"/><Relationship Id="rId99" Type="http://schemas.openxmlformats.org/officeDocument/2006/relationships/hyperlink" Target="#" TargetMode="External"/><Relationship Id="rId100" Type="http://schemas.openxmlformats.org/officeDocument/2006/relationships/hyperlink" Target="#" TargetMode="External"/><Relationship Id="rId101" Type="http://schemas.openxmlformats.org/officeDocument/2006/relationships/hyperlink" Target="#" TargetMode="External"/><Relationship Id="rId102" Type="http://schemas.openxmlformats.org/officeDocument/2006/relationships/image" Target="media/image4.jpeg"/><Relationship Id="rId103" Type="http://schemas.openxmlformats.org/officeDocument/2006/relationships/numbering" Target="numbering.xml"/><Relationship Id="rId104" Type="http://schemas.openxmlformats.org/officeDocument/2006/relationships/fontTable" Target="fontTable.xml"/><Relationship Id="rId1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109777</Words>
  <Characters>611113</Characters>
  <CharactersWithSpaces>721977</CharactersWithSpaces>
  <Paragraphs>6738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