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10-q.htm"/>
      <w:bookmarkStart w:id="1" w:name="ksform10q"/>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F_edei--DocumentType_c20260101__20"/>
      <w:bookmarkEnd w:id="2"/>
      <w:r>
        <w:rPr>
          <w:rFonts w:ascii="Times New Roman;Times;Serif" w:hAnsi="Times New Roman;Times;Serif"/>
          <w:b/>
          <w:i w:val="false"/>
          <w:caps w:val="false"/>
          <w:smallCaps w:val="false"/>
          <w:sz w:val="36"/>
        </w:rPr>
        <w:t>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ind w:left="0" w:right="0" w:hanging="0"/>
        <w:jc w:val="center"/>
        <w:rPr>
          <w:caps w:val="false"/>
          <w:smallCaps w:val="false"/>
        </w:rPr>
      </w:pPr>
      <w:r>
        <w:rPr>
          <w:caps w:val="false"/>
          <w:smallCaps w:val="false"/>
        </w:rPr>
        <w:t> </w:t>
      </w:r>
    </w:p>
    <w:tbl>
      <w:tblPr>
        <w:tblW w:w="10180" w:type="dxa"/>
        <w:jc w:val="left"/>
        <w:tblInd w:w="0" w:type="dxa"/>
        <w:tblLayout w:type="fixed"/>
        <w:tblCellMar>
          <w:top w:w="0" w:type="dxa"/>
          <w:left w:w="0" w:type="dxa"/>
          <w:bottom w:w="0" w:type="dxa"/>
          <w:right w:w="0" w:type="dxa"/>
        </w:tblCellMar>
      </w:tblPr>
      <w:tblGrid>
        <w:gridCol w:w="245"/>
        <w:gridCol w:w="9935"/>
      </w:tblGrid>
      <w:tr>
        <w:trPr/>
        <w:tc>
          <w:tcPr>
            <w:tcW w:w="245" w:type="dxa"/>
            <w:tcBorders/>
            <w:vAlign w:val="center"/>
          </w:tcPr>
          <w:p>
            <w:pPr>
              <w:pStyle w:val="TableContents"/>
              <w:bidi w:val="0"/>
              <w:spacing w:before="0" w:after="283"/>
              <w:ind w:left="0" w:right="0" w:hanging="200"/>
              <w:jc w:val="left"/>
              <w:rPr>
                <w:caps w:val="false"/>
                <w:smallCaps w:val="false"/>
              </w:rPr>
            </w:pPr>
            <w:bookmarkStart w:id="3" w:name="xdx_901_edei--DocumentQuarterlyReport_c2"/>
            <w:bookmarkEnd w:id="3"/>
            <w:r>
              <w:rPr>
                <w:caps w:val="false"/>
                <w:smallCaps w:val="false"/>
              </w:rPr>
              <w:t>☒</w:t>
            </w:r>
          </w:p>
        </w:tc>
        <w:tc>
          <w:tcPr>
            <w:tcW w:w="99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QUARTERLY REPORT PURSUANT TO SECTION 13 OR 15(d) OF THE SECURITIES EXCHANGE ACT OF 1934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4" w:name="xdx_909_edei--DocumentPeriodEndDate_c202"/>
      <w:bookmarkEnd w:id="4"/>
      <w:r>
        <w:rPr>
          <w:rFonts w:ascii="Times New Roman;Times;Serif" w:hAnsi="Times New Roman;Times;Serif"/>
          <w:b/>
          <w:i w:val="false"/>
          <w:caps w:val="false"/>
          <w:smallCaps w:val="false"/>
          <w:sz w:val="20"/>
        </w:rPr>
        <w:t xml:space="preserve">March 31, </w:t>
      </w:r>
      <w:bookmarkStart w:id="5" w:name="xdx_907_edei--DocumentFiscalYearFocus_c2"/>
      <w:bookmarkEnd w:id="5"/>
      <w:r>
        <w:rPr>
          <w:rFonts w:ascii="Times New Roman;Times;Serif" w:hAnsi="Times New Roman;Times;Serif"/>
          <w:b/>
          <w:i w:val="false"/>
          <w:caps w:val="false"/>
          <w:smallCaps w:val="false"/>
          <w:sz w:val="20"/>
        </w:rPr>
        <w:t>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OR </w:t>
      </w:r>
    </w:p>
    <w:p>
      <w:pPr>
        <w:pStyle w:val="TextBody"/>
        <w:bidi w:val="0"/>
        <w:spacing w:before="0" w:after="0"/>
        <w:ind w:left="0" w:right="0" w:hanging="0"/>
        <w:jc w:val="center"/>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245"/>
        <w:gridCol w:w="9875"/>
      </w:tblGrid>
      <w:tr>
        <w:trPr/>
        <w:tc>
          <w:tcPr>
            <w:tcW w:w="245" w:type="dxa"/>
            <w:tcBorders/>
            <w:vAlign w:val="center"/>
          </w:tcPr>
          <w:p>
            <w:pPr>
              <w:pStyle w:val="TableContents"/>
              <w:bidi w:val="0"/>
              <w:spacing w:before="0" w:after="283"/>
              <w:jc w:val="left"/>
              <w:rPr>
                <w:caps w:val="false"/>
                <w:smallCaps w:val="false"/>
              </w:rPr>
            </w:pPr>
            <w:bookmarkStart w:id="6" w:name="xdx_90B_edei--DocumentTransitionReport_c"/>
            <w:bookmarkEnd w:id="6"/>
            <w:r>
              <w:rPr>
                <w:caps w:val="false"/>
                <w:smallCaps w:val="false"/>
              </w:rPr>
              <w:t>☐</w:t>
            </w:r>
          </w:p>
        </w:tc>
        <w:tc>
          <w:tcPr>
            <w:tcW w:w="98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TRANSITION REPORT PURSUANT TO SECTION 13 OR 15(d) OF THE SECURITIES EXCHANGE ACT OF 1934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101" w:right="0" w:hanging="595"/>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TRANSITION PERIOD FROM         TO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7" w:name="xdx_90C_edei--EntityFileNumber_c20260101"/>
      <w:bookmarkEnd w:id="7"/>
      <w:r>
        <w:rPr>
          <w:rFonts w:ascii="Times New Roman;Times;Serif" w:hAnsi="Times New Roman;Times;Serif"/>
          <w:b/>
          <w:i w:val="false"/>
          <w:caps w:val="false"/>
          <w:smallCaps w:val="false"/>
          <w:sz w:val="20"/>
        </w:rPr>
        <w:t>001-38538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866900" cy="733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66900" cy="7334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8" w:name="xdx_90F_edei--EntityRegistrantName_c2026"/>
      <w:bookmarkEnd w:id="8"/>
      <w:r>
        <w:rPr>
          <w:rFonts w:ascii="Times New Roman;Times;Serif" w:hAnsi="Times New Roman;Times;Serif"/>
          <w:b/>
          <w:i w:val="false"/>
          <w:caps w:val="false"/>
          <w:smallCaps w:val="false"/>
          <w:sz w:val="36"/>
        </w:rPr>
        <w:t>electroCore,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3530"/>
        <w:gridCol w:w="1565"/>
      </w:tblGrid>
      <w:tr>
        <w:trPr/>
        <w:tc>
          <w:tcPr>
            <w:tcW w:w="353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2_edei--EntityIncorporationStateCo"/>
            <w:bookmarkEnd w:id="9"/>
            <w:r>
              <w:rPr>
                <w:rFonts w:ascii="Times New Roman;Times;Serif" w:hAnsi="Times New Roman;Times;Serif"/>
                <w:b/>
                <w:i w:val="false"/>
                <w:caps w:val="false"/>
                <w:smallCaps w:val="false"/>
                <w:sz w:val="20"/>
              </w:rPr>
              <w:t>Delaware</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8_edei--EntityTaxIdentificationNum"/>
            <w:bookmarkEnd w:id="10"/>
            <w:r>
              <w:rPr>
                <w:rFonts w:ascii="Times New Roman;Times;Serif" w:hAnsi="Times New Roman;Times;Serif"/>
                <w:b/>
                <w:i w:val="false"/>
                <w:caps w:val="false"/>
                <w:smallCaps w:val="false"/>
                <w:sz w:val="20"/>
              </w:rPr>
              <w:t xml:space="preserve">20-3454976 </w:t>
            </w:r>
          </w:p>
        </w:tc>
      </w:tr>
      <w:tr>
        <w:trPr/>
        <w:tc>
          <w:tcPr>
            <w:tcW w:w="353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 or organization)</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r>
        <w:trPr/>
        <w:tc>
          <w:tcPr>
            <w:tcW w:w="353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53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8_edei--EntityAddressAddressLine1_"/>
            <w:bookmarkEnd w:id="11"/>
            <w:r>
              <w:rPr>
                <w:rFonts w:ascii="Times New Roman;Times;Serif" w:hAnsi="Times New Roman;Times;Serif"/>
                <w:b/>
                <w:i w:val="false"/>
                <w:caps w:val="false"/>
                <w:smallCaps w:val="false"/>
                <w:sz w:val="20"/>
              </w:rPr>
              <w:t xml:space="preserve">200 Forge Way, </w:t>
            </w:r>
            <w:bookmarkStart w:id="12" w:name="xdx_90F_edei--EntityAddressAddressLine2_"/>
            <w:bookmarkEnd w:id="12"/>
            <w:r>
              <w:rPr>
                <w:rFonts w:ascii="Times New Roman;Times;Serif" w:hAnsi="Times New Roman;Times;Serif"/>
                <w:b/>
                <w:i w:val="false"/>
                <w:caps w:val="false"/>
                <w:smallCaps w:val="false"/>
                <w:sz w:val="20"/>
              </w:rPr>
              <w:t xml:space="preserve">Suite 205, </w:t>
            </w:r>
            <w:bookmarkStart w:id="13" w:name="xdx_90D_edei--EntityAddressCityOrTown_c2"/>
            <w:bookmarkEnd w:id="13"/>
            <w:r>
              <w:rPr>
                <w:rFonts w:ascii="Times New Roman;Times;Serif" w:hAnsi="Times New Roman;Times;Serif"/>
                <w:b/>
                <w:i w:val="false"/>
                <w:caps w:val="false"/>
                <w:smallCaps w:val="false"/>
                <w:sz w:val="20"/>
              </w:rPr>
              <w:t xml:space="preserve">Rockaway, </w:t>
            </w:r>
            <w:bookmarkStart w:id="14" w:name="xdx_90F_edei--EntityAddressStateOrProvin"/>
            <w:bookmarkEnd w:id="14"/>
            <w:r>
              <w:rPr>
                <w:rFonts w:ascii="Times New Roman;Times;Serif" w:hAnsi="Times New Roman;Times;Serif"/>
                <w:b/>
                <w:i w:val="false"/>
                <w:caps w:val="false"/>
                <w:smallCaps w:val="false"/>
                <w:sz w:val="20"/>
              </w:rPr>
              <w:t>NJ</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5" w:name="xdx_909_edei--EntityAddressPostalZipCode"/>
            <w:bookmarkEnd w:id="15"/>
            <w:r>
              <w:rPr>
                <w:rFonts w:ascii="Times New Roman;Times;Serif" w:hAnsi="Times New Roman;Times;Serif"/>
                <w:b/>
                <w:i w:val="false"/>
                <w:caps w:val="false"/>
                <w:smallCaps w:val="false"/>
                <w:sz w:val="20"/>
              </w:rPr>
              <w:t>07866</w:t>
            </w:r>
          </w:p>
        </w:tc>
      </w:tr>
      <w:tr>
        <w:trPr/>
        <w:tc>
          <w:tcPr>
            <w:tcW w:w="353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6" w:name="xdx_90E_edei--CityAreaCode_c20260101__20"/>
      <w:bookmarkEnd w:id="16"/>
      <w:r>
        <w:rPr>
          <w:rFonts w:ascii="Times New Roman;Times;Serif" w:hAnsi="Times New Roman;Times;Serif"/>
          <w:b/>
          <w:i w:val="false"/>
          <w:caps w:val="false"/>
          <w:smallCaps w:val="false"/>
          <w:sz w:val="20"/>
        </w:rPr>
        <w:t xml:space="preserve">(973) </w:t>
      </w:r>
      <w:bookmarkStart w:id="17" w:name="xdx_904_edei--LocalPhoneNumber_c20260101"/>
      <w:bookmarkEnd w:id="17"/>
      <w:r>
        <w:rPr>
          <w:rFonts w:ascii="Times New Roman;Times;Serif" w:hAnsi="Times New Roman;Times;Serif"/>
          <w:b/>
          <w:i w:val="false"/>
          <w:caps w:val="false"/>
          <w:smallCaps w:val="false"/>
          <w:sz w:val="20"/>
        </w:rPr>
        <w:t>290-0097</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9120" w:type="dxa"/>
        <w:jc w:val="left"/>
        <w:tblInd w:w="0" w:type="dxa"/>
        <w:tblLayout w:type="fixed"/>
        <w:tblCellMar>
          <w:top w:w="0" w:type="dxa"/>
          <w:left w:w="0" w:type="dxa"/>
          <w:bottom w:w="28" w:type="dxa"/>
          <w:right w:w="0" w:type="dxa"/>
        </w:tblCellMar>
      </w:tblPr>
      <w:tblGrid>
        <w:gridCol w:w="3815"/>
        <w:gridCol w:w="60"/>
        <w:gridCol w:w="1550"/>
        <w:gridCol w:w="60"/>
        <w:gridCol w:w="3635"/>
      </w:tblGrid>
      <w:tr>
        <w:trPr/>
        <w:tc>
          <w:tcPr>
            <w:tcW w:w="381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of each class </w:t>
            </w:r>
          </w:p>
        </w:tc>
        <w:tc>
          <w:tcPr>
            <w:tcW w:w="60" w:type="dxa"/>
            <w:tcBorders/>
            <w:tcMar>
              <w:bottom w:w="0" w:type="dxa"/>
            </w:tcMar>
            <w:vAlign w:val="center"/>
          </w:tcPr>
          <w:p>
            <w:pPr>
              <w:pStyle w:val="TableContents"/>
              <w:bidi w:val="0"/>
              <w:spacing w:before="0" w:after="283"/>
              <w:jc w:val="center"/>
              <w:rPr/>
            </w:pPr>
            <w:r>
              <w:rPr/>
              <w:t> </w:t>
            </w:r>
          </w:p>
        </w:tc>
        <w:tc>
          <w:tcPr>
            <w:tcW w:w="155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Trading symbol(s) </w:t>
            </w:r>
          </w:p>
        </w:tc>
        <w:tc>
          <w:tcPr>
            <w:tcW w:w="60" w:type="dxa"/>
            <w:tcBorders/>
            <w:tcMar>
              <w:bottom w:w="0" w:type="dxa"/>
            </w:tcMar>
            <w:vAlign w:val="center"/>
          </w:tcPr>
          <w:p>
            <w:pPr>
              <w:pStyle w:val="TableContents"/>
              <w:bidi w:val="0"/>
              <w:spacing w:before="0" w:after="283"/>
              <w:jc w:val="center"/>
              <w:rPr/>
            </w:pPr>
            <w:r>
              <w:rPr/>
              <w:t> </w:t>
            </w:r>
          </w:p>
        </w:tc>
        <w:tc>
          <w:tcPr>
            <w:tcW w:w="36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of each exchange on which registered </w:t>
            </w:r>
          </w:p>
        </w:tc>
      </w:tr>
      <w:tr>
        <w:trPr/>
        <w:tc>
          <w:tcPr>
            <w:tcW w:w="381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8" w:name="xdx_902_edei--Security12bTitle_c20260101"/>
            <w:bookmarkEnd w:id="18"/>
            <w:r>
              <w:rPr>
                <w:rFonts w:ascii="Times New Roman;Times;Serif" w:hAnsi="Times New Roman;Times;Serif"/>
                <w:b/>
                <w:i w:val="false"/>
                <w:caps w:val="false"/>
                <w:smallCaps w:val="false"/>
                <w:sz w:val="20"/>
              </w:rPr>
              <w:t xml:space="preserve">Common Stock, Par Value $0.001 Per Share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9" w:name="xdx_90F_edei--TradingSymbol_c20260101__2"/>
            <w:bookmarkEnd w:id="19"/>
            <w:r>
              <w:rPr>
                <w:rFonts w:ascii="Times New Roman;Times;Serif" w:hAnsi="Times New Roman;Times;Serif"/>
                <w:b/>
                <w:i w:val="false"/>
                <w:caps w:val="false"/>
                <w:smallCaps w:val="false"/>
                <w:sz w:val="20"/>
              </w:rPr>
              <w:t xml:space="preserve">ECOR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w:t>
            </w:r>
            <w:bookmarkStart w:id="20" w:name="xdx_90A_edei--SecurityExchangeName_c2026"/>
            <w:bookmarkEnd w:id="20"/>
            <w:r>
              <w:rPr>
                <w:rFonts w:ascii="Times New Roman;Times;Serif" w:hAnsi="Times New Roman;Times;Serif"/>
                <w:b/>
                <w:i w:val="false"/>
                <w:caps w:val="false"/>
                <w:smallCaps w:val="false"/>
                <w:sz w:val="20"/>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1" w:name="xdx_90E_edei--EntityCurrentReportingStat"/>
      <w:bookmarkEnd w:id="21"/>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bookmarkStart w:id="22" w:name="xdx_90E_edei--EntityInteractiveDataCurre"/>
      <w:bookmarkEnd w:id="22"/>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5090" w:type="dxa"/>
        <w:jc w:val="left"/>
        <w:tblInd w:w="0" w:type="dxa"/>
        <w:tblLayout w:type="fixed"/>
        <w:tblCellMar>
          <w:top w:w="0" w:type="dxa"/>
          <w:left w:w="0" w:type="dxa"/>
          <w:bottom w:w="0" w:type="dxa"/>
          <w:right w:w="0" w:type="dxa"/>
        </w:tblCellMar>
      </w:tblPr>
      <w:tblGrid>
        <w:gridCol w:w="2285"/>
        <w:gridCol w:w="230"/>
        <w:gridCol w:w="60"/>
        <w:gridCol w:w="2270"/>
        <w:gridCol w:w="245"/>
      </w:tblGrid>
      <w:tr>
        <w:trPr/>
        <w:tc>
          <w:tcPr>
            <w:tcW w:w="22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Large, accelerated filer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Accelerated filer </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228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7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3" w:name="xdx_907_edei--EntityFilerCategory_c20260"/>
            <w:bookmarkEnd w:id="23"/>
            <w:r>
              <w:rPr>
                <w:rFonts w:ascii="Times New Roman;Times;Serif" w:hAnsi="Times New Roman;Times;Serif"/>
                <w:b w:val="false"/>
                <w:i w:val="false"/>
                <w:caps w:val="false"/>
                <w:smallCaps w:val="false"/>
                <w:sz w:val="20"/>
              </w:rPr>
              <w:t xml:space="preserve">Non-accelerated filer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Smaller reporting company </w:t>
            </w:r>
          </w:p>
        </w:tc>
        <w:tc>
          <w:tcPr>
            <w:tcW w:w="245" w:type="dxa"/>
            <w:tcBorders/>
            <w:vAlign w:val="center"/>
          </w:tcPr>
          <w:p>
            <w:pPr>
              <w:pStyle w:val="TableContents"/>
              <w:bidi w:val="0"/>
              <w:spacing w:before="0" w:after="283"/>
              <w:jc w:val="left"/>
              <w:rPr>
                <w:caps w:val="false"/>
                <w:smallCaps w:val="false"/>
              </w:rPr>
            </w:pPr>
            <w:bookmarkStart w:id="24" w:name="xdx_908_edei--EntitySmallBusiness_c20260"/>
            <w:bookmarkEnd w:id="24"/>
            <w:r>
              <w:rPr>
                <w:caps w:val="false"/>
                <w:smallCaps w:val="false"/>
              </w:rPr>
              <w:t>☒</w:t>
            </w:r>
          </w:p>
        </w:tc>
      </w:tr>
      <w:tr>
        <w:trPr/>
        <w:tc>
          <w:tcPr>
            <w:tcW w:w="228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7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p>
        </w:tc>
        <w:tc>
          <w:tcPr>
            <w:tcW w:w="230" w:type="dxa"/>
            <w:tcBorders/>
            <w:vAlign w:val="center"/>
          </w:tcPr>
          <w:p>
            <w:pPr>
              <w:pStyle w:val="TableContents"/>
              <w:bidi w:val="0"/>
              <w:spacing w:before="0" w:after="283"/>
              <w:jc w:val="left"/>
              <w:rPr>
                <w:caps w:val="false"/>
                <w:smallCaps w:val="false"/>
              </w:rPr>
            </w:pPr>
            <w:bookmarkStart w:id="25" w:name="xdx_90E_edei--EntityEmergingGrowthCompan"/>
            <w:bookmarkEnd w:id="25"/>
            <w:r>
              <w:rPr>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7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w:t>
      </w:r>
      <w:r>
        <w:rPr>
          <w:rFonts w:ascii="Times New Roman;Times;Serif" w:hAnsi="Times New Roman;Times;Serif"/>
          <w:b w:val="false"/>
          <w:i w:val="false"/>
          <w:caps w:val="false"/>
          <w:smallCaps w:val="false"/>
          <w:sz w:val="20"/>
          <w:shd w:fill="FFFFFF" w:val="clear"/>
        </w:rPr>
        <w:t xml:space="preserve">12b-2 of the Exchange Act). YES ☐ NO </w:t>
      </w:r>
      <w:bookmarkStart w:id="26" w:name="xdx_90A_edei--EntityShellCompany_dbF_c20"/>
      <w:bookmarkEnd w:id="26"/>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number of shares of Registrant’s Common Stock outstanding as of May 1, 2026 was </w:t>
      </w:r>
      <w:bookmarkStart w:id="27" w:name="xdx_903_edei--EntityCommonStockSharesOut"/>
      <w:bookmarkEnd w:id="27"/>
      <w:r>
        <w:rPr>
          <w:rFonts w:ascii="Times New Roman;Times;Serif" w:hAnsi="Times New Roman;Times;Serif"/>
          <w:b w:val="false"/>
          <w:i w:val="false"/>
          <w:caps w:val="false"/>
          <w:smallCaps w:val="false"/>
          <w:sz w:val="20"/>
          <w:shd w:fill="FFFFFF" w:val="clear"/>
        </w:rPr>
        <w:t>8,295,707.</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 FINANCIAL INFORMATION</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4"/>
        <w:gridCol w:w="8527"/>
        <w:gridCol w:w="1024"/>
      </w:tblGrid>
      <w:tr>
        <w:trPr/>
        <w:tc>
          <w:tcPr>
            <w:tcW w:w="654" w:type="dxa"/>
            <w:tcBorders/>
            <w:vAlign w:val="center"/>
          </w:tcPr>
          <w:p>
            <w:pPr>
              <w:pStyle w:val="TableContents"/>
              <w:bidi w:val="0"/>
              <w:spacing w:before="0" w:after="283"/>
              <w:jc w:val="left"/>
              <w:rPr>
                <w:caps w:val="false"/>
                <w:smallCaps w:val="false"/>
              </w:rPr>
            </w:pPr>
            <w:r>
              <w:rPr>
                <w:caps w:val="false"/>
                <w:smallCaps w:val="false"/>
              </w:rPr>
              <w:t> </w:t>
            </w:r>
          </w:p>
        </w:tc>
        <w:tc>
          <w:tcPr>
            <w:tcW w:w="8527" w:type="dxa"/>
            <w:tcBorders/>
            <w:vAlign w:val="center"/>
          </w:tcPr>
          <w:p>
            <w:pPr>
              <w:pStyle w:val="TableContents"/>
              <w:bidi w:val="0"/>
              <w:spacing w:before="0" w:after="283"/>
              <w:jc w:val="left"/>
              <w:rPr>
                <w:sz w:val="4"/>
                <w:szCs w:val="4"/>
              </w:rPr>
            </w:pPr>
            <w:r>
              <w:rPr>
                <w:sz w:val="4"/>
                <w:szCs w:val="4"/>
              </w:rPr>
            </w:r>
          </w:p>
        </w:tc>
        <w:tc>
          <w:tcPr>
            <w:tcW w:w="102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Number</w:t>
            </w:r>
          </w:p>
        </w:tc>
      </w:tr>
      <w:tr>
        <w:trPr/>
        <w:tc>
          <w:tcPr>
            <w:tcW w:w="6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27" w:type="dxa"/>
            <w:tcBorders/>
            <w:shd w:fill="CCEEFF" w:val="clear"/>
            <w:vAlign w:val="center"/>
          </w:tcPr>
          <w:p>
            <w:pPr>
              <w:pStyle w:val="TableContents"/>
              <w:bidi w:val="0"/>
              <w:spacing w:before="0" w:after="283"/>
              <w:jc w:val="left"/>
              <w:rPr/>
            </w:pPr>
            <w:hyperlink w:anchor="JA_001">
              <w:r>
                <w:rPr>
                  <w:rStyle w:val="InternetLink"/>
                  <w:rFonts w:ascii="Times New Roman;Times;Serif" w:hAnsi="Times New Roman;Times;Serif"/>
                  <w:b w:val="false"/>
                  <w:i w:val="false"/>
                  <w:caps w:val="false"/>
                  <w:smallCaps w:val="false"/>
                  <w:sz w:val="20"/>
                </w:rPr>
                <w:t>Cautionary Note Regarding Forward-Looking Statements</w:t>
              </w:r>
            </w:hyperlink>
          </w:p>
        </w:tc>
        <w:tc>
          <w:tcPr>
            <w:tcW w:w="1024"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65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852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w:t>
            </w:r>
          </w:p>
        </w:tc>
        <w:tc>
          <w:tcPr>
            <w:tcW w:w="102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27" w:type="dxa"/>
            <w:tcBorders/>
            <w:shd w:fill="CCEEFF" w:val="clear"/>
            <w:vAlign w:val="center"/>
          </w:tcPr>
          <w:p>
            <w:pPr>
              <w:pStyle w:val="TableContents"/>
              <w:bidi w:val="0"/>
              <w:spacing w:before="0" w:after="283"/>
              <w:jc w:val="both"/>
              <w:rPr/>
            </w:pPr>
            <w:hyperlink w:anchor="JA_002">
              <w:r>
                <w:rPr>
                  <w:rStyle w:val="InternetLink"/>
                  <w:rFonts w:ascii="Times New Roman;Times;Serif" w:hAnsi="Times New Roman;Times;Serif"/>
                  <w:b w:val="false"/>
                  <w:i w:val="false"/>
                  <w:caps w:val="false"/>
                  <w:smallCaps w:val="false"/>
                  <w:sz w:val="20"/>
                </w:rPr>
                <w:t>Condensed Consolidated Balance Sheets as of March 31, 2026 (Unaudited) and December 31, 2025</w:t>
              </w:r>
            </w:hyperlink>
          </w:p>
        </w:tc>
        <w:tc>
          <w:tcPr>
            <w:tcW w:w="1024"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6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27" w:type="dxa"/>
            <w:tcBorders/>
            <w:shd w:fill="FFFFFF" w:val="clear"/>
            <w:vAlign w:val="center"/>
          </w:tcPr>
          <w:p>
            <w:pPr>
              <w:pStyle w:val="TableContents"/>
              <w:bidi w:val="0"/>
              <w:spacing w:before="0" w:after="283"/>
              <w:jc w:val="both"/>
              <w:rPr/>
            </w:pPr>
            <w:hyperlink w:anchor="JA_003">
              <w:r>
                <w:rPr>
                  <w:rStyle w:val="InternetLink"/>
                  <w:rFonts w:ascii="Times New Roman;Times;Serif" w:hAnsi="Times New Roman;Times;Serif"/>
                  <w:b w:val="false"/>
                  <w:i w:val="false"/>
                  <w:caps w:val="false"/>
                  <w:smallCaps w:val="false"/>
                  <w:sz w:val="20"/>
                </w:rPr>
                <w:t>Condensed Consolidated Statements of Operations for the Three Months Ended March 31, 2026 and 2025 (Unaudited)</w:t>
              </w:r>
            </w:hyperlink>
          </w:p>
        </w:tc>
        <w:tc>
          <w:tcPr>
            <w:tcW w:w="1024"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6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27" w:type="dxa"/>
            <w:tcBorders/>
            <w:shd w:fill="CCEEFF" w:val="clear"/>
            <w:vAlign w:val="center"/>
          </w:tcPr>
          <w:p>
            <w:pPr>
              <w:pStyle w:val="TableContents"/>
              <w:bidi w:val="0"/>
              <w:spacing w:before="0" w:after="283"/>
              <w:jc w:val="both"/>
              <w:rPr/>
            </w:pPr>
            <w:hyperlink w:anchor="JA_004">
              <w:r>
                <w:rPr>
                  <w:rStyle w:val="InternetLink"/>
                  <w:rFonts w:ascii="Times New Roman;Times;Serif" w:hAnsi="Times New Roman;Times;Serif"/>
                  <w:b w:val="false"/>
                  <w:i w:val="false"/>
                  <w:caps w:val="false"/>
                  <w:smallCaps w:val="false"/>
                  <w:sz w:val="20"/>
                </w:rPr>
                <w:t>Condensed Consolidated Statements of Comprehensive Loss for the Three Months Ended March 31, 2026 and 2025 (Unaudited)</w:t>
              </w:r>
            </w:hyperlink>
          </w:p>
        </w:tc>
        <w:tc>
          <w:tcPr>
            <w:tcW w:w="1024"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6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27" w:type="dxa"/>
            <w:tcBorders/>
            <w:shd w:fill="FFFFFF" w:val="clear"/>
            <w:vAlign w:val="center"/>
          </w:tcPr>
          <w:p>
            <w:pPr>
              <w:pStyle w:val="TableContents"/>
              <w:bidi w:val="0"/>
              <w:spacing w:before="0" w:after="283"/>
              <w:jc w:val="both"/>
              <w:rPr/>
            </w:pPr>
            <w:hyperlink w:anchor="JA_005">
              <w:r>
                <w:rPr>
                  <w:rStyle w:val="InternetLink"/>
                  <w:rFonts w:ascii="Times New Roman;Times;Serif" w:hAnsi="Times New Roman;Times;Serif"/>
                  <w:b w:val="false"/>
                  <w:i w:val="false"/>
                  <w:caps w:val="false"/>
                  <w:smallCaps w:val="false"/>
                  <w:sz w:val="20"/>
                </w:rPr>
                <w:t>Condensed Consolidated Statements of Equity (Deficit) for the Three Months Ended March 31, 2026 and 2025 (Unaudited)</w:t>
              </w:r>
            </w:hyperlink>
          </w:p>
        </w:tc>
        <w:tc>
          <w:tcPr>
            <w:tcW w:w="1024"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6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27" w:type="dxa"/>
            <w:tcBorders/>
            <w:shd w:fill="CCEEFF" w:val="clear"/>
            <w:vAlign w:val="center"/>
          </w:tcPr>
          <w:p>
            <w:pPr>
              <w:pStyle w:val="TableContents"/>
              <w:bidi w:val="0"/>
              <w:spacing w:before="0" w:after="283"/>
              <w:jc w:val="both"/>
              <w:rPr/>
            </w:pPr>
            <w:hyperlink w:anchor="JA_006">
              <w:r>
                <w:rPr>
                  <w:rStyle w:val="InternetLink"/>
                  <w:rFonts w:ascii="Times New Roman;Times;Serif" w:hAnsi="Times New Roman;Times;Serif"/>
                  <w:b w:val="false"/>
                  <w:i w:val="false"/>
                  <w:caps w:val="false"/>
                  <w:smallCaps w:val="false"/>
                  <w:sz w:val="20"/>
                </w:rPr>
                <w:t>Condensed Consolidated Statements of Cash Flows for the Three Months Ended March 31, 2026 and 2025 (Unaudited)</w:t>
              </w:r>
            </w:hyperlink>
          </w:p>
        </w:tc>
        <w:tc>
          <w:tcPr>
            <w:tcW w:w="1024"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6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27" w:type="dxa"/>
            <w:tcBorders/>
            <w:shd w:fill="FFFFFF" w:val="clear"/>
            <w:vAlign w:val="center"/>
          </w:tcPr>
          <w:p>
            <w:pPr>
              <w:pStyle w:val="TableContents"/>
              <w:bidi w:val="0"/>
              <w:spacing w:before="0" w:after="283"/>
              <w:jc w:val="both"/>
              <w:rPr/>
            </w:pPr>
            <w:hyperlink w:anchor="JA_007">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1024"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65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8527" w:type="dxa"/>
            <w:tcBorders/>
            <w:shd w:fill="CCEEFF" w:val="clear"/>
            <w:vAlign w:val="center"/>
          </w:tcPr>
          <w:p>
            <w:pPr>
              <w:pStyle w:val="TableContents"/>
              <w:bidi w:val="0"/>
              <w:spacing w:before="0" w:after="283"/>
              <w:jc w:val="both"/>
              <w:rPr/>
            </w:pPr>
            <w:hyperlink w:anchor="Y-001">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1024"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65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8527" w:type="dxa"/>
            <w:tcBorders/>
            <w:shd w:fill="FFFFFF" w:val="clear"/>
            <w:vAlign w:val="center"/>
          </w:tcPr>
          <w:p>
            <w:pPr>
              <w:pStyle w:val="TableContents"/>
              <w:bidi w:val="0"/>
              <w:spacing w:before="0" w:after="283"/>
              <w:jc w:val="both"/>
              <w:rPr/>
            </w:pPr>
            <w:hyperlink w:anchor="Y-002">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1024"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65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8527" w:type="dxa"/>
            <w:tcBorders/>
            <w:shd w:fill="CCEEFF" w:val="clear"/>
            <w:vAlign w:val="center"/>
          </w:tcPr>
          <w:p>
            <w:pPr>
              <w:pStyle w:val="TableContents"/>
              <w:bidi w:val="0"/>
              <w:spacing w:before="0" w:after="283"/>
              <w:jc w:val="both"/>
              <w:rPr/>
            </w:pPr>
            <w:hyperlink w:anchor="Y-003">
              <w:r>
                <w:rPr>
                  <w:rStyle w:val="InternetLink"/>
                  <w:rFonts w:ascii="Times New Roman;Times;Serif" w:hAnsi="Times New Roman;Times;Serif"/>
                  <w:b w:val="false"/>
                  <w:i w:val="false"/>
                  <w:caps w:val="false"/>
                  <w:smallCaps w:val="false"/>
                  <w:sz w:val="20"/>
                </w:rPr>
                <w:t>Controls and Procedures</w:t>
              </w:r>
            </w:hyperlink>
          </w:p>
        </w:tc>
        <w:tc>
          <w:tcPr>
            <w:tcW w:w="1024"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6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27" w:type="dxa"/>
            <w:tcBorders/>
            <w:shd w:fill="FFFFFF" w:val="clear"/>
            <w:vAlign w:val="center"/>
          </w:tcPr>
          <w:p>
            <w:pPr>
              <w:pStyle w:val="TableContents"/>
              <w:bidi w:val="0"/>
              <w:spacing w:before="0" w:after="283"/>
              <w:jc w:val="both"/>
              <w:rPr/>
            </w:pPr>
            <w:hyperlink w:anchor="Y-004">
              <w:r>
                <w:rPr>
                  <w:rStyle w:val="InternetLink"/>
                  <w:rFonts w:ascii="Times New Roman;Times;Serif" w:hAnsi="Times New Roman;Times;Serif"/>
                  <w:b w:val="false"/>
                  <w:i w:val="false"/>
                  <w:caps w:val="false"/>
                  <w:smallCaps w:val="false"/>
                  <w:sz w:val="20"/>
                </w:rPr>
                <w:t>PART II. OTHER INFORMATION</w:t>
              </w:r>
            </w:hyperlink>
          </w:p>
        </w:tc>
        <w:tc>
          <w:tcPr>
            <w:tcW w:w="1024"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5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8527" w:type="dxa"/>
            <w:tcBorders/>
            <w:shd w:fill="CCEEFF" w:val="clear"/>
            <w:vAlign w:val="center"/>
          </w:tcPr>
          <w:p>
            <w:pPr>
              <w:pStyle w:val="TableContents"/>
              <w:bidi w:val="0"/>
              <w:spacing w:before="0" w:after="283"/>
              <w:jc w:val="both"/>
              <w:rPr/>
            </w:pPr>
            <w:hyperlink w:anchor="Y-005">
              <w:r>
                <w:rPr>
                  <w:rStyle w:val="InternetLink"/>
                  <w:rFonts w:ascii="Times New Roman;Times;Serif" w:hAnsi="Times New Roman;Times;Serif"/>
                  <w:b w:val="false"/>
                  <w:i w:val="false"/>
                  <w:caps w:val="false"/>
                  <w:smallCaps w:val="false"/>
                  <w:sz w:val="20"/>
                </w:rPr>
                <w:t>Legal Proceedings</w:t>
              </w:r>
            </w:hyperlink>
          </w:p>
        </w:tc>
        <w:tc>
          <w:tcPr>
            <w:tcW w:w="1024"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65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8527" w:type="dxa"/>
            <w:tcBorders/>
            <w:shd w:fill="FFFFFF" w:val="clear"/>
            <w:vAlign w:val="center"/>
          </w:tcPr>
          <w:p>
            <w:pPr>
              <w:pStyle w:val="TableContents"/>
              <w:bidi w:val="0"/>
              <w:spacing w:before="0" w:after="283"/>
              <w:jc w:val="both"/>
              <w:rPr/>
            </w:pPr>
            <w:hyperlink w:anchor="Y-006">
              <w:r>
                <w:rPr>
                  <w:rStyle w:val="InternetLink"/>
                  <w:rFonts w:ascii="Times New Roman;Times;Serif" w:hAnsi="Times New Roman;Times;Serif"/>
                  <w:b w:val="false"/>
                  <w:i w:val="false"/>
                  <w:caps w:val="false"/>
                  <w:smallCaps w:val="false"/>
                  <w:sz w:val="20"/>
                </w:rPr>
                <w:t>Risk Factors</w:t>
              </w:r>
            </w:hyperlink>
          </w:p>
        </w:tc>
        <w:tc>
          <w:tcPr>
            <w:tcW w:w="1024"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65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8527" w:type="dxa"/>
            <w:tcBorders/>
            <w:shd w:fill="CCEEFF" w:val="clear"/>
            <w:vAlign w:val="center"/>
          </w:tcPr>
          <w:p>
            <w:pPr>
              <w:pStyle w:val="TableContents"/>
              <w:bidi w:val="0"/>
              <w:spacing w:before="0" w:after="283"/>
              <w:jc w:val="both"/>
              <w:rPr/>
            </w:pPr>
            <w:hyperlink w:anchor="Y-007">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1024"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65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8527" w:type="dxa"/>
            <w:tcBorders/>
            <w:shd w:fill="FFFFFF" w:val="clear"/>
            <w:vAlign w:val="center"/>
          </w:tcPr>
          <w:p>
            <w:pPr>
              <w:pStyle w:val="TableContents"/>
              <w:bidi w:val="0"/>
              <w:spacing w:before="0" w:after="283"/>
              <w:jc w:val="both"/>
              <w:rPr/>
            </w:pPr>
            <w:hyperlink w:anchor="Y-008">
              <w:r>
                <w:rPr>
                  <w:rStyle w:val="InternetLink"/>
                  <w:rFonts w:ascii="Times New Roman;Times;Serif" w:hAnsi="Times New Roman;Times;Serif"/>
                  <w:b w:val="false"/>
                  <w:i w:val="false"/>
                  <w:caps w:val="false"/>
                  <w:smallCaps w:val="false"/>
                  <w:sz w:val="20"/>
                </w:rPr>
                <w:t>Defaults Upon Senior Securities</w:t>
              </w:r>
            </w:hyperlink>
          </w:p>
        </w:tc>
        <w:tc>
          <w:tcPr>
            <w:tcW w:w="1024"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65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8527" w:type="dxa"/>
            <w:tcBorders/>
            <w:shd w:fill="CCEEFF" w:val="clear"/>
            <w:vAlign w:val="center"/>
          </w:tcPr>
          <w:p>
            <w:pPr>
              <w:pStyle w:val="TableContents"/>
              <w:bidi w:val="0"/>
              <w:spacing w:before="0" w:after="283"/>
              <w:jc w:val="both"/>
              <w:rPr/>
            </w:pPr>
            <w:hyperlink w:anchor="Y-009">
              <w:r>
                <w:rPr>
                  <w:rStyle w:val="InternetLink"/>
                  <w:rFonts w:ascii="Times New Roman;Times;Serif" w:hAnsi="Times New Roman;Times;Serif"/>
                  <w:b w:val="false"/>
                  <w:i w:val="false"/>
                  <w:caps w:val="false"/>
                  <w:smallCaps w:val="false"/>
                  <w:sz w:val="20"/>
                </w:rPr>
                <w:t>Mine Safety Disclosures</w:t>
              </w:r>
            </w:hyperlink>
          </w:p>
        </w:tc>
        <w:tc>
          <w:tcPr>
            <w:tcW w:w="1024"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65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8527" w:type="dxa"/>
            <w:tcBorders/>
            <w:shd w:fill="FFFFFF" w:val="clear"/>
            <w:vAlign w:val="center"/>
          </w:tcPr>
          <w:p>
            <w:pPr>
              <w:pStyle w:val="TableContents"/>
              <w:bidi w:val="0"/>
              <w:spacing w:before="0" w:after="283"/>
              <w:jc w:val="both"/>
              <w:rPr/>
            </w:pPr>
            <w:hyperlink w:anchor="Y-010">
              <w:r>
                <w:rPr>
                  <w:rStyle w:val="InternetLink"/>
                  <w:rFonts w:ascii="Times New Roman;Times;Serif" w:hAnsi="Times New Roman;Times;Serif"/>
                  <w:b w:val="false"/>
                  <w:i w:val="false"/>
                  <w:caps w:val="false"/>
                  <w:smallCaps w:val="false"/>
                  <w:sz w:val="20"/>
                </w:rPr>
                <w:t>Other Information</w:t>
              </w:r>
            </w:hyperlink>
          </w:p>
        </w:tc>
        <w:tc>
          <w:tcPr>
            <w:tcW w:w="1024"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65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8527" w:type="dxa"/>
            <w:tcBorders/>
            <w:shd w:fill="CCEEFF" w:val="clear"/>
            <w:vAlign w:val="center"/>
          </w:tcPr>
          <w:p>
            <w:pPr>
              <w:pStyle w:val="TableContents"/>
              <w:bidi w:val="0"/>
              <w:spacing w:before="0" w:after="283"/>
              <w:jc w:val="both"/>
              <w:rPr/>
            </w:pPr>
            <w:hyperlink w:anchor="Y-011">
              <w:r>
                <w:rPr>
                  <w:rStyle w:val="InternetLink"/>
                  <w:rFonts w:ascii="Times New Roman;Times;Serif" w:hAnsi="Times New Roman;Times;Serif"/>
                  <w:b w:val="false"/>
                  <w:i w:val="false"/>
                  <w:caps w:val="false"/>
                  <w:smallCaps w:val="false"/>
                  <w:sz w:val="20"/>
                </w:rPr>
                <w:t>Exhibits</w:t>
              </w:r>
            </w:hyperlink>
          </w:p>
        </w:tc>
        <w:tc>
          <w:tcPr>
            <w:tcW w:w="1024"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6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27" w:type="dxa"/>
            <w:tcBorders/>
            <w:shd w:fill="FFFFFF" w:val="clear"/>
            <w:vAlign w:val="center"/>
          </w:tcPr>
          <w:p>
            <w:pPr>
              <w:pStyle w:val="TableContents"/>
              <w:bidi w:val="0"/>
              <w:spacing w:before="0" w:after="283"/>
              <w:jc w:val="both"/>
              <w:rPr/>
            </w:pPr>
            <w:hyperlink w:anchor="Y-012">
              <w:r>
                <w:rPr>
                  <w:rStyle w:val="InternetLink"/>
                  <w:rFonts w:ascii="Times New Roman;Times;Serif" w:hAnsi="Times New Roman;Times;Serif"/>
                  <w:b w:val="false"/>
                  <w:i w:val="false"/>
                  <w:caps w:val="false"/>
                  <w:smallCaps w:val="false"/>
                  <w:sz w:val="20"/>
                </w:rPr>
                <w:t>Signatures</w:t>
              </w:r>
            </w:hyperlink>
          </w:p>
        </w:tc>
        <w:tc>
          <w:tcPr>
            <w:tcW w:w="1024"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ELECTROCORE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Quarterly Report on Form 10-Q, unless otherwise stated or the context otherwise indicates, references to “ECOR,” “electroCore,” “the Company,” “we,” “us,” “our” and similar references refer to electroCore, Inc., a Delaware corporation and its wholly owned subsidiaries, including NeuroMetrix, Inc., a Delaware corporation (“NeuroMetrix” or “NURO”).</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28" w:name="JA_001"/>
      <w:bookmarkEnd w:id="28"/>
      <w:r>
        <w:rPr>
          <w:rFonts w:ascii="Times New Roman;Times;Serif" w:hAnsi="Times New Roman;Times;Serif"/>
          <w:b w:val="false"/>
          <w:i w:val="false"/>
          <w:caps w:val="false"/>
          <w:smallCaps w:val="false"/>
          <w:sz w:val="20"/>
        </w:rPr>
        <w:t>CAUTIONARY NOTE REGARDING FORWARD-LOOKING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on Form 10-Q, or Quarterly Report, contains forward-looking statements that involve risks and uncertainties. Our actual results could differ materially from those discussed in the forward-looking statements. The statements contained in this Quarterly Report that are not purely historical are forward-looking statements within the meaning of Section 27A of the Securities Act of 1933, as amended, or the Securities Act, and Section 21E of the Securities Exchange Act of 1934, as amended, or the Exchange Act. Forward-looking statements are often identified by the use of words such as, but not limited to, “anticipate,” “believe,” “can,” “continue,” “could,” “estimate,” “expect,” “intend,” “may,” “plan,” “project,” “seek,” “should,” “strategy,” “designed,” “target,” “will,” “would” and similar expressions or variations intended to identify forward-looking statements. These statements are based on the beliefs and assumptions of our management based on information currently available to them.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risks and uncertainties included in our Form 10-Qs, our annual report on Form 10-K for the year ended December 31, 2025 (the “Annual Report”), in our other filings with the U.S. Securities and Exchange Commission (the “SEC”) or in materials incorporated by reference therein, including the information in the sections entitled “Risk Factors” and “Management’s Discussion and Analysis of Financial Condition and Results of Operations” in such filings. Furthermore, any such forward-looking statements in this Quarterly Report speak only as of the date of this Quarterly Report. Except as required by law, we undertake no obligation to update or revise any forward-looking statements to reflect events or circumstances after the date of such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electroCore logo, gammaCore, Truvaga, TAC-STIM, NeuroMetrix, Quell, names, logos, and other trademarks of electroCore, Inc. appearing in this Quarterly Report are the property of electroCore, Inc. All other trademarks, service marks and trade names in this Quarterly Report are the property of their respective owners. We have omitted the ® and ™ designations, as applicable, for the trademarks used in this Quarterly Report.</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ELECTROCORE,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JA_002"/>
      <w:bookmarkEnd w:id="29"/>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data)</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0" w:name="xdx_30D_111_pn3n3_zz6pr8fkdd01"/>
      <w:bookmarkStart w:id="31" w:name="xdx_30D_111_pn3n3_zz6pr8fkdd01"/>
      <w:bookmarkEnd w:id="31"/>
    </w:p>
    <w:tbl>
      <w:tblPr>
        <w:tblW w:w="10205" w:type="dxa"/>
        <w:jc w:val="left"/>
        <w:tblInd w:w="0" w:type="dxa"/>
        <w:tblLayout w:type="fixed"/>
        <w:tblCellMar>
          <w:top w:w="0" w:type="dxa"/>
          <w:left w:w="0" w:type="dxa"/>
          <w:bottom w:w="0" w:type="dxa"/>
          <w:right w:w="0" w:type="dxa"/>
        </w:tblCellMar>
      </w:tblPr>
      <w:tblGrid>
        <w:gridCol w:w="8089"/>
        <w:gridCol w:w="60"/>
        <w:gridCol w:w="125"/>
        <w:gridCol w:w="755"/>
        <w:gridCol w:w="80"/>
        <w:gridCol w:w="60"/>
        <w:gridCol w:w="132"/>
        <w:gridCol w:w="802"/>
        <w:gridCol w:w="102"/>
      </w:tblGrid>
      <w:tr>
        <w:trPr/>
        <w:tc>
          <w:tcPr>
            <w:tcW w:w="80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2" w:name="xdx_49F_20260331_zBEOn49WZtJ5"/>
            <w:bookmarkEnd w:id="32"/>
          </w:p>
        </w:tc>
        <w:tc>
          <w:tcPr>
            <w:tcW w:w="960" w:type="dxa"/>
            <w:gridSpan w:val="3"/>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March 31,</w:t>
            </w:r>
          </w:p>
        </w:tc>
        <w:tc>
          <w:tcPr>
            <w:tcW w:w="60" w:type="dxa"/>
            <w:tcBorders/>
            <w:vAlign w:val="center"/>
          </w:tcPr>
          <w:p>
            <w:pPr>
              <w:pStyle w:val="TableContents"/>
              <w:bidi w:val="0"/>
              <w:spacing w:before="0" w:after="283"/>
              <w:jc w:val="left"/>
              <w:rPr/>
            </w:pPr>
            <w:r>
              <w:rPr/>
              <w:t> </w:t>
            </w:r>
            <w:bookmarkStart w:id="33" w:name="xdx_49C_20251231_ztY58q3MbRYg"/>
            <w:bookmarkEnd w:id="33"/>
          </w:p>
        </w:tc>
        <w:tc>
          <w:tcPr>
            <w:tcW w:w="1036" w:type="dxa"/>
            <w:gridSpan w:val="3"/>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w:t>
            </w:r>
          </w:p>
        </w:tc>
      </w:tr>
      <w:tr>
        <w:trPr/>
        <w:tc>
          <w:tcPr>
            <w:tcW w:w="80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0"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60" w:type="dxa"/>
            <w:tcBorders/>
            <w:vAlign w:val="center"/>
          </w:tcPr>
          <w:p>
            <w:pPr>
              <w:pStyle w:val="TableContents"/>
              <w:bidi w:val="0"/>
              <w:spacing w:before="0" w:after="283"/>
              <w:jc w:val="left"/>
              <w:rPr/>
            </w:pPr>
            <w:r>
              <w:rPr/>
              <w:t> </w:t>
            </w:r>
          </w:p>
        </w:tc>
        <w:tc>
          <w:tcPr>
            <w:tcW w:w="1036"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bookmarkStart w:id="34" w:name="xdx_40A_eus-gaap--AssetsAbstract_iB_zNwK"/>
            <w:bookmarkEnd w:id="34"/>
          </w:p>
        </w:tc>
      </w:tr>
      <w:tr>
        <w:trPr/>
        <w:tc>
          <w:tcPr>
            <w:tcW w:w="8089"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bookmarkStart w:id="35" w:name="xdx_408_eus-gaap--AssetsCurrentAbstract_"/>
            <w:bookmarkEnd w:id="35"/>
          </w:p>
        </w:tc>
      </w:tr>
      <w:tr>
        <w:trPr/>
        <w:tc>
          <w:tcPr>
            <w:tcW w:w="80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bookmarkStart w:id="36" w:name="xdx_408_eus-gaap--CashAndCashEquivalents"/>
            <w:bookmarkEnd w:id="36"/>
          </w:p>
        </w:tc>
      </w:tr>
      <w:tr>
        <w:trPr/>
        <w:tc>
          <w:tcPr>
            <w:tcW w:w="80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7,035</w:t>
            </w:r>
          </w:p>
        </w:tc>
        <w:tc>
          <w:tcPr>
            <w:tcW w:w="102" w:type="dxa"/>
            <w:tcBorders/>
            <w:shd w:fill="CCEEFF" w:val="clear"/>
            <w:vAlign w:val="center"/>
          </w:tcPr>
          <w:p>
            <w:pPr>
              <w:pStyle w:val="TableContents"/>
              <w:bidi w:val="0"/>
              <w:spacing w:before="0" w:after="283"/>
              <w:jc w:val="left"/>
              <w:rPr/>
            </w:pPr>
            <w:r>
              <w:rPr/>
              <w:t> </w:t>
            </w:r>
            <w:bookmarkStart w:id="37" w:name="xdx_401_eus-gaap--MarketableSecuritiesCu"/>
            <w:bookmarkEnd w:id="37"/>
          </w:p>
        </w:tc>
      </w:tr>
      <w:tr>
        <w:trPr/>
        <w:tc>
          <w:tcPr>
            <w:tcW w:w="80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Marketable securities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4,576</w:t>
            </w:r>
          </w:p>
        </w:tc>
        <w:tc>
          <w:tcPr>
            <w:tcW w:w="102" w:type="dxa"/>
            <w:tcBorders/>
            <w:shd w:fill="FFFFFF" w:val="clear"/>
            <w:vAlign w:val="center"/>
          </w:tcPr>
          <w:p>
            <w:pPr>
              <w:pStyle w:val="TableContents"/>
              <w:bidi w:val="0"/>
              <w:spacing w:before="0" w:after="283"/>
              <w:jc w:val="left"/>
              <w:rPr/>
            </w:pPr>
            <w:r>
              <w:rPr/>
              <w:t> </w:t>
            </w:r>
            <w:bookmarkStart w:id="38" w:name="xdx_403_eus-gaap--AccountsReceivableNetC"/>
            <w:bookmarkEnd w:id="38"/>
          </w:p>
        </w:tc>
      </w:tr>
      <w:tr>
        <w:trPr/>
        <w:tc>
          <w:tcPr>
            <w:tcW w:w="80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receivable,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1,027</w:t>
            </w:r>
          </w:p>
        </w:tc>
        <w:tc>
          <w:tcPr>
            <w:tcW w:w="102" w:type="dxa"/>
            <w:tcBorders/>
            <w:shd w:fill="CCEEFF" w:val="clear"/>
            <w:vAlign w:val="center"/>
          </w:tcPr>
          <w:p>
            <w:pPr>
              <w:pStyle w:val="TableContents"/>
              <w:bidi w:val="0"/>
              <w:spacing w:before="0" w:after="283"/>
              <w:jc w:val="left"/>
              <w:rPr/>
            </w:pPr>
            <w:r>
              <w:rPr/>
              <w:t> </w:t>
            </w:r>
            <w:bookmarkStart w:id="39" w:name="xdx_404_eus-gaap--InventoryNet_i02I_maCz"/>
            <w:bookmarkEnd w:id="39"/>
          </w:p>
        </w:tc>
      </w:tr>
      <w:tr>
        <w:trPr/>
        <w:tc>
          <w:tcPr>
            <w:tcW w:w="80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Inventories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1,631</w:t>
            </w:r>
          </w:p>
        </w:tc>
        <w:tc>
          <w:tcPr>
            <w:tcW w:w="102" w:type="dxa"/>
            <w:tcBorders/>
            <w:shd w:fill="FFFFFF" w:val="clear"/>
            <w:vAlign w:val="center"/>
          </w:tcPr>
          <w:p>
            <w:pPr>
              <w:pStyle w:val="TableContents"/>
              <w:bidi w:val="0"/>
              <w:spacing w:before="0" w:after="283"/>
              <w:jc w:val="left"/>
              <w:rPr/>
            </w:pPr>
            <w:r>
              <w:rPr/>
              <w:t> </w:t>
            </w:r>
            <w:bookmarkStart w:id="40" w:name="xdx_405_eus-gaap--PrepaidExpenseAndOther"/>
            <w:bookmarkEnd w:id="40"/>
          </w:p>
        </w:tc>
      </w:tr>
      <w:tr>
        <w:trPr/>
        <w:tc>
          <w:tcPr>
            <w:tcW w:w="80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1,397</w:t>
            </w:r>
          </w:p>
        </w:tc>
        <w:tc>
          <w:tcPr>
            <w:tcW w:w="102" w:type="dxa"/>
            <w:tcBorders/>
            <w:shd w:fill="CCEEFF" w:val="clear"/>
            <w:vAlign w:val="center"/>
          </w:tcPr>
          <w:p>
            <w:pPr>
              <w:pStyle w:val="TableContents"/>
              <w:bidi w:val="0"/>
              <w:spacing w:before="0" w:after="283"/>
              <w:jc w:val="left"/>
              <w:rPr/>
            </w:pPr>
            <w:r>
              <w:rPr/>
              <w:t> </w:t>
            </w:r>
            <w:bookmarkStart w:id="41" w:name="xdx_40D_eus-gaap--AssetsCurrent_i02TI_mt"/>
            <w:bookmarkEnd w:id="41"/>
          </w:p>
        </w:tc>
      </w:tr>
      <w:tr>
        <w:trPr/>
        <w:tc>
          <w:tcPr>
            <w:tcW w:w="80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15,666</w:t>
            </w:r>
          </w:p>
        </w:tc>
        <w:tc>
          <w:tcPr>
            <w:tcW w:w="102" w:type="dxa"/>
            <w:tcBorders/>
            <w:shd w:fill="FFFFFF" w:val="clear"/>
            <w:vAlign w:val="center"/>
          </w:tcPr>
          <w:p>
            <w:pPr>
              <w:pStyle w:val="TableContents"/>
              <w:bidi w:val="0"/>
              <w:spacing w:before="0" w:after="283"/>
              <w:jc w:val="left"/>
              <w:rPr/>
            </w:pPr>
            <w:r>
              <w:rPr/>
              <w:t> </w:t>
            </w:r>
          </w:p>
        </w:tc>
      </w:tr>
      <w:tr>
        <w:trPr/>
        <w:tc>
          <w:tcPr>
            <w:tcW w:w="808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bookmarkStart w:id="42" w:name="xdx_400_eus-gaap--PropertyPlantAndEquipm"/>
            <w:bookmarkEnd w:id="42"/>
          </w:p>
        </w:tc>
      </w:tr>
      <w:tr>
        <w:trPr/>
        <w:tc>
          <w:tcPr>
            <w:tcW w:w="80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and equipment,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382</w:t>
            </w:r>
          </w:p>
        </w:tc>
        <w:tc>
          <w:tcPr>
            <w:tcW w:w="102" w:type="dxa"/>
            <w:tcBorders/>
            <w:shd w:fill="FFFFFF" w:val="clear"/>
            <w:vAlign w:val="center"/>
          </w:tcPr>
          <w:p>
            <w:pPr>
              <w:pStyle w:val="TableContents"/>
              <w:bidi w:val="0"/>
              <w:spacing w:before="0" w:after="283"/>
              <w:jc w:val="left"/>
              <w:rPr/>
            </w:pPr>
            <w:r>
              <w:rPr/>
              <w:t> </w:t>
            </w:r>
            <w:bookmarkStart w:id="43" w:name="xdx_40A_eus-gaap--OperatingLeaseRightOfU"/>
            <w:bookmarkEnd w:id="43"/>
          </w:p>
        </w:tc>
      </w:tr>
      <w:tr>
        <w:trPr/>
        <w:tc>
          <w:tcPr>
            <w:tcW w:w="80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right-of-use assets,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2,565</w:t>
            </w:r>
          </w:p>
        </w:tc>
        <w:tc>
          <w:tcPr>
            <w:tcW w:w="102" w:type="dxa"/>
            <w:tcBorders/>
            <w:shd w:fill="CCEEFF" w:val="clear"/>
            <w:vAlign w:val="center"/>
          </w:tcPr>
          <w:p>
            <w:pPr>
              <w:pStyle w:val="TableContents"/>
              <w:bidi w:val="0"/>
              <w:spacing w:before="0" w:after="283"/>
              <w:jc w:val="left"/>
              <w:rPr/>
            </w:pPr>
            <w:r>
              <w:rPr/>
              <w:t> </w:t>
            </w:r>
            <w:bookmarkStart w:id="44" w:name="xdx_400_eus-gaap--OtherAssetsNoncurrent_"/>
            <w:bookmarkEnd w:id="44"/>
          </w:p>
        </w:tc>
      </w:tr>
      <w:tr>
        <w:trPr/>
        <w:tc>
          <w:tcPr>
            <w:tcW w:w="80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assets,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c>
          <w:tcPr>
            <w:tcW w:w="102" w:type="dxa"/>
            <w:tcBorders/>
            <w:shd w:fill="FFFFFF" w:val="clear"/>
            <w:vAlign w:val="center"/>
          </w:tcPr>
          <w:p>
            <w:pPr>
              <w:pStyle w:val="TableContents"/>
              <w:bidi w:val="0"/>
              <w:spacing w:before="0" w:after="283"/>
              <w:jc w:val="left"/>
              <w:rPr/>
            </w:pPr>
            <w:r>
              <w:rPr/>
              <w:t> </w:t>
            </w:r>
            <w:bookmarkStart w:id="45" w:name="xdx_408_eus-gaap--Assets_i01TI_mtCzysT_z"/>
            <w:bookmarkEnd w:id="45"/>
          </w:p>
        </w:tc>
      </w:tr>
      <w:tr>
        <w:trPr/>
        <w:tc>
          <w:tcPr>
            <w:tcW w:w="80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15,482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18,667</w:t>
            </w:r>
          </w:p>
        </w:tc>
        <w:tc>
          <w:tcPr>
            <w:tcW w:w="102" w:type="dxa"/>
            <w:tcBorders/>
            <w:shd w:fill="CCEEFF" w:val="clear"/>
            <w:vAlign w:val="center"/>
          </w:tcPr>
          <w:p>
            <w:pPr>
              <w:pStyle w:val="TableContents"/>
              <w:bidi w:val="0"/>
              <w:spacing w:before="0" w:after="283"/>
              <w:jc w:val="left"/>
              <w:rPr/>
            </w:pPr>
            <w:r>
              <w:rPr/>
              <w:t> </w:t>
            </w:r>
            <w:bookmarkStart w:id="46" w:name="xdx_40D_eus-gaap--LiabilitiesAndStockhol"/>
            <w:bookmarkEnd w:id="46"/>
          </w:p>
        </w:tc>
      </w:tr>
      <w:tr>
        <w:trPr/>
        <w:tc>
          <w:tcPr>
            <w:tcW w:w="8089"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Liabilities and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bookmarkStart w:id="47" w:name="xdx_408_eus-gaap--LiabilitiesCurrentAbst"/>
            <w:bookmarkEnd w:id="47"/>
          </w:p>
        </w:tc>
      </w:tr>
      <w:tr>
        <w:trPr/>
        <w:tc>
          <w:tcPr>
            <w:tcW w:w="80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bookmarkStart w:id="48" w:name="xdx_404_eus-gaap--AccountsPayableCurrent"/>
            <w:bookmarkEnd w:id="48"/>
          </w:p>
        </w:tc>
      </w:tr>
      <w:tr>
        <w:trPr/>
        <w:tc>
          <w:tcPr>
            <w:tcW w:w="80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2,712</w:t>
            </w:r>
          </w:p>
        </w:tc>
        <w:tc>
          <w:tcPr>
            <w:tcW w:w="102" w:type="dxa"/>
            <w:tcBorders/>
            <w:shd w:fill="FFFFFF" w:val="clear"/>
            <w:vAlign w:val="center"/>
          </w:tcPr>
          <w:p>
            <w:pPr>
              <w:pStyle w:val="TableContents"/>
              <w:bidi w:val="0"/>
              <w:spacing w:before="0" w:after="283"/>
              <w:jc w:val="left"/>
              <w:rPr/>
            </w:pPr>
            <w:r>
              <w:rPr/>
              <w:t> </w:t>
            </w:r>
            <w:bookmarkStart w:id="49" w:name="xdx_40B_eus-gaap--AccruedLiabilitiesCurr"/>
            <w:bookmarkEnd w:id="49"/>
          </w:p>
        </w:tc>
      </w:tr>
      <w:tr>
        <w:trPr/>
        <w:tc>
          <w:tcPr>
            <w:tcW w:w="80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8,261</w:t>
            </w:r>
          </w:p>
        </w:tc>
        <w:tc>
          <w:tcPr>
            <w:tcW w:w="102" w:type="dxa"/>
            <w:tcBorders/>
            <w:shd w:fill="CCEEFF" w:val="clear"/>
            <w:vAlign w:val="center"/>
          </w:tcPr>
          <w:p>
            <w:pPr>
              <w:pStyle w:val="TableContents"/>
              <w:bidi w:val="0"/>
              <w:spacing w:before="0" w:after="283"/>
              <w:jc w:val="left"/>
              <w:rPr/>
            </w:pPr>
            <w:r>
              <w:rPr/>
              <w:t> </w:t>
            </w:r>
            <w:bookmarkStart w:id="50" w:name="xdx_40F_eus-gaap--ShortTermBorrowings_i0"/>
            <w:bookmarkEnd w:id="50"/>
          </w:p>
        </w:tc>
      </w:tr>
      <w:tr>
        <w:trPr/>
        <w:tc>
          <w:tcPr>
            <w:tcW w:w="80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Current portion of debt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bookmarkStart w:id="51" w:name="xdx_40B_eus-gaap--OperatingLeaseLiabilit"/>
            <w:bookmarkEnd w:id="51"/>
          </w:p>
        </w:tc>
      </w:tr>
      <w:tr>
        <w:trPr/>
        <w:tc>
          <w:tcPr>
            <w:tcW w:w="80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Current portion of operating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375</w:t>
            </w:r>
          </w:p>
        </w:tc>
        <w:tc>
          <w:tcPr>
            <w:tcW w:w="102" w:type="dxa"/>
            <w:tcBorders/>
            <w:shd w:fill="CCEEFF" w:val="clear"/>
            <w:vAlign w:val="center"/>
          </w:tcPr>
          <w:p>
            <w:pPr>
              <w:pStyle w:val="TableContents"/>
              <w:bidi w:val="0"/>
              <w:spacing w:before="0" w:after="283"/>
              <w:jc w:val="left"/>
              <w:rPr/>
            </w:pPr>
            <w:r>
              <w:rPr/>
              <w:t> </w:t>
            </w:r>
            <w:bookmarkStart w:id="52" w:name="xdx_402_eus-gaap--LiabilitiesCurrent_i02"/>
            <w:bookmarkEnd w:id="52"/>
          </w:p>
        </w:tc>
      </w:tr>
      <w:tr>
        <w:trPr/>
        <w:tc>
          <w:tcPr>
            <w:tcW w:w="80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12,313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11,348</w:t>
            </w:r>
          </w:p>
        </w:tc>
        <w:tc>
          <w:tcPr>
            <w:tcW w:w="102" w:type="dxa"/>
            <w:tcBorders/>
            <w:shd w:fill="FFFFFF" w:val="clear"/>
            <w:vAlign w:val="center"/>
          </w:tcPr>
          <w:p>
            <w:pPr>
              <w:pStyle w:val="TableContents"/>
              <w:bidi w:val="0"/>
              <w:spacing w:before="0" w:after="283"/>
              <w:jc w:val="left"/>
              <w:rPr/>
            </w:pPr>
            <w:r>
              <w:rPr/>
              <w:t> </w:t>
            </w:r>
            <w:bookmarkStart w:id="53" w:name="xdx_406_eus-gaap--LiabilitiesNoncurrentA"/>
            <w:bookmarkEnd w:id="53"/>
          </w:p>
        </w:tc>
      </w:tr>
      <w:tr>
        <w:trPr/>
        <w:tc>
          <w:tcPr>
            <w:tcW w:w="80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bookmarkStart w:id="54" w:name="xdx_40D_eus-gaap--OperatingLeaseLiabilit"/>
            <w:bookmarkEnd w:id="54"/>
          </w:p>
        </w:tc>
      </w:tr>
      <w:tr>
        <w:trPr/>
        <w:tc>
          <w:tcPr>
            <w:tcW w:w="80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liabilities, noncurrent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2,421</w:t>
            </w:r>
          </w:p>
        </w:tc>
        <w:tc>
          <w:tcPr>
            <w:tcW w:w="102" w:type="dxa"/>
            <w:tcBorders/>
            <w:shd w:fill="FFFFFF" w:val="clear"/>
            <w:vAlign w:val="center"/>
          </w:tcPr>
          <w:p>
            <w:pPr>
              <w:pStyle w:val="TableContents"/>
              <w:bidi w:val="0"/>
              <w:spacing w:before="0" w:after="283"/>
              <w:jc w:val="left"/>
              <w:rPr/>
            </w:pPr>
            <w:r>
              <w:rPr/>
              <w:t> </w:t>
            </w:r>
            <w:bookmarkStart w:id="55" w:name="xdx_405_eus-gaap--LongTermDebtNoncurrent"/>
            <w:bookmarkEnd w:id="55"/>
          </w:p>
        </w:tc>
      </w:tr>
      <w:tr>
        <w:trPr/>
        <w:tc>
          <w:tcPr>
            <w:tcW w:w="80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Long-term debt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6,607</w:t>
            </w:r>
          </w:p>
        </w:tc>
        <w:tc>
          <w:tcPr>
            <w:tcW w:w="102" w:type="dxa"/>
            <w:tcBorders/>
            <w:shd w:fill="CCEEFF" w:val="clear"/>
            <w:vAlign w:val="center"/>
          </w:tcPr>
          <w:p>
            <w:pPr>
              <w:pStyle w:val="TableContents"/>
              <w:bidi w:val="0"/>
              <w:spacing w:before="0" w:after="283"/>
              <w:jc w:val="left"/>
              <w:rPr/>
            </w:pPr>
            <w:r>
              <w:rPr/>
              <w:t> </w:t>
            </w:r>
            <w:bookmarkStart w:id="56" w:name="xdx_406_eus-gaap--Liabilities_i01TI_mtCz"/>
            <w:bookmarkEnd w:id="56"/>
          </w:p>
        </w:tc>
      </w:tr>
      <w:tr>
        <w:trPr/>
        <w:tc>
          <w:tcPr>
            <w:tcW w:w="80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21,170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20,376</w:t>
            </w:r>
          </w:p>
        </w:tc>
        <w:tc>
          <w:tcPr>
            <w:tcW w:w="102" w:type="dxa"/>
            <w:tcBorders/>
            <w:shd w:fill="FFFFFF" w:val="clear"/>
            <w:vAlign w:val="center"/>
          </w:tcPr>
          <w:p>
            <w:pPr>
              <w:pStyle w:val="TableContents"/>
              <w:bidi w:val="0"/>
              <w:spacing w:before="0" w:after="283"/>
              <w:jc w:val="left"/>
              <w:rPr/>
            </w:pPr>
            <w:r>
              <w:rPr/>
              <w:t> </w:t>
            </w:r>
            <w:bookmarkStart w:id="57" w:name="xdx_40F_eus-gaap--CommitmentsAndContinge"/>
            <w:bookmarkEnd w:id="57"/>
          </w:p>
        </w:tc>
      </w:tr>
      <w:tr>
        <w:trPr/>
        <w:tc>
          <w:tcPr>
            <w:tcW w:w="80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Commitments and contingencies (see Note 15)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bookmarkStart w:id="58" w:name="xdx_402_eus-gaap--StockholdersEquityAbst"/>
            <w:bookmarkEnd w:id="58"/>
          </w:p>
        </w:tc>
      </w:tr>
      <w:tr>
        <w:trPr/>
        <w:tc>
          <w:tcPr>
            <w:tcW w:w="80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Stockholders’ deficit: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bookmarkStart w:id="59" w:name="xdx_40C_eus-gaap--CommonStockValue_i02I_"/>
            <w:bookmarkEnd w:id="59"/>
          </w:p>
        </w:tc>
      </w:tr>
      <w:tr>
        <w:trPr/>
        <w:tc>
          <w:tcPr>
            <w:tcW w:w="80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Stock, par value $</w:t>
            </w:r>
            <w:bookmarkStart w:id="60" w:name="xdx_902_eus-gaap--CommonStockParOrStated"/>
            <w:bookmarkStart w:id="61" w:name="xdx_90C_eus-gaap--CommonStockParOrStated"/>
            <w:bookmarkEnd w:id="60"/>
            <w:bookmarkEnd w:id="61"/>
            <w:r>
              <w:rPr>
                <w:rFonts w:ascii="Times New Roman;Times;Serif" w:hAnsi="Times New Roman;Times;Serif"/>
                <w:sz w:val="20"/>
              </w:rPr>
              <w:t xml:space="preserve">0.001 per share; </w:t>
            </w:r>
            <w:bookmarkStart w:id="62" w:name="xdx_90E_eus-gaap--CommonStockSharesAutho"/>
            <w:bookmarkStart w:id="63" w:name="xdx_90B_eus-gaap--CommonStockSharesAutho"/>
            <w:bookmarkEnd w:id="62"/>
            <w:bookmarkEnd w:id="63"/>
            <w:r>
              <w:rPr>
                <w:rFonts w:ascii="Times New Roman;Times;Serif" w:hAnsi="Times New Roman;Times;Serif"/>
                <w:sz w:val="20"/>
              </w:rPr>
              <w:t xml:space="preserve">500,000,000 shares authorized as of March 31, 2026 and December 31, 2025; </w:t>
            </w:r>
            <w:bookmarkStart w:id="64" w:name="xdx_902_eus-gaap--CommonStockSharesOutst"/>
            <w:bookmarkStart w:id="65" w:name="xdx_90A_eus-gaap--CommonStockSharesIssue"/>
            <w:bookmarkEnd w:id="64"/>
            <w:bookmarkEnd w:id="65"/>
            <w:r>
              <w:rPr>
                <w:rFonts w:ascii="Times New Roman;Times;Serif" w:hAnsi="Times New Roman;Times;Serif"/>
                <w:sz w:val="20"/>
              </w:rPr>
              <w:t xml:space="preserve">8,125,613 shares issued and outstanding at March 31, 2026, and </w:t>
            </w:r>
            <w:bookmarkStart w:id="66" w:name="xdx_907_eus-gaap--CommonStockSharesOutst"/>
            <w:bookmarkStart w:id="67" w:name="xdx_904_eus-gaap--CommonStockSharesIssue"/>
            <w:bookmarkEnd w:id="66"/>
            <w:bookmarkEnd w:id="67"/>
            <w:r>
              <w:rPr>
                <w:rFonts w:ascii="Times New Roman;Times;Serif" w:hAnsi="Times New Roman;Times;Serif"/>
                <w:sz w:val="20"/>
              </w:rPr>
              <w:t>8,004,416 shares issued and outstanding at December 31, 2025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c>
          <w:tcPr>
            <w:tcW w:w="102" w:type="dxa"/>
            <w:tcBorders/>
            <w:shd w:fill="CCEEFF" w:val="clear"/>
            <w:vAlign w:val="center"/>
          </w:tcPr>
          <w:p>
            <w:pPr>
              <w:pStyle w:val="TableContents"/>
              <w:bidi w:val="0"/>
              <w:spacing w:before="0" w:after="283"/>
              <w:jc w:val="left"/>
              <w:rPr/>
            </w:pPr>
            <w:r>
              <w:rPr/>
              <w:t> </w:t>
            </w:r>
            <w:bookmarkStart w:id="68" w:name="xdx_407_eus-gaap--AdditionalPaidInCapita"/>
            <w:bookmarkEnd w:id="68"/>
          </w:p>
        </w:tc>
      </w:tr>
      <w:tr>
        <w:trPr/>
        <w:tc>
          <w:tcPr>
            <w:tcW w:w="80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190,695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189,240</w:t>
            </w:r>
          </w:p>
        </w:tc>
        <w:tc>
          <w:tcPr>
            <w:tcW w:w="102" w:type="dxa"/>
            <w:tcBorders/>
            <w:shd w:fill="FFFFFF" w:val="clear"/>
            <w:vAlign w:val="center"/>
          </w:tcPr>
          <w:p>
            <w:pPr>
              <w:pStyle w:val="TableContents"/>
              <w:bidi w:val="0"/>
              <w:spacing w:before="0" w:after="283"/>
              <w:jc w:val="left"/>
              <w:rPr/>
            </w:pPr>
            <w:r>
              <w:rPr/>
              <w:t> </w:t>
            </w:r>
            <w:bookmarkStart w:id="69" w:name="xdx_406_eus-gaap--RetainedEarningsAccumu"/>
            <w:bookmarkEnd w:id="69"/>
          </w:p>
        </w:tc>
      </w:tr>
      <w:tr>
        <w:trPr/>
        <w:tc>
          <w:tcPr>
            <w:tcW w:w="80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Accumulated deficit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(196,327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(191,056</w:t>
            </w:r>
          </w:p>
        </w:tc>
        <w:tc>
          <w:tcPr>
            <w:tcW w:w="10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0" w:name="xdx_40A_eus-gaap--AccumulatedOtherCompre"/>
            <w:bookmarkEnd w:id="70"/>
          </w:p>
        </w:tc>
      </w:tr>
      <w:tr>
        <w:trPr/>
        <w:tc>
          <w:tcPr>
            <w:tcW w:w="80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Accumulated other comprehensive (loss) income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w:t>
            </w:r>
          </w:p>
        </w:tc>
        <w:tc>
          <w:tcPr>
            <w:tcW w:w="102" w:type="dxa"/>
            <w:tcBorders/>
            <w:shd w:fill="FFFFFF" w:val="clear"/>
            <w:vAlign w:val="center"/>
          </w:tcPr>
          <w:p>
            <w:pPr>
              <w:pStyle w:val="TableContents"/>
              <w:bidi w:val="0"/>
              <w:spacing w:before="0" w:after="283"/>
              <w:jc w:val="left"/>
              <w:rPr/>
            </w:pPr>
            <w:r>
              <w:rPr/>
              <w:t> </w:t>
            </w:r>
            <w:bookmarkStart w:id="71" w:name="xdx_40B_eus-gaap--StockholdersEquity_i01"/>
            <w:bookmarkEnd w:id="71"/>
          </w:p>
        </w:tc>
      </w:tr>
      <w:tr>
        <w:trPr/>
        <w:tc>
          <w:tcPr>
            <w:tcW w:w="80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stockholders’ deficit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(5,688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(1,709</w:t>
            </w:r>
          </w:p>
        </w:tc>
        <w:tc>
          <w:tcPr>
            <w:tcW w:w="10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2" w:name="xdx_40D_eus-gaap--LiabilitiesAndStockhol"/>
            <w:bookmarkEnd w:id="72"/>
          </w:p>
        </w:tc>
      </w:tr>
      <w:tr>
        <w:trPr/>
        <w:tc>
          <w:tcPr>
            <w:tcW w:w="80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liabilities and stockholders’ deficit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15,482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18,667</w:t>
            </w:r>
          </w:p>
        </w:tc>
        <w:tc>
          <w:tcPr>
            <w:tcW w:w="102"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the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ELECTROCORE,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3" w:name="JA_003"/>
      <w:bookmarkEnd w:id="73"/>
      <w:r>
        <w:rPr>
          <w:rFonts w:ascii="Times New Roman;Times;Serif" w:hAnsi="Times New Roman;Times;Serif"/>
          <w:b/>
          <w:i w:val="false"/>
          <w:caps w:val="false"/>
          <w:smallCaps w:val="false"/>
          <w:sz w:val="20"/>
        </w:rPr>
        <w:t>Condensed Consolidated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per share data)</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4" w:name="xdx_30B_113_pn3n3_zXj0TXkaNgSa"/>
      <w:bookmarkStart w:id="75" w:name="xdx_30B_113_pn3n3_zXj0TXkaNgSa"/>
      <w:bookmarkEnd w:id="75"/>
    </w:p>
    <w:tbl>
      <w:tblPr>
        <w:tblW w:w="9246" w:type="dxa"/>
        <w:jc w:val="left"/>
        <w:tblInd w:w="0" w:type="dxa"/>
        <w:tblLayout w:type="fixed"/>
        <w:tblCellMar>
          <w:top w:w="0" w:type="dxa"/>
          <w:left w:w="0" w:type="dxa"/>
          <w:bottom w:w="0" w:type="dxa"/>
          <w:right w:w="0" w:type="dxa"/>
        </w:tblCellMar>
      </w:tblPr>
      <w:tblGrid>
        <w:gridCol w:w="6530"/>
        <w:gridCol w:w="60"/>
        <w:gridCol w:w="205"/>
        <w:gridCol w:w="968"/>
        <w:gridCol w:w="131"/>
        <w:gridCol w:w="98"/>
        <w:gridCol w:w="205"/>
        <w:gridCol w:w="894"/>
        <w:gridCol w:w="155"/>
      </w:tblGrid>
      <w:tr>
        <w:trPr/>
        <w:tc>
          <w:tcPr>
            <w:tcW w:w="6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6" w:name="xdx_49B_20260101__20260331_zQvMWhPS1xa5"/>
            <w:bookmarkEnd w:id="76"/>
          </w:p>
        </w:tc>
        <w:tc>
          <w:tcPr>
            <w:tcW w:w="1304"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98" w:type="dxa"/>
            <w:tcBorders/>
            <w:vAlign w:val="center"/>
          </w:tcPr>
          <w:p>
            <w:pPr>
              <w:pStyle w:val="TableContents"/>
              <w:bidi w:val="0"/>
              <w:spacing w:before="0" w:after="283"/>
              <w:jc w:val="left"/>
              <w:rPr/>
            </w:pPr>
            <w:r>
              <w:rPr/>
              <w:t> </w:t>
            </w:r>
            <w:bookmarkStart w:id="77" w:name="xdx_495_20250101__20250331_zWMcBWwol0W3"/>
            <w:bookmarkEnd w:id="77"/>
          </w:p>
        </w:tc>
        <w:tc>
          <w:tcPr>
            <w:tcW w:w="1254"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r>
      <w:tr>
        <w:trPr/>
        <w:tc>
          <w:tcPr>
            <w:tcW w:w="6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6"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Three months ended March 31,</w:t>
            </w:r>
          </w:p>
        </w:tc>
      </w:tr>
      <w:tr>
        <w:trPr/>
        <w:tc>
          <w:tcPr>
            <w:tcW w:w="6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4"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98" w:type="dxa"/>
            <w:tcBorders/>
            <w:vAlign w:val="center"/>
          </w:tcPr>
          <w:p>
            <w:pPr>
              <w:pStyle w:val="TableContents"/>
              <w:bidi w:val="0"/>
              <w:spacing w:before="0" w:after="283"/>
              <w:jc w:val="left"/>
              <w:rPr/>
            </w:pPr>
            <w:r>
              <w:rPr/>
              <w:t> </w:t>
            </w:r>
          </w:p>
        </w:tc>
        <w:tc>
          <w:tcPr>
            <w:tcW w:w="1254"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bookmarkStart w:id="78" w:name="xdx_407_eus-gaap--RevenueFromContractWit"/>
            <w:bookmarkEnd w:id="78"/>
          </w:p>
        </w:tc>
      </w:tr>
      <w:tr>
        <w:trPr/>
        <w:tc>
          <w:tcPr>
            <w:tcW w:w="6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sales</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9,584</w:t>
            </w:r>
          </w:p>
        </w:tc>
        <w:tc>
          <w:tcPr>
            <w:tcW w:w="131"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6,719</w:t>
            </w:r>
          </w:p>
        </w:tc>
        <w:tc>
          <w:tcPr>
            <w:tcW w:w="155" w:type="dxa"/>
            <w:tcBorders/>
            <w:shd w:fill="CCEEFF" w:val="clear"/>
            <w:vAlign w:val="center"/>
          </w:tcPr>
          <w:p>
            <w:pPr>
              <w:pStyle w:val="TableContents"/>
              <w:bidi w:val="0"/>
              <w:spacing w:before="0" w:after="283"/>
              <w:jc w:val="left"/>
              <w:rPr/>
            </w:pPr>
            <w:r>
              <w:rPr/>
              <w:t> </w:t>
            </w:r>
            <w:bookmarkStart w:id="79" w:name="xdx_407_eus-gaap--CostOfGoodsAndServices"/>
            <w:bookmarkEnd w:id="79"/>
          </w:p>
        </w:tc>
      </w:tr>
      <w:tr>
        <w:trPr/>
        <w:tc>
          <w:tcPr>
            <w:tcW w:w="6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1,220</w:t>
            </w:r>
          </w:p>
        </w:tc>
        <w:tc>
          <w:tcPr>
            <w:tcW w:w="131"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1,013</w:t>
            </w:r>
          </w:p>
        </w:tc>
        <w:tc>
          <w:tcPr>
            <w:tcW w:w="155" w:type="dxa"/>
            <w:tcBorders/>
            <w:shd w:fill="FFFFFF" w:val="clear"/>
            <w:vAlign w:val="center"/>
          </w:tcPr>
          <w:p>
            <w:pPr>
              <w:pStyle w:val="TableContents"/>
              <w:bidi w:val="0"/>
              <w:spacing w:before="0" w:after="283"/>
              <w:jc w:val="left"/>
              <w:rPr/>
            </w:pPr>
            <w:r>
              <w:rPr/>
              <w:t> </w:t>
            </w:r>
            <w:bookmarkStart w:id="80" w:name="xdx_407_eus-gaap--GrossProfit_iT_mtCz01m"/>
            <w:bookmarkEnd w:id="80"/>
          </w:p>
        </w:tc>
      </w:tr>
      <w:tr>
        <w:trPr/>
        <w:tc>
          <w:tcPr>
            <w:tcW w:w="6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Gross profit</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8,364</w:t>
            </w:r>
          </w:p>
        </w:tc>
        <w:tc>
          <w:tcPr>
            <w:tcW w:w="131"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5,706</w:t>
            </w:r>
          </w:p>
        </w:tc>
        <w:tc>
          <w:tcPr>
            <w:tcW w:w="155" w:type="dxa"/>
            <w:tcBorders/>
            <w:shd w:fill="CCEEFF" w:val="clear"/>
            <w:vAlign w:val="center"/>
          </w:tcPr>
          <w:p>
            <w:pPr>
              <w:pStyle w:val="TableContents"/>
              <w:bidi w:val="0"/>
              <w:spacing w:before="0" w:after="283"/>
              <w:jc w:val="left"/>
              <w:rPr/>
            </w:pPr>
            <w:r>
              <w:rPr/>
              <w:t> </w:t>
            </w:r>
            <w:bookmarkStart w:id="81" w:name="xdx_408_eus-gaap--OperatingExpensesAbstr"/>
            <w:bookmarkEnd w:id="81"/>
          </w:p>
        </w:tc>
      </w:tr>
      <w:tr>
        <w:trPr/>
        <w:tc>
          <w:tcPr>
            <w:tcW w:w="6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 </w:t>
            </w:r>
          </w:p>
        </w:tc>
        <w:tc>
          <w:tcPr>
            <w:tcW w:w="131"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bookmarkStart w:id="82" w:name="xdx_405_eus-gaap--ResearchAndDevelopment"/>
            <w:bookmarkEnd w:id="82"/>
          </w:p>
        </w:tc>
      </w:tr>
      <w:tr>
        <w:trPr/>
        <w:tc>
          <w:tcPr>
            <w:tcW w:w="6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740</w:t>
            </w:r>
          </w:p>
        </w:tc>
        <w:tc>
          <w:tcPr>
            <w:tcW w:w="131"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642</w:t>
            </w:r>
          </w:p>
        </w:tc>
        <w:tc>
          <w:tcPr>
            <w:tcW w:w="155" w:type="dxa"/>
            <w:tcBorders/>
            <w:shd w:fill="CCEEFF" w:val="clear"/>
            <w:vAlign w:val="center"/>
          </w:tcPr>
          <w:p>
            <w:pPr>
              <w:pStyle w:val="TableContents"/>
              <w:bidi w:val="0"/>
              <w:spacing w:before="0" w:after="283"/>
              <w:jc w:val="left"/>
              <w:rPr/>
            </w:pPr>
            <w:r>
              <w:rPr/>
              <w:t> </w:t>
            </w:r>
            <w:bookmarkStart w:id="83" w:name="xdx_409_eus-gaap--SellingGeneralAndAdmin"/>
            <w:bookmarkEnd w:id="83"/>
          </w:p>
        </w:tc>
      </w:tr>
      <w:tr>
        <w:trPr/>
        <w:tc>
          <w:tcPr>
            <w:tcW w:w="6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12,940</w:t>
            </w:r>
          </w:p>
        </w:tc>
        <w:tc>
          <w:tcPr>
            <w:tcW w:w="131"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8,886</w:t>
            </w:r>
          </w:p>
        </w:tc>
        <w:tc>
          <w:tcPr>
            <w:tcW w:w="155" w:type="dxa"/>
            <w:tcBorders/>
            <w:shd w:fill="FFFFFF" w:val="clear"/>
            <w:vAlign w:val="center"/>
          </w:tcPr>
          <w:p>
            <w:pPr>
              <w:pStyle w:val="TableContents"/>
              <w:bidi w:val="0"/>
              <w:spacing w:before="0" w:after="283"/>
              <w:jc w:val="left"/>
              <w:rPr/>
            </w:pPr>
            <w:r>
              <w:rPr/>
              <w:t> </w:t>
            </w:r>
            <w:bookmarkStart w:id="84" w:name="xdx_40F_eus-gaap--OperatingExpenses_i01T"/>
            <w:bookmarkEnd w:id="84"/>
          </w:p>
        </w:tc>
      </w:tr>
      <w:tr>
        <w:trPr/>
        <w:tc>
          <w:tcPr>
            <w:tcW w:w="6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13,680</w:t>
            </w:r>
          </w:p>
        </w:tc>
        <w:tc>
          <w:tcPr>
            <w:tcW w:w="131"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9,528</w:t>
            </w:r>
          </w:p>
        </w:tc>
        <w:tc>
          <w:tcPr>
            <w:tcW w:w="155" w:type="dxa"/>
            <w:tcBorders/>
            <w:shd w:fill="CCEEFF" w:val="clear"/>
            <w:vAlign w:val="center"/>
          </w:tcPr>
          <w:p>
            <w:pPr>
              <w:pStyle w:val="TableContents"/>
              <w:bidi w:val="0"/>
              <w:spacing w:before="0" w:after="283"/>
              <w:jc w:val="left"/>
              <w:rPr/>
            </w:pPr>
            <w:r>
              <w:rPr/>
              <w:t> </w:t>
            </w:r>
            <w:bookmarkStart w:id="85" w:name="xdx_403_eus-gaap--OperatingIncomeLoss_i0"/>
            <w:bookmarkEnd w:id="85"/>
          </w:p>
        </w:tc>
      </w:tr>
      <w:tr>
        <w:trPr/>
        <w:tc>
          <w:tcPr>
            <w:tcW w:w="6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from operations</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(5,316</w:t>
            </w:r>
          </w:p>
        </w:tc>
        <w:tc>
          <w:tcPr>
            <w:tcW w:w="13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(3,822</w:t>
            </w:r>
          </w:p>
        </w:tc>
        <w:tc>
          <w:tcPr>
            <w:tcW w:w="1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6" w:name="xdx_401_eus-gaap--NonoperatingIncomeExpe"/>
            <w:bookmarkEnd w:id="86"/>
          </w:p>
        </w:tc>
      </w:tr>
      <w:tr>
        <w:trPr/>
        <w:tc>
          <w:tcPr>
            <w:tcW w:w="6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(income) expense:</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 </w:t>
            </w:r>
          </w:p>
        </w:tc>
        <w:tc>
          <w:tcPr>
            <w:tcW w:w="131"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bookmarkStart w:id="87" w:name="xdx_40D_eus-gaap--InterestAndOtherIncome"/>
            <w:bookmarkEnd w:id="87"/>
          </w:p>
        </w:tc>
      </w:tr>
      <w:tr>
        <w:trPr/>
        <w:tc>
          <w:tcPr>
            <w:tcW w:w="6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and other income</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c>
          <w:tcPr>
            <w:tcW w:w="13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w:t>
            </w:r>
          </w:p>
        </w:tc>
        <w:tc>
          <w:tcPr>
            <w:tcW w:w="1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8" w:name="xdx_406_eus-gaap--InterestExpenseNonoper"/>
            <w:bookmarkEnd w:id="88"/>
          </w:p>
        </w:tc>
      </w:tr>
      <w:tr>
        <w:trPr/>
        <w:tc>
          <w:tcPr>
            <w:tcW w:w="6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expense</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318</w:t>
            </w:r>
          </w:p>
        </w:tc>
        <w:tc>
          <w:tcPr>
            <w:tcW w:w="131"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c>
          <w:tcPr>
            <w:tcW w:w="155" w:type="dxa"/>
            <w:tcBorders/>
            <w:shd w:fill="CCEEFF" w:val="clear"/>
            <w:vAlign w:val="center"/>
          </w:tcPr>
          <w:p>
            <w:pPr>
              <w:pStyle w:val="TableContents"/>
              <w:bidi w:val="0"/>
              <w:spacing w:before="0" w:after="283"/>
              <w:jc w:val="left"/>
              <w:rPr/>
            </w:pPr>
            <w:r>
              <w:rPr/>
              <w:t> </w:t>
            </w:r>
            <w:bookmarkStart w:id="89" w:name="xdx_40B_eus-gaap--OtherNonoperatingExpen"/>
            <w:bookmarkEnd w:id="89"/>
          </w:p>
        </w:tc>
      </w:tr>
      <w:tr>
        <w:trPr/>
        <w:tc>
          <w:tcPr>
            <w:tcW w:w="6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expense</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c>
          <w:tcPr>
            <w:tcW w:w="131"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159</w:t>
            </w:r>
          </w:p>
        </w:tc>
        <w:tc>
          <w:tcPr>
            <w:tcW w:w="155" w:type="dxa"/>
            <w:tcBorders/>
            <w:shd w:fill="FFFFFF" w:val="clear"/>
            <w:vAlign w:val="center"/>
          </w:tcPr>
          <w:p>
            <w:pPr>
              <w:pStyle w:val="TableContents"/>
              <w:bidi w:val="0"/>
              <w:spacing w:before="0" w:after="283"/>
              <w:jc w:val="left"/>
              <w:rPr/>
            </w:pPr>
            <w:r>
              <w:rPr/>
              <w:t> </w:t>
            </w:r>
            <w:bookmarkStart w:id="90" w:name="xdx_406_eus-gaap--OtherNonoperatingIncom"/>
            <w:bookmarkEnd w:id="90"/>
          </w:p>
        </w:tc>
      </w:tr>
      <w:tr>
        <w:trPr/>
        <w:tc>
          <w:tcPr>
            <w:tcW w:w="6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Total other expense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276</w:t>
            </w:r>
          </w:p>
        </w:tc>
        <w:tc>
          <w:tcPr>
            <w:tcW w:w="131"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w:t>
            </w:r>
          </w:p>
        </w:tc>
        <w:tc>
          <w:tcPr>
            <w:tcW w:w="155" w:type="dxa"/>
            <w:tcBorders/>
            <w:shd w:fill="CCEEFF" w:val="clear"/>
            <w:vAlign w:val="center"/>
          </w:tcPr>
          <w:p>
            <w:pPr>
              <w:pStyle w:val="TableContents"/>
              <w:bidi w:val="0"/>
              <w:spacing w:before="0" w:after="283"/>
              <w:jc w:val="left"/>
              <w:rPr>
                <w:sz w:val="4"/>
                <w:szCs w:val="4"/>
              </w:rPr>
            </w:pPr>
            <w:r>
              <w:rPr>
                <w:sz w:val="4"/>
                <w:szCs w:val="4"/>
              </w:rPr>
            </w:r>
            <w:bookmarkStart w:id="91" w:name="xdx_40F_eus-gaap--IncomeLossFromContinui"/>
            <w:bookmarkStart w:id="92" w:name="xdx_40F_eus-gaap--IncomeLossFromContinui"/>
            <w:bookmarkEnd w:id="92"/>
          </w:p>
        </w:tc>
      </w:tr>
      <w:tr>
        <w:trPr/>
        <w:tc>
          <w:tcPr>
            <w:tcW w:w="6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before income taxes</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(5,592</w:t>
            </w:r>
          </w:p>
        </w:tc>
        <w:tc>
          <w:tcPr>
            <w:tcW w:w="13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(3,903</w:t>
            </w:r>
          </w:p>
        </w:tc>
        <w:tc>
          <w:tcPr>
            <w:tcW w:w="1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3" w:name="xdx_403_eus-gaap--IncomeTaxExpenseBenefi"/>
            <w:bookmarkEnd w:id="93"/>
          </w:p>
        </w:tc>
      </w:tr>
      <w:tr>
        <w:trPr/>
        <w:tc>
          <w:tcPr>
            <w:tcW w:w="6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Benefit from income taxes</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321</w:t>
            </w:r>
          </w:p>
        </w:tc>
        <w:tc>
          <w:tcPr>
            <w:tcW w:w="131"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c>
          <w:tcPr>
            <w:tcW w:w="155" w:type="dxa"/>
            <w:tcBorders/>
            <w:shd w:fill="CCEEFF" w:val="clear"/>
            <w:vAlign w:val="center"/>
          </w:tcPr>
          <w:p>
            <w:pPr>
              <w:pStyle w:val="TableContents"/>
              <w:bidi w:val="0"/>
              <w:spacing w:before="0" w:after="283"/>
              <w:jc w:val="left"/>
              <w:rPr/>
            </w:pPr>
            <w:r>
              <w:rPr/>
              <w:t> </w:t>
            </w:r>
            <w:bookmarkStart w:id="94" w:name="xdx_40B_eus-gaap--NetIncomeLoss_iT_mtCzc"/>
            <w:bookmarkEnd w:id="94"/>
          </w:p>
        </w:tc>
      </w:tr>
      <w:tr>
        <w:trPr/>
        <w:tc>
          <w:tcPr>
            <w:tcW w:w="6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FFFFFF" w:val="cle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(5,271</w:t>
            </w:r>
          </w:p>
        </w:tc>
        <w:tc>
          <w:tcPr>
            <w:tcW w:w="13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 w:type="dxa"/>
            <w:tcBorders/>
            <w:shd w:fill="FFFFFF" w:val="cle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(3,855</w:t>
            </w:r>
          </w:p>
        </w:tc>
        <w:tc>
          <w:tcPr>
            <w:tcW w:w="1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 per share of common stock - Basic and Diluted</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8" w:type="dxa"/>
            <w:tcBorders/>
            <w:shd w:fill="CCEEFF" w:val="clear"/>
            <w:vAlign w:val="center"/>
          </w:tcPr>
          <w:p>
            <w:pPr>
              <w:pStyle w:val="TableContents"/>
              <w:bidi w:val="0"/>
              <w:spacing w:before="0" w:after="283"/>
              <w:jc w:val="right"/>
              <w:rPr>
                <w:rFonts w:ascii="Times New Roman;Times;Serif" w:hAnsi="Times New Roman;Times;Serif"/>
                <w:sz w:val="20"/>
              </w:rPr>
            </w:pPr>
            <w:bookmarkStart w:id="95" w:name="xdx_904_eus-gaap--EarningsPerShareDilute"/>
            <w:bookmarkStart w:id="96" w:name="xdx_909_eus-gaap--EarningsPerShareBasic_"/>
            <w:bookmarkEnd w:id="95"/>
            <w:bookmarkEnd w:id="96"/>
            <w:r>
              <w:rPr>
                <w:rFonts w:ascii="Times New Roman;Times;Serif" w:hAnsi="Times New Roman;Times;Serif"/>
                <w:sz w:val="20"/>
              </w:rPr>
              <w:t>(0.59</w:t>
            </w:r>
          </w:p>
        </w:tc>
        <w:tc>
          <w:tcPr>
            <w:tcW w:w="13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4" w:type="dxa"/>
            <w:tcBorders/>
            <w:shd w:fill="CCEEFF" w:val="clear"/>
            <w:vAlign w:val="center"/>
          </w:tcPr>
          <w:p>
            <w:pPr>
              <w:pStyle w:val="TableContents"/>
              <w:bidi w:val="0"/>
              <w:spacing w:before="0" w:after="283"/>
              <w:jc w:val="right"/>
              <w:rPr>
                <w:rFonts w:ascii="Times New Roman;Times;Serif" w:hAnsi="Times New Roman;Times;Serif"/>
                <w:sz w:val="20"/>
              </w:rPr>
            </w:pPr>
            <w:bookmarkStart w:id="97" w:name="xdx_90A_eus-gaap--EarningsPerShareDilute"/>
            <w:bookmarkStart w:id="98" w:name="xdx_90C_eus-gaap--EarningsPerShareBasic_"/>
            <w:bookmarkEnd w:id="97"/>
            <w:bookmarkEnd w:id="98"/>
            <w:r>
              <w:rPr>
                <w:rFonts w:ascii="Times New Roman;Times;Serif" w:hAnsi="Times New Roman;Times;Serif"/>
                <w:sz w:val="20"/>
              </w:rPr>
              <w:t>(0.47</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Weighted average common shares outstanding - Basic and Diluted (see Note 11)</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rFonts w:ascii="Times New Roman;Times;Serif" w:hAnsi="Times New Roman;Times;Serif"/>
                <w:sz w:val="20"/>
              </w:rPr>
            </w:pPr>
            <w:bookmarkStart w:id="99" w:name="xdx_904_eus-gaap--WeightedAverageNumberO"/>
            <w:bookmarkStart w:id="100" w:name="xdx_903_eus-gaap--WeightedAverageNumberO"/>
            <w:bookmarkEnd w:id="99"/>
            <w:bookmarkEnd w:id="100"/>
            <w:r>
              <w:rPr>
                <w:rFonts w:ascii="Times New Roman;Times;Serif" w:hAnsi="Times New Roman;Times;Serif"/>
                <w:sz w:val="20"/>
              </w:rPr>
              <w:t>8,953</w:t>
            </w:r>
          </w:p>
        </w:tc>
        <w:tc>
          <w:tcPr>
            <w:tcW w:w="131"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rFonts w:ascii="Times New Roman;Times;Serif" w:hAnsi="Times New Roman;Times;Serif"/>
                <w:sz w:val="20"/>
              </w:rPr>
            </w:pPr>
            <w:bookmarkStart w:id="101" w:name="xdx_909_eus-gaap--WeightedAverageNumberO"/>
            <w:bookmarkStart w:id="102" w:name="xdx_907_eus-gaap--WeightedAverageNumberO"/>
            <w:bookmarkEnd w:id="101"/>
            <w:bookmarkEnd w:id="102"/>
            <w:r>
              <w:rPr>
                <w:rFonts w:ascii="Times New Roman;Times;Serif" w:hAnsi="Times New Roman;Times;Serif"/>
                <w:sz w:val="20"/>
              </w:rPr>
              <w:t>8,289</w:t>
            </w:r>
          </w:p>
        </w:tc>
        <w:tc>
          <w:tcPr>
            <w:tcW w:w="155"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See accompanying notes to the condensed consolidated financial statements.</w:t>
      </w:r>
    </w:p>
    <w:p>
      <w:pPr>
        <w:pStyle w:val="TextBody"/>
        <w:bidi w:val="0"/>
        <w:spacing w:before="0" w:after="0"/>
        <w:ind w:left="0" w:right="0" w:hanging="0"/>
        <w:jc w:val="center"/>
        <w:rPr>
          <w:caps w:val="false"/>
          <w:smallCaps w:val="false"/>
          <w:shd w:fill="FFFFFF" w:val="clear"/>
        </w:rPr>
      </w:pPr>
      <w:r>
        <w:rPr>
          <w:caps w:val="false"/>
          <w:smallCaps w:val="false"/>
          <w:shd w:fill="FFFFFF" w:val="clea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ELECTROCORE,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3" w:name="JA_004"/>
      <w:bookmarkEnd w:id="103"/>
      <w:r>
        <w:rPr>
          <w:rFonts w:ascii="Times New Roman;Times;Serif" w:hAnsi="Times New Roman;Times;Serif"/>
          <w:b/>
          <w:i w:val="false"/>
          <w:caps w:val="false"/>
          <w:smallCaps w:val="false"/>
          <w:sz w:val="20"/>
        </w:rPr>
        <w:t>Condensed Consolidated Statements of Comprehensive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04" w:name="xdx_306_113_pn3n3_zprUTziO7lpd"/>
      <w:bookmarkStart w:id="105" w:name="xdx_306_113_pn3n3_zprUTziO7lpd"/>
      <w:bookmarkEnd w:id="105"/>
    </w:p>
    <w:tbl>
      <w:tblPr>
        <w:tblW w:w="5993" w:type="dxa"/>
        <w:jc w:val="left"/>
        <w:tblInd w:w="0" w:type="dxa"/>
        <w:tblLayout w:type="fixed"/>
        <w:tblCellMar>
          <w:top w:w="0" w:type="dxa"/>
          <w:left w:w="0" w:type="dxa"/>
          <w:bottom w:w="0" w:type="dxa"/>
          <w:right w:w="0" w:type="dxa"/>
        </w:tblCellMar>
      </w:tblPr>
      <w:tblGrid>
        <w:gridCol w:w="3275"/>
        <w:gridCol w:w="60"/>
        <w:gridCol w:w="211"/>
        <w:gridCol w:w="920"/>
        <w:gridCol w:w="135"/>
        <w:gridCol w:w="101"/>
        <w:gridCol w:w="211"/>
        <w:gridCol w:w="920"/>
        <w:gridCol w:w="160"/>
      </w:tblGrid>
      <w:tr>
        <w:trPr/>
        <w:tc>
          <w:tcPr>
            <w:tcW w:w="3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6" w:name="xdx_497_20260101__20260331_ziys9wYyzJCd"/>
            <w:bookmarkEnd w:id="106"/>
          </w:p>
        </w:tc>
        <w:tc>
          <w:tcPr>
            <w:tcW w:w="1266"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101" w:type="dxa"/>
            <w:tcBorders/>
            <w:vAlign w:val="center"/>
          </w:tcPr>
          <w:p>
            <w:pPr>
              <w:pStyle w:val="TableContents"/>
              <w:bidi w:val="0"/>
              <w:spacing w:before="0" w:after="283"/>
              <w:jc w:val="left"/>
              <w:rPr/>
            </w:pPr>
            <w:r>
              <w:rPr/>
              <w:t> </w:t>
            </w:r>
            <w:bookmarkStart w:id="107" w:name="xdx_497_20250101__20250331_zP4wYOTSkIU4"/>
            <w:bookmarkEnd w:id="107"/>
          </w:p>
        </w:tc>
        <w:tc>
          <w:tcPr>
            <w:tcW w:w="1291"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r>
      <w:tr>
        <w:trPr/>
        <w:tc>
          <w:tcPr>
            <w:tcW w:w="3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8"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Three months ended March 31,</w:t>
            </w:r>
          </w:p>
        </w:tc>
      </w:tr>
      <w:tr>
        <w:trPr/>
        <w:tc>
          <w:tcPr>
            <w:tcW w:w="3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6"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101" w:type="dxa"/>
            <w:tcBorders/>
            <w:vAlign w:val="center"/>
          </w:tcPr>
          <w:p>
            <w:pPr>
              <w:pStyle w:val="TableContents"/>
              <w:bidi w:val="0"/>
              <w:spacing w:before="0" w:after="283"/>
              <w:jc w:val="left"/>
              <w:rPr/>
            </w:pPr>
            <w:r>
              <w:rPr/>
              <w:t> </w:t>
            </w:r>
          </w:p>
        </w:tc>
        <w:tc>
          <w:tcPr>
            <w:tcW w:w="1291"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bookmarkStart w:id="108" w:name="xdx_401_eus-gaap--NetIncomeLoss_pn3n3_ma"/>
            <w:bookmarkEnd w:id="108"/>
          </w:p>
        </w:tc>
      </w:tr>
      <w:tr>
        <w:trPr/>
        <w:tc>
          <w:tcPr>
            <w:tcW w:w="3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(5,271</w:t>
            </w:r>
          </w:p>
        </w:tc>
        <w:tc>
          <w:tcPr>
            <w:tcW w:w="1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(3,855</w:t>
            </w:r>
          </w:p>
        </w:tc>
        <w:tc>
          <w:tcPr>
            <w:tcW w:w="1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09" w:name="xdx_40B_eus-gaap--OtherComprehensiveInco"/>
            <w:bookmarkEnd w:id="109"/>
          </w:p>
        </w:tc>
      </w:tr>
      <w:tr>
        <w:trPr/>
        <w:tc>
          <w:tcPr>
            <w:tcW w:w="32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comprehensive income:</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160" w:type="dxa"/>
            <w:tcBorders/>
            <w:shd w:fill="FFFFFF" w:val="clear"/>
            <w:vAlign w:val="center"/>
          </w:tcPr>
          <w:p>
            <w:pPr>
              <w:pStyle w:val="TableContents"/>
              <w:bidi w:val="0"/>
              <w:spacing w:before="0" w:after="283"/>
              <w:jc w:val="left"/>
              <w:rPr/>
            </w:pPr>
            <w:r>
              <w:rPr/>
              <w:t> </w:t>
            </w:r>
            <w:bookmarkStart w:id="110" w:name="xdx_40C_eus-gaap--OtherComprehensiveInco"/>
            <w:bookmarkEnd w:id="110"/>
          </w:p>
        </w:tc>
      </w:tr>
      <w:tr>
        <w:trPr/>
        <w:tc>
          <w:tcPr>
            <w:tcW w:w="3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(163</w:t>
            </w:r>
          </w:p>
        </w:tc>
        <w:tc>
          <w:tcPr>
            <w:tcW w:w="1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 w:type="dxa"/>
            <w:tcBorders/>
            <w:shd w:fill="CCEEFF" w:val="clear"/>
            <w:vAlign w:val="center"/>
          </w:tcPr>
          <w:p>
            <w:pPr>
              <w:pStyle w:val="TableContents"/>
              <w:bidi w:val="0"/>
              <w:spacing w:before="0" w:after="283"/>
              <w:jc w:val="left"/>
              <w:rPr/>
            </w:pPr>
            <w:r>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c>
          <w:tcPr>
            <w:tcW w:w="1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11" w:name="xdx_406_eus-gaap--OtherComprehensiveInco"/>
            <w:bookmarkEnd w:id="111"/>
          </w:p>
        </w:tc>
      </w:tr>
      <w:tr>
        <w:trPr/>
        <w:tc>
          <w:tcPr>
            <w:tcW w:w="32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comprehensive loss</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(163</w:t>
            </w:r>
          </w:p>
        </w:tc>
        <w:tc>
          <w:tcPr>
            <w:tcW w:w="1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 w:type="dxa"/>
            <w:tcBorders/>
            <w:shd w:fill="FFFFFF" w:val="clear"/>
            <w:vAlign w:val="center"/>
          </w:tcPr>
          <w:p>
            <w:pPr>
              <w:pStyle w:val="TableContents"/>
              <w:bidi w:val="0"/>
              <w:spacing w:before="0" w:after="283"/>
              <w:jc w:val="left"/>
              <w:rPr/>
            </w:pPr>
            <w:r>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c>
          <w:tcPr>
            <w:tcW w:w="1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12" w:name="xdx_401_eus-gaap--ComprehensiveIncomeNet"/>
            <w:bookmarkEnd w:id="112"/>
          </w:p>
        </w:tc>
      </w:tr>
      <w:tr>
        <w:trPr/>
        <w:tc>
          <w:tcPr>
            <w:tcW w:w="32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Comprehensive loss</w:t>
            </w:r>
          </w:p>
        </w:tc>
        <w:tc>
          <w:tcPr>
            <w:tcW w:w="60" w:type="dxa"/>
            <w:tcBorders/>
            <w:shd w:fill="CCEEFF" w:val="cle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(5,434</w:t>
            </w:r>
          </w:p>
        </w:tc>
        <w:tc>
          <w:tcPr>
            <w:tcW w:w="1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 w:type="dxa"/>
            <w:tcBorders/>
            <w:shd w:fill="CCEEFF" w:val="cle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(3,899</w:t>
            </w:r>
          </w:p>
        </w:tc>
        <w:tc>
          <w:tcPr>
            <w:tcW w:w="1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ELECTROCORE,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3" w:name="JA_005"/>
      <w:bookmarkEnd w:id="113"/>
      <w:r>
        <w:rPr>
          <w:rFonts w:ascii="Times New Roman;Times;Serif" w:hAnsi="Times New Roman;Times;Serif"/>
          <w:b/>
          <w:i w:val="false"/>
          <w:caps w:val="false"/>
          <w:smallCaps w:val="false"/>
          <w:sz w:val="20"/>
        </w:rPr>
        <w:t>Condensed Consolidated Statements of Equity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shd w:fill="FFFFFF" w:val="clear"/>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14" w:name="xdx_300_114_pn3n3_zPaKZKOvkwMd"/>
      <w:bookmarkStart w:id="115" w:name="xdx_300_114_pn3n3_zPaKZKOvkwMd"/>
      <w:bookmarkEnd w:id="115"/>
    </w:p>
    <w:tbl>
      <w:tblPr>
        <w:tblW w:w="10205" w:type="dxa"/>
        <w:jc w:val="left"/>
        <w:tblInd w:w="0" w:type="dxa"/>
        <w:tblLayout w:type="fixed"/>
        <w:tblCellMar>
          <w:top w:w="0" w:type="dxa"/>
          <w:left w:w="0" w:type="dxa"/>
          <w:bottom w:w="0" w:type="dxa"/>
          <w:right w:w="0" w:type="dxa"/>
        </w:tblCellMar>
      </w:tblPr>
      <w:tblGrid>
        <w:gridCol w:w="3557"/>
        <w:gridCol w:w="60"/>
        <w:gridCol w:w="64"/>
        <w:gridCol w:w="526"/>
        <w:gridCol w:w="60"/>
        <w:gridCol w:w="60"/>
        <w:gridCol w:w="225"/>
        <w:gridCol w:w="470"/>
        <w:gridCol w:w="60"/>
        <w:gridCol w:w="60"/>
        <w:gridCol w:w="140"/>
        <w:gridCol w:w="780"/>
        <w:gridCol w:w="80"/>
        <w:gridCol w:w="60"/>
        <w:gridCol w:w="160"/>
        <w:gridCol w:w="970"/>
        <w:gridCol w:w="80"/>
        <w:gridCol w:w="60"/>
        <w:gridCol w:w="388"/>
        <w:gridCol w:w="1006"/>
        <w:gridCol w:w="80"/>
        <w:gridCol w:w="60"/>
        <w:gridCol w:w="205"/>
        <w:gridCol w:w="897"/>
        <w:gridCol w:w="97"/>
      </w:tblGrid>
      <w:tr>
        <w:trPr/>
        <w:tc>
          <w:tcPr>
            <w:tcW w:w="35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6" w:name="xdx_4B6_us-gaap--StatementEquityComponen"/>
            <w:bookmarkEnd w:id="116"/>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7" w:name="xdx_4BC_us-gaap--StatementEquityComponen"/>
            <w:bookmarkEnd w:id="117"/>
          </w:p>
        </w:tc>
        <w:tc>
          <w:tcPr>
            <w:tcW w:w="9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capital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8" w:name="xdx_4B1_us-gaap--StatementEquityComponen"/>
            <w:bookmarkEnd w:id="118"/>
          </w:p>
        </w:tc>
        <w:tc>
          <w:tcPr>
            <w:tcW w:w="11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9" w:name="xdx_4B5_us-gaap--StatementEquityComponen"/>
            <w:bookmarkEnd w:id="119"/>
          </w:p>
        </w:tc>
        <w:tc>
          <w:tcPr>
            <w:tcW w:w="13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income (loss)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0" w:name="xdx_4BB_zcolnkVcW1Kb"/>
            <w:bookmarkEnd w:id="120"/>
          </w:p>
        </w:tc>
        <w:tc>
          <w:tcPr>
            <w:tcW w:w="110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(deficit)</w:t>
            </w:r>
          </w:p>
        </w:tc>
        <w:tc>
          <w:tcPr>
            <w:tcW w:w="97" w:type="dxa"/>
            <w:tcBorders/>
            <w:vAlign w:val="center"/>
          </w:tcPr>
          <w:p>
            <w:pPr>
              <w:pStyle w:val="TableContents"/>
              <w:bidi w:val="0"/>
              <w:spacing w:before="0" w:after="283"/>
              <w:jc w:val="left"/>
              <w:rPr/>
            </w:pPr>
            <w:r>
              <w:rPr/>
              <w:t> </w:t>
            </w:r>
          </w:p>
        </w:tc>
      </w:tr>
      <w:tr>
        <w:trPr/>
        <w:tc>
          <w:tcPr>
            <w:tcW w:w="35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91" w:type="dxa"/>
            <w:gridSpan w:val="2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Stockholders’ Equity</w:t>
            </w:r>
          </w:p>
        </w:tc>
        <w:tc>
          <w:tcPr>
            <w:tcW w:w="97" w:type="dxa"/>
            <w:tcBorders/>
            <w:vAlign w:val="center"/>
          </w:tcPr>
          <w:p>
            <w:pPr>
              <w:pStyle w:val="TableContents"/>
              <w:bidi w:val="0"/>
              <w:spacing w:before="0" w:after="283"/>
              <w:jc w:val="left"/>
              <w:rPr/>
            </w:pPr>
            <w:r>
              <w:rPr/>
              <w:t> </w:t>
            </w:r>
          </w:p>
        </w:tc>
      </w:tr>
      <w:tr>
        <w:trPr/>
        <w:tc>
          <w:tcPr>
            <w:tcW w:w="35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Additional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Accumulated 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2"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w:t>
            </w:r>
          </w:p>
        </w:tc>
        <w:tc>
          <w:tcPr>
            <w:tcW w:w="97" w:type="dxa"/>
            <w:tcBorders/>
            <w:vAlign w:val="center"/>
          </w:tcPr>
          <w:p>
            <w:pPr>
              <w:pStyle w:val="TableContents"/>
              <w:bidi w:val="0"/>
              <w:spacing w:before="0" w:after="283"/>
              <w:jc w:val="left"/>
              <w:rPr/>
            </w:pPr>
            <w:r>
              <w:rPr/>
              <w:t> </w:t>
            </w:r>
          </w:p>
        </w:tc>
      </w:tr>
      <w:tr>
        <w:trPr/>
        <w:tc>
          <w:tcPr>
            <w:tcW w:w="35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paid-in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2"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equity</w:t>
            </w:r>
          </w:p>
        </w:tc>
        <w:tc>
          <w:tcPr>
            <w:tcW w:w="97" w:type="dxa"/>
            <w:tcBorders/>
            <w:vAlign w:val="center"/>
          </w:tcPr>
          <w:p>
            <w:pPr>
              <w:pStyle w:val="TableContents"/>
              <w:bidi w:val="0"/>
              <w:spacing w:before="0" w:after="283"/>
              <w:jc w:val="left"/>
              <w:rPr/>
            </w:pPr>
            <w:r>
              <w:rPr/>
              <w:t> </w:t>
            </w:r>
          </w:p>
        </w:tc>
      </w:tr>
      <w:tr>
        <w:trPr/>
        <w:tc>
          <w:tcPr>
            <w:tcW w:w="35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capital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income (loss)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(deficit)</w:t>
            </w:r>
          </w:p>
        </w:tc>
        <w:tc>
          <w:tcPr>
            <w:tcW w:w="97" w:type="dxa"/>
            <w:tcBorders/>
            <w:vAlign w:val="center"/>
          </w:tcPr>
          <w:p>
            <w:pPr>
              <w:pStyle w:val="TableContents"/>
              <w:bidi w:val="0"/>
              <w:spacing w:before="0" w:after="283"/>
              <w:jc w:val="left"/>
              <w:rPr/>
            </w:pPr>
            <w:r>
              <w:rPr/>
              <w:t> </w:t>
            </w:r>
            <w:bookmarkStart w:id="121" w:name="xdx_433_c20250101__20250331_eus-gaap--St"/>
            <w:bookmarkEnd w:id="121"/>
          </w:p>
        </w:tc>
      </w:tr>
      <w:tr>
        <w:trPr/>
        <w:tc>
          <w:tcPr>
            <w:tcW w:w="35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Balances as of January 1, 2025</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bookmarkStart w:id="122" w:name="xdx_98E_eus-gaap--SharesOutstanding_iS_p"/>
            <w:bookmarkEnd w:id="122"/>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184,513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(177,090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7,544</w:t>
            </w:r>
          </w:p>
        </w:tc>
        <w:tc>
          <w:tcPr>
            <w:tcW w:w="97" w:type="dxa"/>
            <w:tcBorders/>
            <w:shd w:fill="CCEEFF" w:val="clear"/>
            <w:vAlign w:val="center"/>
          </w:tcPr>
          <w:p>
            <w:pPr>
              <w:pStyle w:val="TableContents"/>
              <w:bidi w:val="0"/>
              <w:spacing w:before="0" w:after="283"/>
              <w:jc w:val="left"/>
              <w:rPr/>
            </w:pPr>
            <w:r>
              <w:rPr/>
              <w:t> </w:t>
            </w:r>
            <w:bookmarkStart w:id="123" w:name="xdx_409_eus-gaap--NetIncomeLoss_zV94OA1D"/>
            <w:bookmarkEnd w:id="123"/>
          </w:p>
        </w:tc>
      </w:tr>
      <w:tr>
        <w:trPr/>
        <w:tc>
          <w:tcPr>
            <w:tcW w:w="355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(3,855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(3,855</w:t>
            </w:r>
          </w:p>
        </w:tc>
        <w:tc>
          <w:tcPr>
            <w:tcW w:w="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24" w:name="xdx_402_eus-gaap--OtherComprehensiveInco"/>
            <w:bookmarkEnd w:id="124"/>
          </w:p>
        </w:tc>
      </w:tr>
      <w:tr>
        <w:trPr/>
        <w:tc>
          <w:tcPr>
            <w:tcW w:w="35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comprehensive loss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c>
          <w:tcPr>
            <w:tcW w:w="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25" w:name="xdx_409_eus-gaap--StockIssuedDuringPerio"/>
            <w:bookmarkEnd w:id="125"/>
          </w:p>
        </w:tc>
      </w:tr>
      <w:tr>
        <w:trPr/>
        <w:tc>
          <w:tcPr>
            <w:tcW w:w="35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Options exercised</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bookmarkStart w:id="126" w:name="xdx_40C_eus-gaap--StockIssuedDuringPerio"/>
            <w:bookmarkEnd w:id="126"/>
          </w:p>
        </w:tc>
      </w:tr>
      <w:tr>
        <w:trPr/>
        <w:tc>
          <w:tcPr>
            <w:tcW w:w="3557" w:type="dxa"/>
            <w:tcBorders/>
            <w:shd w:fill="CCEEFF" w:val="clear"/>
            <w:vAlign w:val="center"/>
          </w:tcPr>
          <w:p>
            <w:pPr>
              <w:pStyle w:val="TableContents"/>
              <w:bidi w:val="0"/>
              <w:spacing w:before="0" w:after="283"/>
              <w:jc w:val="left"/>
              <w:rPr/>
            </w:pPr>
            <w:r>
              <w:rPr>
                <w:rFonts w:ascii="Times New Roman;Times;Serif" w:hAnsi="Times New Roman;Times;Serif"/>
                <w:sz w:val="20"/>
              </w:rPr>
              <w:t>Options exercised</w:t>
            </w:r>
            <w:r>
              <w:rPr/>
              <w:t>, shares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bookmarkStart w:id="127" w:name="xdx_403_eus-gaap--StockIssuedDuringPerio"/>
            <w:bookmarkEnd w:id="127"/>
          </w:p>
        </w:tc>
      </w:tr>
      <w:tr>
        <w:trPr/>
        <w:tc>
          <w:tcPr>
            <w:tcW w:w="355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Sale of common stock</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bookmarkStart w:id="128" w:name="xdx_98B_eus-gaap--StockIssuedDuringPerio"/>
            <w:bookmarkEnd w:id="128"/>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217</w:t>
            </w:r>
          </w:p>
        </w:tc>
        <w:tc>
          <w:tcPr>
            <w:tcW w:w="97" w:type="dxa"/>
            <w:tcBorders/>
            <w:shd w:fill="FFFFFF" w:val="clear"/>
            <w:vAlign w:val="center"/>
          </w:tcPr>
          <w:p>
            <w:pPr>
              <w:pStyle w:val="TableContents"/>
              <w:bidi w:val="0"/>
              <w:spacing w:before="0" w:after="283"/>
              <w:jc w:val="left"/>
              <w:rPr/>
            </w:pPr>
            <w:r>
              <w:rPr/>
              <w:t> </w:t>
            </w:r>
            <w:bookmarkStart w:id="129" w:name="xdx_400_eus-gaap--AdjustmentsToAdditiona"/>
            <w:bookmarkEnd w:id="129"/>
          </w:p>
        </w:tc>
      </w:tr>
      <w:tr>
        <w:trPr/>
        <w:tc>
          <w:tcPr>
            <w:tcW w:w="35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Equity issuance costs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c>
          <w:tcPr>
            <w:tcW w:w="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30" w:name="xdx_404_ecustom--StockIssuedDuringPeriod"/>
            <w:bookmarkEnd w:id="130"/>
          </w:p>
        </w:tc>
      </w:tr>
      <w:tr>
        <w:trPr/>
        <w:tc>
          <w:tcPr>
            <w:tcW w:w="355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Proceeds from the exercise of warrants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bookmarkStart w:id="131" w:name="xdx_98D_ecustom--StockIssuedDuringPeriod"/>
            <w:bookmarkEnd w:id="131"/>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97" w:type="dxa"/>
            <w:tcBorders/>
            <w:shd w:fill="FFFFFF" w:val="clear"/>
            <w:vAlign w:val="center"/>
          </w:tcPr>
          <w:p>
            <w:pPr>
              <w:pStyle w:val="TableContents"/>
              <w:bidi w:val="0"/>
              <w:spacing w:before="0" w:after="283"/>
              <w:jc w:val="left"/>
              <w:rPr/>
            </w:pPr>
            <w:r>
              <w:rPr/>
              <w:t> </w:t>
            </w:r>
            <w:bookmarkStart w:id="132" w:name="xdx_402_eus-gaap--StockIssuedDuringPerio"/>
            <w:bookmarkEnd w:id="132"/>
          </w:p>
        </w:tc>
      </w:tr>
      <w:tr>
        <w:trPr/>
        <w:tc>
          <w:tcPr>
            <w:tcW w:w="355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Shares issued for accrued bonus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bookmarkStart w:id="133" w:name="xdx_405_eus-gaap--StockIssuedDuringPerio"/>
            <w:bookmarkEnd w:id="133"/>
          </w:p>
        </w:tc>
      </w:tr>
      <w:tr>
        <w:trPr/>
        <w:tc>
          <w:tcPr>
            <w:tcW w:w="3557" w:type="dxa"/>
            <w:tcBorders/>
            <w:shd w:fill="FFFFFF" w:val="clear"/>
            <w:vAlign w:val="center"/>
          </w:tcPr>
          <w:p>
            <w:pPr>
              <w:pStyle w:val="TableContents"/>
              <w:bidi w:val="0"/>
              <w:spacing w:before="0" w:after="283"/>
              <w:jc w:val="left"/>
              <w:rPr/>
            </w:pPr>
            <w:r>
              <w:rPr/>
              <w:t>Shares issued for accrued bonus, shares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bookmarkStart w:id="134" w:name="xdx_40C_eus-gaap--StockIssuedDuringPerio"/>
            <w:bookmarkEnd w:id="134"/>
          </w:p>
        </w:tc>
      </w:tr>
      <w:tr>
        <w:trPr/>
        <w:tc>
          <w:tcPr>
            <w:tcW w:w="355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Issuance of common stock in connection with employee stock plans, net of forfeitures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bookmarkStart w:id="135" w:name="xdx_40F_eus-gaap--StockIssuedDuringPerio"/>
            <w:bookmarkEnd w:id="135"/>
          </w:p>
        </w:tc>
      </w:tr>
      <w:tr>
        <w:trPr/>
        <w:tc>
          <w:tcPr>
            <w:tcW w:w="3557" w:type="dxa"/>
            <w:tcBorders/>
            <w:shd w:fill="FFFFFF" w:val="clear"/>
            <w:vAlign w:val="center"/>
          </w:tcPr>
          <w:p>
            <w:pPr>
              <w:pStyle w:val="TableContents"/>
              <w:bidi w:val="0"/>
              <w:spacing w:before="0" w:after="283"/>
              <w:jc w:val="left"/>
              <w:rPr/>
            </w:pPr>
            <w:r>
              <w:rPr/>
              <w:t>Issuance of common stock in connection with employee stock plans, net of forfeitures, shares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bookmarkStart w:id="136" w:name="xdx_405_eus-gaap--AdjustmentsToAdditiona"/>
            <w:bookmarkEnd w:id="136"/>
          </w:p>
        </w:tc>
      </w:tr>
      <w:tr>
        <w:trPr/>
        <w:tc>
          <w:tcPr>
            <w:tcW w:w="35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 based compensation</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2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7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540</w:t>
            </w:r>
          </w:p>
        </w:tc>
        <w:tc>
          <w:tcPr>
            <w:tcW w:w="97" w:type="dxa"/>
            <w:tcBorders/>
            <w:shd w:fill="CCEEFF" w:val="clear"/>
            <w:vAlign w:val="center"/>
          </w:tcPr>
          <w:p>
            <w:pPr>
              <w:pStyle w:val="TableContents"/>
              <w:bidi w:val="0"/>
              <w:spacing w:before="0" w:after="283"/>
              <w:jc w:val="left"/>
              <w:rPr/>
            </w:pPr>
            <w:r>
              <w:rPr/>
              <w:t> </w:t>
            </w:r>
            <w:bookmarkStart w:id="137" w:name="xdx_432_c20250101__20250331_eus-gaap--St"/>
            <w:bookmarkEnd w:id="137"/>
          </w:p>
        </w:tc>
      </w:tr>
      <w:tr>
        <w:trPr/>
        <w:tc>
          <w:tcPr>
            <w:tcW w:w="355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Balances as of March 31, 2025</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bookmarkStart w:id="138" w:name="xdx_98B_eus-gaap--SharesOutstanding_iE_p"/>
            <w:bookmarkEnd w:id="138"/>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185,233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(180,945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4,365</w:t>
            </w:r>
          </w:p>
        </w:tc>
        <w:tc>
          <w:tcPr>
            <w:tcW w:w="97" w:type="dxa"/>
            <w:tcBorders/>
            <w:shd w:fill="FFFFFF" w:val="clear"/>
            <w:vAlign w:val="center"/>
          </w:tcPr>
          <w:p>
            <w:pPr>
              <w:pStyle w:val="TableContents"/>
              <w:bidi w:val="0"/>
              <w:spacing w:before="0" w:after="283"/>
              <w:jc w:val="left"/>
              <w:rPr/>
            </w:pPr>
            <w:r>
              <w:rPr/>
              <w:t> </w:t>
            </w:r>
          </w:p>
        </w:tc>
      </w:tr>
      <w:tr>
        <w:trPr/>
        <w:tc>
          <w:tcPr>
            <w:tcW w:w="355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bookmarkStart w:id="139" w:name="xdx_434_c20260101__20260331_eus-gaap--St"/>
            <w:bookmarkEnd w:id="139"/>
          </w:p>
        </w:tc>
      </w:tr>
      <w:tr>
        <w:trPr/>
        <w:tc>
          <w:tcPr>
            <w:tcW w:w="355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as of January 1, 2026</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bookmarkStart w:id="140" w:name="xdx_98F_eus-gaap--SharesOutstanding_iS_p"/>
            <w:bookmarkEnd w:id="140"/>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189,240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(191,056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(1,709</w:t>
            </w:r>
          </w:p>
        </w:tc>
        <w:tc>
          <w:tcPr>
            <w:tcW w:w="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1" w:name="xdx_436_c20260101__20260331_eus-gaap--St"/>
            <w:bookmarkEnd w:id="141"/>
          </w:p>
        </w:tc>
      </w:tr>
      <w:tr>
        <w:trPr/>
        <w:tc>
          <w:tcPr>
            <w:tcW w:w="355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bookmarkStart w:id="142" w:name="xdx_98A_eus-gaap--SharesOutstanding_iS_p"/>
            <w:bookmarkEnd w:id="142"/>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189,240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(191,056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(1,709</w:t>
            </w:r>
          </w:p>
        </w:tc>
        <w:tc>
          <w:tcPr>
            <w:tcW w:w="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3" w:name="xdx_409_eus-gaap--NetIncomeLoss_zMtS9tvs"/>
            <w:bookmarkEnd w:id="143"/>
          </w:p>
        </w:tc>
      </w:tr>
      <w:tr>
        <w:trPr/>
        <w:tc>
          <w:tcPr>
            <w:tcW w:w="35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(5,271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(5,271</w:t>
            </w:r>
          </w:p>
        </w:tc>
        <w:tc>
          <w:tcPr>
            <w:tcW w:w="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4" w:name="xdx_402_eus-gaap--OtherComprehensiveInco"/>
            <w:bookmarkEnd w:id="144"/>
          </w:p>
        </w:tc>
      </w:tr>
      <w:tr>
        <w:trPr/>
        <w:tc>
          <w:tcPr>
            <w:tcW w:w="355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comprehensive loss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(163</w:t>
            </w:r>
          </w:p>
        </w:tc>
        <w:tc>
          <w:tcPr>
            <w:tcW w:w="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5" w:name="xdx_409_eus-gaap--StockIssuedDuringPerio"/>
            <w:bookmarkEnd w:id="145"/>
          </w:p>
        </w:tc>
      </w:tr>
      <w:tr>
        <w:trPr/>
        <w:tc>
          <w:tcPr>
            <w:tcW w:w="35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Options exercised</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bookmarkStart w:id="146" w:name="xdx_984_eus-gaap--StockIssuedDuringPerio"/>
            <w:bookmarkEnd w:id="146"/>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97" w:type="dxa"/>
            <w:tcBorders/>
            <w:shd w:fill="CCEEFF" w:val="clear"/>
            <w:vAlign w:val="center"/>
          </w:tcPr>
          <w:p>
            <w:pPr>
              <w:pStyle w:val="TableContents"/>
              <w:bidi w:val="0"/>
              <w:spacing w:before="0" w:after="283"/>
              <w:jc w:val="left"/>
              <w:rPr/>
            </w:pPr>
            <w:r>
              <w:rPr/>
              <w:t> </w:t>
            </w:r>
            <w:bookmarkStart w:id="147" w:name="xdx_404_ecustom--StockIssuedDuringPeriod"/>
            <w:bookmarkEnd w:id="147"/>
          </w:p>
        </w:tc>
      </w:tr>
      <w:tr>
        <w:trPr/>
        <w:tc>
          <w:tcPr>
            <w:tcW w:w="355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Proceeds from the exercise of warrants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bookmarkStart w:id="148" w:name="xdx_98C_ecustom--StockIssuedDuringPeriod"/>
            <w:bookmarkEnd w:id="148"/>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223</w:t>
            </w:r>
          </w:p>
        </w:tc>
        <w:tc>
          <w:tcPr>
            <w:tcW w:w="97" w:type="dxa"/>
            <w:tcBorders/>
            <w:shd w:fill="FFFFFF" w:val="clear"/>
            <w:vAlign w:val="center"/>
          </w:tcPr>
          <w:p>
            <w:pPr>
              <w:pStyle w:val="TableContents"/>
              <w:bidi w:val="0"/>
              <w:spacing w:before="0" w:after="283"/>
              <w:jc w:val="left"/>
              <w:rPr/>
            </w:pPr>
            <w:r>
              <w:rPr/>
              <w:t> </w:t>
            </w:r>
            <w:bookmarkStart w:id="149" w:name="xdx_402_eus-gaap--StockIssuedDuringPerio"/>
            <w:bookmarkEnd w:id="149"/>
          </w:p>
        </w:tc>
      </w:tr>
      <w:tr>
        <w:trPr/>
        <w:tc>
          <w:tcPr>
            <w:tcW w:w="35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Shares issued for accrued bonus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bookmarkStart w:id="150" w:name="xdx_98D_eus-gaap--StockIssuedDuringPerio"/>
            <w:bookmarkEnd w:id="150"/>
          </w:p>
        </w:tc>
        <w:tc>
          <w:tcPr>
            <w:tcW w:w="5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189</w:t>
            </w:r>
          </w:p>
        </w:tc>
        <w:tc>
          <w:tcPr>
            <w:tcW w:w="97" w:type="dxa"/>
            <w:tcBorders/>
            <w:shd w:fill="CCEEFF" w:val="clear"/>
            <w:vAlign w:val="center"/>
          </w:tcPr>
          <w:p>
            <w:pPr>
              <w:pStyle w:val="TableContents"/>
              <w:bidi w:val="0"/>
              <w:spacing w:before="0" w:after="283"/>
              <w:jc w:val="left"/>
              <w:rPr/>
            </w:pPr>
            <w:r>
              <w:rPr/>
              <w:t> </w:t>
            </w:r>
            <w:bookmarkStart w:id="151" w:name="xdx_40C_eus-gaap--StockIssuedDuringPerio"/>
            <w:bookmarkEnd w:id="151"/>
          </w:p>
        </w:tc>
      </w:tr>
      <w:tr>
        <w:trPr/>
        <w:tc>
          <w:tcPr>
            <w:tcW w:w="355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Issuance of common stock in connection with employee stock plans, net of forfeitures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bookmarkStart w:id="152" w:name="xdx_98F_eus-gaap--StockIssuedDuringPerio"/>
            <w:bookmarkEnd w:id="152"/>
          </w:p>
        </w:tc>
        <w:tc>
          <w:tcPr>
            <w:tcW w:w="52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w:t>
            </w:r>
          </w:p>
        </w:tc>
        <w:tc>
          <w:tcPr>
            <w:tcW w:w="97" w:type="dxa"/>
            <w:tcBorders/>
            <w:shd w:fill="FFFFFF" w:val="clear"/>
            <w:vAlign w:val="center"/>
          </w:tcPr>
          <w:p>
            <w:pPr>
              <w:pStyle w:val="TableContents"/>
              <w:bidi w:val="0"/>
              <w:spacing w:before="0" w:after="283"/>
              <w:jc w:val="left"/>
              <w:rPr/>
            </w:pPr>
            <w:r>
              <w:rPr/>
              <w:t> </w:t>
            </w:r>
            <w:bookmarkStart w:id="153" w:name="xdx_405_eus-gaap--AdjustmentsToAdditiona"/>
            <w:bookmarkEnd w:id="153"/>
          </w:p>
        </w:tc>
      </w:tr>
      <w:tr>
        <w:trPr/>
        <w:tc>
          <w:tcPr>
            <w:tcW w:w="355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 based compensation</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2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7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1,036</w:t>
            </w:r>
          </w:p>
        </w:tc>
        <w:tc>
          <w:tcPr>
            <w:tcW w:w="97" w:type="dxa"/>
            <w:tcBorders/>
            <w:shd w:fill="CCEEFF" w:val="clear"/>
            <w:vAlign w:val="center"/>
          </w:tcPr>
          <w:p>
            <w:pPr>
              <w:pStyle w:val="TableContents"/>
              <w:bidi w:val="0"/>
              <w:spacing w:before="0" w:after="283"/>
              <w:jc w:val="left"/>
              <w:rPr/>
            </w:pPr>
            <w:r>
              <w:rPr/>
              <w:t> </w:t>
            </w:r>
            <w:bookmarkStart w:id="154" w:name="xdx_433_c20260101__20260331_eus-gaap--St"/>
            <w:bookmarkEnd w:id="154"/>
          </w:p>
        </w:tc>
      </w:tr>
      <w:tr>
        <w:trPr/>
        <w:tc>
          <w:tcPr>
            <w:tcW w:w="355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Balances as of March 31, 2026</w:t>
            </w:r>
          </w:p>
        </w:tc>
        <w:tc>
          <w:tcPr>
            <w:tcW w:w="60" w:type="dxa"/>
            <w:tcBorders/>
            <w:shd w:fill="FFFFFF" w:val="clear"/>
            <w:vAlign w:val="center"/>
          </w:tcPr>
          <w:p>
            <w:pPr>
              <w:pStyle w:val="TableContents"/>
              <w:bidi w:val="0"/>
              <w:spacing w:before="0" w:after="283"/>
              <w:jc w:val="left"/>
              <w:rPr/>
            </w:pPr>
            <w:r>
              <w:rPr/>
              <w:t> </w:t>
            </w:r>
          </w:p>
        </w:tc>
        <w:tc>
          <w:tcPr>
            <w:tcW w:w="6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55" w:name="xdx_988_eus-gaap--SharesOutstanding_iE_p"/>
            <w:bookmarkEnd w:id="155"/>
          </w:p>
        </w:tc>
        <w:tc>
          <w:tcPr>
            <w:tcW w:w="52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190,695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(196,327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8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(5,688</w:t>
            </w:r>
          </w:p>
        </w:tc>
        <w:tc>
          <w:tcPr>
            <w:tcW w:w="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56" w:name="xdx_437_c20260101__20260331_eus-gaap--St"/>
            <w:bookmarkEnd w:id="156"/>
          </w:p>
        </w:tc>
      </w:tr>
      <w:tr>
        <w:trPr/>
        <w:tc>
          <w:tcPr>
            <w:tcW w:w="355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Balances</w:t>
            </w:r>
          </w:p>
        </w:tc>
        <w:tc>
          <w:tcPr>
            <w:tcW w:w="60" w:type="dxa"/>
            <w:tcBorders/>
            <w:shd w:fill="FFFFFF" w:val="clear"/>
            <w:vAlign w:val="center"/>
          </w:tcPr>
          <w:p>
            <w:pPr>
              <w:pStyle w:val="TableContents"/>
              <w:bidi w:val="0"/>
              <w:spacing w:before="0" w:after="283"/>
              <w:jc w:val="left"/>
              <w:rPr/>
            </w:pPr>
            <w:r>
              <w:rPr/>
              <w:t> </w:t>
            </w:r>
          </w:p>
        </w:tc>
        <w:tc>
          <w:tcPr>
            <w:tcW w:w="6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57" w:name="xdx_98C_eus-gaap--SharesOutstanding_iE_p"/>
            <w:bookmarkEnd w:id="157"/>
          </w:p>
        </w:tc>
        <w:tc>
          <w:tcPr>
            <w:tcW w:w="52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190,695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(196,327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8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(5,688</w:t>
            </w:r>
          </w:p>
        </w:tc>
        <w:tc>
          <w:tcPr>
            <w:tcW w:w="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shd w:fill="FFFFFF" w:val="clear"/>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See accompanying notes to the condensed consolidated financial statements.</w:t>
      </w:r>
    </w:p>
    <w:p>
      <w:pPr>
        <w:pStyle w:val="TextBody"/>
        <w:bidi w:val="0"/>
        <w:spacing w:before="0" w:after="0"/>
        <w:jc w:val="center"/>
        <w:rPr>
          <w:caps w:val="false"/>
          <w:smallCaps w:val="false"/>
          <w:shd w:fill="FFFFFF" w:val="clear"/>
        </w:rPr>
      </w:pPr>
      <w:r>
        <w:rPr>
          <w:caps w:val="false"/>
          <w:smallCaps w:val="false"/>
          <w:shd w:fill="FFFFFF" w:val="clea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8" w:name="JA_006"/>
      <w:bookmarkEnd w:id="158"/>
      <w:r>
        <w:rPr>
          <w:rFonts w:ascii="Times New Roman;Times;Serif" w:hAnsi="Times New Roman;Times;Serif"/>
          <w:b/>
          <w:i w:val="false"/>
          <w:caps w:val="false"/>
          <w:smallCaps w:val="false"/>
          <w:sz w:val="20"/>
        </w:rPr>
        <w:t>ELECTROCORE, INC. AND SUBSIDIARIES</w:t>
        <w:br/>
        <w:t>Condensed 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br/>
        <w:t xml:space="preserve">(in thousands) </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59" w:name="xdx_307_112_pn3n3_zxR2tMWewu8l"/>
      <w:bookmarkStart w:id="160" w:name="xdx_307_112_pn3n3_zxR2tMWewu8l"/>
      <w:bookmarkEnd w:id="160"/>
    </w:p>
    <w:tbl>
      <w:tblPr>
        <w:tblW w:w="8743" w:type="dxa"/>
        <w:jc w:val="left"/>
        <w:tblInd w:w="0" w:type="dxa"/>
        <w:tblLayout w:type="fixed"/>
        <w:tblCellMar>
          <w:top w:w="0" w:type="dxa"/>
          <w:left w:w="0" w:type="dxa"/>
          <w:bottom w:w="0" w:type="dxa"/>
          <w:right w:w="0" w:type="dxa"/>
        </w:tblCellMar>
      </w:tblPr>
      <w:tblGrid>
        <w:gridCol w:w="5945"/>
        <w:gridCol w:w="60"/>
        <w:gridCol w:w="223"/>
        <w:gridCol w:w="974"/>
        <w:gridCol w:w="142"/>
        <w:gridCol w:w="107"/>
        <w:gridCol w:w="223"/>
        <w:gridCol w:w="974"/>
        <w:gridCol w:w="95"/>
      </w:tblGrid>
      <w:tr>
        <w:trPr/>
        <w:tc>
          <w:tcPr>
            <w:tcW w:w="5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1" w:name="xdx_499_20260101__20260331_zMGyAKxSjSl7"/>
            <w:bookmarkEnd w:id="161"/>
          </w:p>
        </w:tc>
        <w:tc>
          <w:tcPr>
            <w:tcW w:w="119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142"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bookmarkStart w:id="162" w:name="xdx_49E_20250101__20250331_zKVuo7L1tj17"/>
            <w:bookmarkEnd w:id="162"/>
          </w:p>
        </w:tc>
        <w:tc>
          <w:tcPr>
            <w:tcW w:w="119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95"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4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Three months ended March 31,</w:t>
            </w:r>
          </w:p>
        </w:tc>
        <w:tc>
          <w:tcPr>
            <w:tcW w:w="95"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142"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19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95" w:type="dxa"/>
            <w:tcBorders/>
            <w:vAlign w:val="center"/>
          </w:tcPr>
          <w:p>
            <w:pPr>
              <w:pStyle w:val="TableContents"/>
              <w:bidi w:val="0"/>
              <w:spacing w:before="0" w:after="283"/>
              <w:jc w:val="left"/>
              <w:rPr/>
            </w:pPr>
            <w:r>
              <w:rPr/>
              <w:t> </w:t>
            </w:r>
            <w:bookmarkStart w:id="163" w:name="xdx_40D_eus-gaap--NetCashProvidedByUsedI"/>
            <w:bookmarkEnd w:id="163"/>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 </w:t>
            </w:r>
          </w:p>
        </w:tc>
        <w:tc>
          <w:tcPr>
            <w:tcW w:w="142"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164" w:name="xdx_409_eus-gaap--NetIncomeLoss_i01_maCz"/>
            <w:bookmarkEnd w:id="164"/>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(5,271</w:t>
            </w:r>
          </w:p>
        </w:tc>
        <w:tc>
          <w:tcPr>
            <w:tcW w:w="14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(3,855</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65" w:name="xdx_400_eus-gaap--AdjustmentsToReconcile"/>
            <w:bookmarkEnd w:id="165"/>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 </w:t>
            </w:r>
          </w:p>
        </w:tc>
        <w:tc>
          <w:tcPr>
            <w:tcW w:w="142"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166" w:name="xdx_40F_eus-gaap--ShareBasedCompensation"/>
            <w:bookmarkEnd w:id="166"/>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 based compensation</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1,036</w:t>
            </w:r>
          </w:p>
        </w:tc>
        <w:tc>
          <w:tcPr>
            <w:tcW w:w="142"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540</w:t>
            </w:r>
          </w:p>
        </w:tc>
        <w:tc>
          <w:tcPr>
            <w:tcW w:w="95" w:type="dxa"/>
            <w:tcBorders/>
            <w:shd w:fill="FFFFFF" w:val="clear"/>
            <w:vAlign w:val="center"/>
          </w:tcPr>
          <w:p>
            <w:pPr>
              <w:pStyle w:val="TableContents"/>
              <w:bidi w:val="0"/>
              <w:spacing w:before="0" w:after="283"/>
              <w:jc w:val="left"/>
              <w:rPr/>
            </w:pPr>
            <w:r>
              <w:rPr/>
              <w:t> </w:t>
            </w:r>
            <w:bookmarkStart w:id="167" w:name="xdx_409_eus-gaap--DepreciationAndAmortiz"/>
            <w:bookmarkEnd w:id="167"/>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c>
          <w:tcPr>
            <w:tcW w:w="142"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155</w:t>
            </w:r>
          </w:p>
        </w:tc>
        <w:tc>
          <w:tcPr>
            <w:tcW w:w="95" w:type="dxa"/>
            <w:tcBorders/>
            <w:shd w:fill="CCEEFF" w:val="clear"/>
            <w:vAlign w:val="center"/>
          </w:tcPr>
          <w:p>
            <w:pPr>
              <w:pStyle w:val="TableContents"/>
              <w:bidi w:val="0"/>
              <w:spacing w:before="0" w:after="283"/>
              <w:jc w:val="left"/>
              <w:rPr/>
            </w:pPr>
            <w:r>
              <w:rPr/>
              <w:t> </w:t>
            </w:r>
            <w:bookmarkStart w:id="168" w:name="xdx_403_eus-gaap--OperatingLeaseRightOfU"/>
            <w:bookmarkEnd w:id="168"/>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Amortization of right of use assets</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c>
          <w:tcPr>
            <w:tcW w:w="142"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c>
          <w:tcPr>
            <w:tcW w:w="95" w:type="dxa"/>
            <w:tcBorders/>
            <w:shd w:fill="FFFFFF" w:val="clear"/>
            <w:vAlign w:val="center"/>
          </w:tcPr>
          <w:p>
            <w:pPr>
              <w:pStyle w:val="TableContents"/>
              <w:bidi w:val="0"/>
              <w:spacing w:before="0" w:after="283"/>
              <w:jc w:val="left"/>
              <w:rPr/>
            </w:pPr>
            <w:r>
              <w:rPr/>
              <w:t> </w:t>
            </w:r>
            <w:bookmarkStart w:id="169" w:name="xdx_402_eus-gaap--AmortizationOfDebtDisc"/>
            <w:bookmarkEnd w:id="169"/>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Amortization of debt discount</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w:t>
            </w:r>
          </w:p>
        </w:tc>
        <w:tc>
          <w:tcPr>
            <w:tcW w:w="142"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bookmarkStart w:id="170" w:name="xdx_40F_ecustom--AmortizationOfOperating"/>
            <w:bookmarkEnd w:id="170"/>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Amortization of lease liability</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pPr>
            <w:r>
              <w:rPr/>
              <w:t>—</w:t>
            </w:r>
          </w:p>
        </w:tc>
        <w:tc>
          <w:tcPr>
            <w:tcW w:w="142"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209</w:t>
            </w:r>
          </w:p>
        </w:tc>
        <w:tc>
          <w:tcPr>
            <w:tcW w:w="95" w:type="dxa"/>
            <w:tcBorders/>
            <w:shd w:fill="FFFFFF" w:val="clear"/>
            <w:vAlign w:val="center"/>
          </w:tcPr>
          <w:p>
            <w:pPr>
              <w:pStyle w:val="TableContents"/>
              <w:bidi w:val="0"/>
              <w:spacing w:before="0" w:after="283"/>
              <w:jc w:val="left"/>
              <w:rPr/>
            </w:pPr>
            <w:r>
              <w:rPr/>
              <w:t> </w:t>
            </w:r>
            <w:bookmarkStart w:id="171" w:name="xdx_408_eus-gaap--InventoryWriteDown_i02"/>
            <w:bookmarkEnd w:id="171"/>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Inventory reserve charge</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c>
          <w:tcPr>
            <w:tcW w:w="142"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72" w:name="xdx_40D_eus-gaap--IncreaseDecreaseInOper"/>
            <w:bookmarkEnd w:id="172"/>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pPr>
            <w:r>
              <w:rPr/>
              <w:t> </w:t>
            </w:r>
          </w:p>
        </w:tc>
        <w:tc>
          <w:tcPr>
            <w:tcW w:w="142"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173" w:name="xdx_40E_eus-gaap--IncreaseDecreaseInAcco"/>
            <w:bookmarkEnd w:id="173"/>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receivable</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147</w:t>
            </w:r>
          </w:p>
        </w:tc>
        <w:tc>
          <w:tcPr>
            <w:tcW w:w="142"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74" w:name="xdx_40C_eus-gaap--IncreaseDecreaseInInve"/>
            <w:bookmarkEnd w:id="174"/>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Inventories</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(382</w:t>
            </w:r>
          </w:p>
        </w:tc>
        <w:tc>
          <w:tcPr>
            <w:tcW w:w="14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c>
          <w:tcPr>
            <w:tcW w:w="95" w:type="dxa"/>
            <w:tcBorders/>
            <w:shd w:fill="FFFFFF" w:val="clear"/>
            <w:vAlign w:val="center"/>
          </w:tcPr>
          <w:p>
            <w:pPr>
              <w:pStyle w:val="TableContents"/>
              <w:bidi w:val="0"/>
              <w:spacing w:before="0" w:after="283"/>
              <w:jc w:val="left"/>
              <w:rPr/>
            </w:pPr>
            <w:r>
              <w:rPr/>
              <w:t> </w:t>
            </w:r>
            <w:bookmarkStart w:id="175" w:name="xdx_409_eus-gaap--IncreaseDecreaseInPrep"/>
            <w:bookmarkEnd w:id="175"/>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549</w:t>
            </w:r>
          </w:p>
        </w:tc>
        <w:tc>
          <w:tcPr>
            <w:tcW w:w="142"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210</w:t>
            </w:r>
          </w:p>
        </w:tc>
        <w:tc>
          <w:tcPr>
            <w:tcW w:w="95" w:type="dxa"/>
            <w:tcBorders/>
            <w:shd w:fill="CCEEFF" w:val="clear"/>
            <w:vAlign w:val="center"/>
          </w:tcPr>
          <w:p>
            <w:pPr>
              <w:pStyle w:val="TableContents"/>
              <w:bidi w:val="0"/>
              <w:spacing w:before="0" w:after="283"/>
              <w:jc w:val="left"/>
              <w:rPr/>
            </w:pPr>
            <w:r>
              <w:rPr/>
              <w:t> </w:t>
            </w:r>
            <w:bookmarkStart w:id="176" w:name="xdx_407_eus-gaap--IncreaseDecreaseInAcco"/>
            <w:bookmarkEnd w:id="176"/>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payable</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(650</w:t>
            </w:r>
          </w:p>
        </w:tc>
        <w:tc>
          <w:tcPr>
            <w:tcW w:w="14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77" w:name="xdx_408_eus-gaap--IncreaseDecreaseInAccr"/>
            <w:bookmarkEnd w:id="177"/>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expense and other current liabilities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1,400</w:t>
            </w:r>
          </w:p>
        </w:tc>
        <w:tc>
          <w:tcPr>
            <w:tcW w:w="142"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(1,316</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78" w:name="xdx_40E_eus-gaap--IncreaseDecreaseInOthe"/>
            <w:bookmarkEnd w:id="178"/>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liabilities</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142"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(159</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79" w:name="xdx_403_eus-gaap--NetCashProvidedByUsedI"/>
            <w:bookmarkEnd w:id="179"/>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(3,008</w:t>
            </w:r>
          </w:p>
        </w:tc>
        <w:tc>
          <w:tcPr>
            <w:tcW w:w="14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 w:type="dxa"/>
            <w:tcBorders/>
            <w:shd w:fill="CCEEFF" w:val="clear"/>
            <w:vAlign w:val="center"/>
          </w:tcPr>
          <w:p>
            <w:pPr>
              <w:pStyle w:val="TableContents"/>
              <w:bidi w:val="0"/>
              <w:spacing w:before="0" w:after="283"/>
              <w:jc w:val="left"/>
              <w:rPr/>
            </w:pPr>
            <w:r>
              <w:rPr/>
              <w:t> </w:t>
            </w:r>
          </w:p>
        </w:tc>
        <w:tc>
          <w:tcPr>
            <w:tcW w:w="2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(4,355</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80" w:name="xdx_404_eus-gaap--NetCashProvidedByUsedI"/>
            <w:bookmarkEnd w:id="180"/>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pPr>
            <w:r>
              <w:rPr/>
              <w:t> </w:t>
            </w:r>
          </w:p>
        </w:tc>
        <w:tc>
          <w:tcPr>
            <w:tcW w:w="142"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181" w:name="xdx_400_eus-gaap--PaymentsToAcquirePrope"/>
            <w:bookmarkEnd w:id="181"/>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14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82" w:name="xdx_40B_ecustom--PaymentsForProceedsFrom"/>
            <w:bookmarkEnd w:id="182"/>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Sale of marketable securities</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599</w:t>
            </w:r>
          </w:p>
        </w:tc>
        <w:tc>
          <w:tcPr>
            <w:tcW w:w="142"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4,537</w:t>
            </w:r>
          </w:p>
        </w:tc>
        <w:tc>
          <w:tcPr>
            <w:tcW w:w="95" w:type="dxa"/>
            <w:tcBorders/>
            <w:shd w:fill="FFFFFF" w:val="clear"/>
            <w:vAlign w:val="center"/>
          </w:tcPr>
          <w:p>
            <w:pPr>
              <w:pStyle w:val="TableContents"/>
              <w:bidi w:val="0"/>
              <w:spacing w:before="0" w:after="283"/>
              <w:jc w:val="left"/>
              <w:rPr/>
            </w:pPr>
            <w:r>
              <w:rPr/>
              <w:t> </w:t>
            </w:r>
            <w:bookmarkStart w:id="183" w:name="xdx_406_eus-gaap--NetCashProvidedByUsedI"/>
            <w:bookmarkEnd w:id="183"/>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provided by investing activities</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597</w:t>
            </w:r>
          </w:p>
        </w:tc>
        <w:tc>
          <w:tcPr>
            <w:tcW w:w="142"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4,500</w:t>
            </w:r>
          </w:p>
        </w:tc>
        <w:tc>
          <w:tcPr>
            <w:tcW w:w="95" w:type="dxa"/>
            <w:tcBorders/>
            <w:shd w:fill="CCEEFF" w:val="clear"/>
            <w:vAlign w:val="center"/>
          </w:tcPr>
          <w:p>
            <w:pPr>
              <w:pStyle w:val="TableContents"/>
              <w:bidi w:val="0"/>
              <w:spacing w:before="0" w:after="283"/>
              <w:jc w:val="left"/>
              <w:rPr/>
            </w:pPr>
            <w:r>
              <w:rPr/>
              <w:t> </w:t>
            </w:r>
            <w:bookmarkStart w:id="184" w:name="xdx_407_eus-gaap--NetCashProvidedByUsedI"/>
            <w:bookmarkEnd w:id="184"/>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pPr>
            <w:r>
              <w:rPr/>
              <w:t> </w:t>
            </w:r>
          </w:p>
        </w:tc>
        <w:tc>
          <w:tcPr>
            <w:tcW w:w="142"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185" w:name="xdx_409_eus-gaap--ProceedsFromWarrantExe"/>
            <w:bookmarkEnd w:id="185"/>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Proceeds from exercise of warrants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223</w:t>
            </w:r>
          </w:p>
        </w:tc>
        <w:tc>
          <w:tcPr>
            <w:tcW w:w="142"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95" w:type="dxa"/>
            <w:tcBorders/>
            <w:shd w:fill="CCEEFF" w:val="clear"/>
            <w:vAlign w:val="center"/>
          </w:tcPr>
          <w:p>
            <w:pPr>
              <w:pStyle w:val="TableContents"/>
              <w:bidi w:val="0"/>
              <w:spacing w:before="0" w:after="283"/>
              <w:jc w:val="left"/>
              <w:rPr/>
            </w:pPr>
            <w:r>
              <w:rPr/>
              <w:t> </w:t>
            </w:r>
            <w:bookmarkStart w:id="186" w:name="xdx_400_eus-gaap--ProceedsFromStockOptio"/>
            <w:bookmarkEnd w:id="186"/>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Proceeds from exercise of options</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142"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bookmarkStart w:id="187" w:name="xdx_400_eus-gaap--ProceedsFromOtherEquit"/>
            <w:bookmarkEnd w:id="187"/>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Sale of common stock</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w:t>
            </w:r>
          </w:p>
        </w:tc>
        <w:tc>
          <w:tcPr>
            <w:tcW w:w="142"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217</w:t>
            </w:r>
          </w:p>
        </w:tc>
        <w:tc>
          <w:tcPr>
            <w:tcW w:w="95" w:type="dxa"/>
            <w:tcBorders/>
            <w:shd w:fill="CCEEFF" w:val="clear"/>
            <w:vAlign w:val="center"/>
          </w:tcPr>
          <w:p>
            <w:pPr>
              <w:pStyle w:val="TableContents"/>
              <w:bidi w:val="0"/>
              <w:spacing w:before="0" w:after="283"/>
              <w:jc w:val="left"/>
              <w:rPr/>
            </w:pPr>
            <w:r>
              <w:rPr/>
              <w:t> </w:t>
            </w:r>
            <w:bookmarkStart w:id="188" w:name="xdx_403_eus-gaap--PaymentsOfDebtIssuance"/>
            <w:bookmarkEnd w:id="188"/>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Equity issuance costs</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42"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89" w:name="xdx_40B_eus-gaap--NetCashProvidedByUsedI"/>
            <w:bookmarkEnd w:id="189"/>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230</w:t>
            </w:r>
          </w:p>
        </w:tc>
        <w:tc>
          <w:tcPr>
            <w:tcW w:w="142"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180</w:t>
            </w:r>
          </w:p>
        </w:tc>
        <w:tc>
          <w:tcPr>
            <w:tcW w:w="95" w:type="dxa"/>
            <w:tcBorders/>
            <w:shd w:fill="CCEEFF" w:val="clear"/>
            <w:vAlign w:val="center"/>
          </w:tcPr>
          <w:p>
            <w:pPr>
              <w:pStyle w:val="TableContents"/>
              <w:bidi w:val="0"/>
              <w:spacing w:before="0" w:after="283"/>
              <w:jc w:val="left"/>
              <w:rPr/>
            </w:pPr>
            <w:r>
              <w:rPr/>
              <w:t> </w:t>
            </w:r>
            <w:bookmarkStart w:id="190" w:name="xdx_408_eus-gaap--EffectOfExchangeRateOn"/>
            <w:bookmarkEnd w:id="190"/>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changes in exchange rates on cash and cash equivalents</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14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 w:type="dxa"/>
            <w:tcBorders/>
            <w:shd w:fill="FFFFFF" w:val="clear"/>
            <w:vAlign w:val="center"/>
          </w:tcPr>
          <w:p>
            <w:pPr>
              <w:pStyle w:val="TableContents"/>
              <w:bidi w:val="0"/>
              <w:spacing w:before="0" w:after="283"/>
              <w:jc w:val="left"/>
              <w:rPr/>
            </w:pPr>
            <w:r>
              <w:rPr/>
              <w:t> </w:t>
            </w:r>
          </w:p>
        </w:tc>
        <w:tc>
          <w:tcPr>
            <w:tcW w:w="2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95" w:type="dxa"/>
            <w:tcBorders/>
            <w:shd w:fill="FFFFFF" w:val="clear"/>
            <w:vAlign w:val="center"/>
          </w:tcPr>
          <w:p>
            <w:pPr>
              <w:pStyle w:val="TableContents"/>
              <w:bidi w:val="0"/>
              <w:spacing w:before="0" w:after="283"/>
              <w:jc w:val="left"/>
              <w:rPr/>
            </w:pPr>
            <w:r>
              <w:rPr/>
              <w:t> </w:t>
            </w:r>
            <w:bookmarkStart w:id="191" w:name="xdx_40E_eus-gaap--CashCashEquivalentsRes"/>
            <w:bookmarkEnd w:id="191"/>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(2,183</w:t>
            </w:r>
          </w:p>
        </w:tc>
        <w:tc>
          <w:tcPr>
            <w:tcW w:w="14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327</w:t>
            </w:r>
          </w:p>
        </w:tc>
        <w:tc>
          <w:tcPr>
            <w:tcW w:w="95" w:type="dxa"/>
            <w:tcBorders/>
            <w:shd w:fill="CCEEFF" w:val="clear"/>
            <w:vAlign w:val="center"/>
          </w:tcPr>
          <w:p>
            <w:pPr>
              <w:pStyle w:val="TableContents"/>
              <w:bidi w:val="0"/>
              <w:spacing w:before="0" w:after="283"/>
              <w:jc w:val="left"/>
              <w:rPr>
                <w:sz w:val="4"/>
                <w:szCs w:val="4"/>
              </w:rPr>
            </w:pPr>
            <w:r>
              <w:rPr>
                <w:sz w:val="4"/>
                <w:szCs w:val="4"/>
              </w:rPr>
            </w:r>
            <w:bookmarkStart w:id="192" w:name="xdx_406_eus-gaap--CashCashEquivalentsRes"/>
            <w:bookmarkStart w:id="193" w:name="xdx_406_eus-gaap--CashCashEquivalentsRes"/>
            <w:bookmarkEnd w:id="193"/>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and cash equivalents – beginning of year</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7,035</w:t>
            </w:r>
          </w:p>
        </w:tc>
        <w:tc>
          <w:tcPr>
            <w:tcW w:w="142"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3,700</w:t>
            </w:r>
          </w:p>
        </w:tc>
        <w:tc>
          <w:tcPr>
            <w:tcW w:w="95" w:type="dxa"/>
            <w:tcBorders/>
            <w:shd w:fill="FFFFFF" w:val="clear"/>
            <w:vAlign w:val="center"/>
          </w:tcPr>
          <w:p>
            <w:pPr>
              <w:pStyle w:val="TableContents"/>
              <w:bidi w:val="0"/>
              <w:spacing w:before="0" w:after="283"/>
              <w:jc w:val="left"/>
              <w:rPr/>
            </w:pPr>
            <w:r>
              <w:rPr/>
              <w:t> </w:t>
            </w:r>
            <w:bookmarkStart w:id="194" w:name="xdx_40A_eus-gaap--CashCashEquivalentsRes"/>
            <w:bookmarkEnd w:id="194"/>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and cash equivalents – end of period</w:t>
            </w:r>
          </w:p>
        </w:tc>
        <w:tc>
          <w:tcPr>
            <w:tcW w:w="60" w:type="dxa"/>
            <w:tcBorders/>
            <w:shd w:fill="CCEEFF" w:val="clear"/>
            <w:vAlign w:val="center"/>
          </w:tcPr>
          <w:p>
            <w:pPr>
              <w:pStyle w:val="TableContents"/>
              <w:bidi w:val="0"/>
              <w:spacing w:before="0" w:after="283"/>
              <w:jc w:val="left"/>
              <w:rPr/>
            </w:pPr>
            <w:r>
              <w:rPr/>
              <w:t> </w:t>
            </w:r>
          </w:p>
        </w:tc>
        <w:tc>
          <w:tcPr>
            <w:tcW w:w="22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4,852</w:t>
            </w:r>
          </w:p>
        </w:tc>
        <w:tc>
          <w:tcPr>
            <w:tcW w:w="142"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2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4,027</w:t>
            </w:r>
          </w:p>
        </w:tc>
        <w:tc>
          <w:tcPr>
            <w:tcW w:w="95"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pPr>
            <w:r>
              <w:rPr/>
              <w:t> </w:t>
            </w:r>
          </w:p>
        </w:tc>
        <w:tc>
          <w:tcPr>
            <w:tcW w:w="142"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195" w:name="xdx_403_eus-gaap--SupplementalCashFlowIn"/>
            <w:bookmarkEnd w:id="195"/>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Supplemental cash flows disclosures: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 </w:t>
            </w:r>
          </w:p>
        </w:tc>
        <w:tc>
          <w:tcPr>
            <w:tcW w:w="142"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196" w:name="xdx_40E_ecustom--ProceedsFromSaleOfState"/>
            <w:bookmarkEnd w:id="196"/>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Proceeds from sale of state net operating losses</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321</w:t>
            </w:r>
          </w:p>
        </w:tc>
        <w:tc>
          <w:tcPr>
            <w:tcW w:w="142"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c>
          <w:tcPr>
            <w:tcW w:w="95" w:type="dxa"/>
            <w:tcBorders/>
            <w:shd w:fill="FFFFFF" w:val="clear"/>
            <w:vAlign w:val="center"/>
          </w:tcPr>
          <w:p>
            <w:pPr>
              <w:pStyle w:val="TableContents"/>
              <w:bidi w:val="0"/>
              <w:spacing w:before="0" w:after="283"/>
              <w:jc w:val="left"/>
              <w:rPr/>
            </w:pPr>
            <w:r>
              <w:rPr/>
              <w:t> </w:t>
            </w:r>
            <w:bookmarkStart w:id="197" w:name="xdx_405_eus-gaap--InterestPaidNet_i01_zM"/>
            <w:bookmarkEnd w:id="197"/>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paid</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238</w:t>
            </w:r>
          </w:p>
        </w:tc>
        <w:tc>
          <w:tcPr>
            <w:tcW w:w="142"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c>
          <w:tcPr>
            <w:tcW w:w="95" w:type="dxa"/>
            <w:tcBorders/>
            <w:shd w:fill="CCEEFF" w:val="clear"/>
            <w:vAlign w:val="center"/>
          </w:tcPr>
          <w:p>
            <w:pPr>
              <w:pStyle w:val="TableContents"/>
              <w:bidi w:val="0"/>
              <w:spacing w:before="0" w:after="283"/>
              <w:jc w:val="left"/>
              <w:rPr/>
            </w:pPr>
            <w:r>
              <w:rPr/>
              <w:t> </w:t>
            </w:r>
            <w:bookmarkStart w:id="198" w:name="xdx_408_eus-gaap--NoncashInvestingAndFin"/>
            <w:bookmarkEnd w:id="198"/>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Supplemental schedule of noncash activity:</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pPr>
            <w:r>
              <w:rPr/>
              <w:t> </w:t>
            </w:r>
          </w:p>
        </w:tc>
        <w:tc>
          <w:tcPr>
            <w:tcW w:w="142"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199" w:name="xdx_401_ecustom--BonusesSettledThroughIs"/>
            <w:bookmarkEnd w:id="199"/>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Bonuses settled through the issuance of common stock</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189</w:t>
            </w:r>
          </w:p>
        </w:tc>
        <w:tc>
          <w:tcPr>
            <w:tcW w:w="142"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See accompanying notes to condensed consolidated financial statements.</w:t>
      </w:r>
    </w:p>
    <w:p>
      <w:pPr>
        <w:pStyle w:val="TextBody"/>
        <w:bidi w:val="0"/>
        <w:spacing w:before="0" w:after="0"/>
        <w:ind w:left="0" w:right="0" w:hanging="0"/>
        <w:jc w:val="center"/>
        <w:rPr>
          <w:caps w:val="false"/>
          <w:smallCaps w:val="false"/>
          <w:shd w:fill="FFFFFF" w:val="clear"/>
        </w:rPr>
      </w:pPr>
      <w:r>
        <w:rPr>
          <w:caps w:val="false"/>
          <w:smallCaps w:val="false"/>
          <w:shd w:fill="FFFFFF" w:val="clea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shd w:fill="FFFFFF" w:val="clear"/>
        </w:rPr>
      </w:pPr>
      <w:r>
        <w:rPr>
          <w:caps w:val="false"/>
          <w:smallCaps w:val="false"/>
          <w:shd w:fill="FFFFFF" w:val="clear"/>
        </w:rPr>
        <w:t> </w:t>
      </w:r>
    </w:p>
    <w:p>
      <w:pPr>
        <w:pStyle w:val="TextBody"/>
        <w:bidi w:val="0"/>
        <w:spacing w:before="0" w:after="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ELECTROCORE, INC. AND SUBSIDIARIES</w:t>
      </w:r>
    </w:p>
    <w:p>
      <w:pPr>
        <w:pStyle w:val="TextBody"/>
        <w:bidi w:val="0"/>
        <w:spacing w:before="0" w:after="0"/>
        <w:jc w:val="center"/>
        <w:rPr>
          <w:rFonts w:ascii="Times New Roman;Times;Serif" w:hAnsi="Times New Roman;Times;Serif"/>
          <w:b/>
          <w:i w:val="false"/>
          <w:caps w:val="false"/>
          <w:smallCaps w:val="false"/>
          <w:sz w:val="20"/>
          <w:shd w:fill="FFFFFF" w:val="clear"/>
        </w:rPr>
      </w:pPr>
      <w:bookmarkStart w:id="200" w:name="JA_007"/>
      <w:bookmarkEnd w:id="200"/>
      <w:r>
        <w:rPr>
          <w:rFonts w:ascii="Times New Roman;Times;Serif" w:hAnsi="Times New Roman;Times;Serif"/>
          <w:b/>
          <w:i w:val="false"/>
          <w:caps w:val="false"/>
          <w:smallCaps w:val="false"/>
          <w:sz w:val="20"/>
          <w:shd w:fill="FFFFFF" w:val="clear"/>
        </w:rPr>
        <w:t>Notes to Condensed Consolidated Financial Statements</w:t>
      </w:r>
    </w:p>
    <w:p>
      <w:pPr>
        <w:pStyle w:val="TextBody"/>
        <w:bidi w:val="0"/>
        <w:spacing w:before="0" w:after="0"/>
        <w:ind w:left="0" w:right="0" w:hanging="0"/>
        <w:jc w:val="both"/>
        <w:rPr>
          <w:caps w:val="false"/>
          <w:smallCaps w:val="false"/>
          <w:shd w:fill="FFFFFF" w:val="clear"/>
        </w:rPr>
      </w:pPr>
      <w:r>
        <w:rPr>
          <w:caps w:val="false"/>
          <w:smallCaps w:val="false"/>
          <w:shd w:fill="FFFFFF" w:val="clear"/>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FFFFF" w:val="clear"/>
        </w:rPr>
      </w:pPr>
      <w:bookmarkStart w:id="201" w:name="xdx_80A_eus-gaap--OrganizationConsolidat"/>
      <w:bookmarkEnd w:id="201"/>
      <w:r>
        <w:rPr>
          <w:rFonts w:ascii="Times New Roman;Times;Serif" w:hAnsi="Times New Roman;Times;Serif"/>
          <w:b/>
          <w:i w:val="false"/>
          <w:caps w:val="false"/>
          <w:smallCaps w:val="false"/>
          <w:sz w:val="20"/>
          <w:shd w:fill="FFFFFF" w:val="clear"/>
        </w:rPr>
        <w:t xml:space="preserve">Note 1. </w:t>
      </w:r>
      <w:bookmarkStart w:id="202" w:name="xdx_822_zLVS454WWRZh"/>
      <w:bookmarkEnd w:id="202"/>
      <w:r>
        <w:rPr>
          <w:rFonts w:ascii="Times New Roman;Times;Serif" w:hAnsi="Times New Roman;Times;Serif"/>
          <w:b/>
          <w:i w:val="false"/>
          <w:caps w:val="false"/>
          <w:smallCaps w:val="false"/>
          <w:sz w:val="20"/>
          <w:shd w:fill="FFFFFF" w:val="clear"/>
        </w:rPr>
        <w:t>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electroCore, Inc. and its subsidiaries (“electroCore” or the “Company”) is a bioelectronic technology company whose mission is to improve health and quality of life through innovative non-invasive, bioelectronic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electroCore, headquartered in Rockaway, NJ, has </w:t>
      </w:r>
      <w:bookmarkStart w:id="203" w:name="xdx_90F_ecustom--NumberOfWhollyOwnedSubs"/>
      <w:bookmarkEnd w:id="203"/>
      <w:r>
        <w:rPr>
          <w:rFonts w:ascii="Times New Roman;Times;Serif" w:hAnsi="Times New Roman;Times;Serif"/>
          <w:b w:val="false"/>
          <w:i w:val="false"/>
          <w:caps w:val="false"/>
          <w:smallCaps w:val="false"/>
          <w:sz w:val="20"/>
        </w:rPr>
        <w:t>three wholly owned subsidiaries: electroCore U.K. Ltd, electroCore Germany GmbH and NeuroMetrix, Inc. (“NURO”). The Company acquired NURO on May 1, 2025. The Company has paused operations in Germany, with sales into the country and the rest of Europe being managed by electroCore U.K.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04" w:name="xdx_80B_eus-gaap--SignificantAccountingP"/>
      <w:bookmarkEnd w:id="204"/>
      <w:r>
        <w:rPr>
          <w:rFonts w:ascii="Times New Roman;Times;Serif" w:hAnsi="Times New Roman;Times;Serif"/>
          <w:b/>
          <w:i w:val="false"/>
          <w:caps w:val="false"/>
          <w:smallCaps w:val="false"/>
          <w:sz w:val="20"/>
        </w:rPr>
        <w:t xml:space="preserve">Note 2. </w:t>
      </w:r>
      <w:bookmarkStart w:id="205" w:name="xdx_82A_zY5QpaNS2Asb"/>
      <w:bookmarkEnd w:id="205"/>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206" w:name="xdx_845_eus-gaap--BasisOfAccountingPolic"/>
      <w:bookmarkEnd w:id="206"/>
      <w:r>
        <w:rPr>
          <w:rFonts w:ascii="Times New Roman;Times;Serif" w:hAnsi="Times New Roman;Times;Serif"/>
          <w:b/>
          <w:i/>
          <w:caps w:val="false"/>
          <w:smallCaps w:val="false"/>
          <w:sz w:val="20"/>
        </w:rPr>
        <w:t xml:space="preserve">(a) </w:t>
      </w:r>
      <w:bookmarkStart w:id="207" w:name="xdx_869_zyWggOgoIAp3"/>
      <w:bookmarkEnd w:id="207"/>
      <w:r>
        <w:rPr>
          <w:rFonts w:ascii="Times New Roman;Times;Serif" w:hAnsi="Times New Roman;Times;Serif"/>
          <w:b/>
          <w:i/>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consolidated financial statements were prepared in conformity with accounting principles generally accepted in the United States of America (“U.S. GAAP”) and with instructions to Form 10-Q and Article 10 of Regulation S-X under the Securities Exchange Act of 1934, as amended. In the opinion of management, the Company has made all necessary adjustments, which include normal recurring adjustments necessary for a fair presentation of the Company’s condensed consolidated financial position and results of operations for the interim periods presented. Certain information and disclosures normally included in the annual consolidated financial statements prepared in accordance with U.S. GAAP have been condensed or omitted. These interim condensed consolidated financial statements should be read in conjunction with the audited consolidated financial statements and accompanying notes for the year ended December 31, 2025, included in the Company’s Annual Report on Form 10-K filed with the Securities and Exchange Commission on March 19, 2026. The results for the three months ended March 31, 2026, are not necessarily indicative of the results to be expected for a full year, any other interim periods or any future year or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208" w:name="xdx_848_eus-gaap--ConsolidationPolicyTex"/>
      <w:bookmarkEnd w:id="208"/>
      <w:r>
        <w:rPr>
          <w:rFonts w:ascii="Times New Roman;Times;Serif" w:hAnsi="Times New Roman;Times;Serif"/>
          <w:b/>
          <w:i/>
          <w:caps w:val="false"/>
          <w:smallCaps w:val="false"/>
          <w:sz w:val="20"/>
        </w:rPr>
        <w:t xml:space="preserve">(b) </w:t>
      </w:r>
      <w:bookmarkStart w:id="209" w:name="xdx_867_zlI00hloUB51"/>
      <w:bookmarkEnd w:id="209"/>
      <w:r>
        <w:rPr>
          <w:rFonts w:ascii="Times New Roman;Times;Serif" w:hAnsi="Times New Roman;Times;Serif"/>
          <w:b/>
          <w:i/>
          <w:caps w:val="false"/>
          <w:smallCaps w:val="false"/>
          <w:sz w:val="20"/>
        </w:rPr>
        <w:t>Principles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consolidated financial statements include the accounts of electroCore and its wholly owned subsidiaries. All intercompany balances and transactions have been eliminated in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210" w:name="xdx_84A_eus-gaap--UseOfEstimates_zusCdLt"/>
      <w:bookmarkEnd w:id="210"/>
      <w:r>
        <w:rPr>
          <w:rFonts w:ascii="Times New Roman;Times;Serif" w:hAnsi="Times New Roman;Times;Serif"/>
          <w:b/>
          <w:i/>
          <w:caps w:val="false"/>
          <w:smallCaps w:val="false"/>
          <w:sz w:val="20"/>
        </w:rPr>
        <w:t xml:space="preserve">(c) </w:t>
      </w:r>
      <w:bookmarkStart w:id="211" w:name="xdx_860_ztcxyyNV5hZh"/>
      <w:bookmarkEnd w:id="211"/>
      <w:r>
        <w:rPr>
          <w:rFonts w:ascii="Times New Roman;Times;Serif" w:hAnsi="Times New Roman;Times;Serif"/>
          <w:b/>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Significant items subject to such estimates and assumptions include revenue, licensed products and loss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212" w:name="xdx_841_eus-gaap--CashAndCashEquivalents"/>
      <w:bookmarkEnd w:id="212"/>
      <w:r>
        <w:rPr>
          <w:rFonts w:ascii="Times New Roman;Times;Serif" w:hAnsi="Times New Roman;Times;Serif"/>
          <w:b/>
          <w:i/>
          <w:caps w:val="false"/>
          <w:smallCaps w:val="false"/>
          <w:sz w:val="20"/>
        </w:rPr>
        <w:t xml:space="preserve">(d) </w:t>
      </w:r>
      <w:bookmarkStart w:id="213" w:name="xdx_866_zFRyMPGcDshe"/>
      <w:bookmarkEnd w:id="213"/>
      <w:r>
        <w:rPr>
          <w:rFonts w:ascii="Times New Roman;Times;Serif" w:hAnsi="Times New Roman;Times;Serif"/>
          <w:b/>
          <w:i/>
          <w:caps w:val="false"/>
          <w:smallCaps w:val="false"/>
          <w:sz w:val="20"/>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of $</w:t>
      </w:r>
      <w:bookmarkStart w:id="214" w:name="xdx_90E_eus-gaap--CashAndCashEquivalents"/>
      <w:bookmarkEnd w:id="214"/>
      <w:r>
        <w:rPr>
          <w:rFonts w:ascii="Times New Roman;Times;Serif" w:hAnsi="Times New Roman;Times;Serif"/>
          <w:b w:val="false"/>
          <w:i w:val="false"/>
          <w:caps w:val="false"/>
          <w:smallCaps w:val="false"/>
          <w:sz w:val="20"/>
        </w:rPr>
        <w:t>4.9 million include all highly liquid investments with an original maturity of three months or less when purchased.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cash equivalents represented funds held in an interest-bearing demand deposit account, U.S. treasury bills, and a money market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215" w:name="xdx_846_eus-gaap--MarketableSecuritiesPo"/>
      <w:bookmarkEnd w:id="215"/>
      <w:r>
        <w:rPr>
          <w:rFonts w:ascii="Times New Roman;Times;Serif" w:hAnsi="Times New Roman;Times;Serif"/>
          <w:b/>
          <w:i/>
          <w:caps w:val="false"/>
          <w:smallCaps w:val="false"/>
          <w:sz w:val="20"/>
        </w:rPr>
        <w:t xml:space="preserve">(e) </w:t>
      </w:r>
      <w:bookmarkStart w:id="216" w:name="xdx_869_zgoauVTweF38"/>
      <w:bookmarkEnd w:id="216"/>
      <w:r>
        <w:rPr>
          <w:rFonts w:ascii="Times New Roman;Times;Serif" w:hAnsi="Times New Roman;Times;Serif"/>
          <w:b/>
          <w:i/>
          <w:caps w:val="false"/>
          <w:smallCaps w:val="false"/>
          <w:sz w:val="20"/>
        </w:rPr>
        <w:t>Marketable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Marketable securities are carried at fair value, with unrealized gains and losses reported as accumulated other comprehensive income, except for losses from impairments which are determined to be other than temporary. Realized gains and losses and declines in value judged to be other-than-temporary are included in the determination of net loss and are included in interest and other income net. Fair values are based on quoted market prices at the reporting date. Interest and dividends on available-for-sale securities are included in Interest and other income. As of March 31, 2026, marketable securities amounted to $</w:t>
      </w:r>
      <w:bookmarkStart w:id="217" w:name="xdx_901_eus-gaap--MarketableSecuritiesCu"/>
      <w:bookmarkEnd w:id="217"/>
      <w:r>
        <w:rPr>
          <w:rFonts w:ascii="Times New Roman;Times;Serif" w:hAnsi="Times New Roman;Times;Serif"/>
          <w:b w:val="false"/>
          <w:i w:val="false"/>
          <w:caps w:val="false"/>
          <w:smallCaps w:val="false"/>
          <w:sz w:val="20"/>
        </w:rPr>
        <w:t>4.0 million and consist of U.S. treasury bills. Unrealized gains or losses during 2026 and 2025 were not material.</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ELECTROCORE, INC. AND SUBSIDIARIES</w:t>
      </w:r>
    </w:p>
    <w:p>
      <w:pPr>
        <w:pStyle w:val="TextBody"/>
        <w:bidi w:val="0"/>
        <w:spacing w:before="0" w:after="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Notes to Condensed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218" w:name="xdx_84B_eus-gaap--NewAccountingPronounce"/>
      <w:bookmarkEnd w:id="218"/>
      <w:r>
        <w:rPr>
          <w:rFonts w:ascii="Times New Roman;Times;Serif" w:hAnsi="Times New Roman;Times;Serif"/>
          <w:b/>
          <w:i/>
          <w:caps w:val="false"/>
          <w:smallCaps w:val="false"/>
          <w:sz w:val="20"/>
        </w:rPr>
        <w:t xml:space="preserve">(f) </w:t>
      </w:r>
      <w:bookmarkStart w:id="219" w:name="xdx_868_z4pOXOqNmyPb"/>
      <w:bookmarkEnd w:id="219"/>
      <w:r>
        <w:rPr>
          <w:rFonts w:ascii="Times New Roman;Times;Serif" w:hAnsi="Times New Roman;Times;Serif"/>
          <w:b/>
          <w:i/>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FASB issued Accounting Standards Update (ASU) No. 2024-03, </w:t>
      </w:r>
      <w:r>
        <w:rPr>
          <w:rFonts w:ascii="Times New Roman;Times;Serif" w:hAnsi="Times New Roman;Times;Serif"/>
          <w:b w:val="false"/>
          <w:i/>
          <w:caps w:val="false"/>
          <w:smallCaps w:val="false"/>
          <w:sz w:val="20"/>
        </w:rPr>
        <w:t>Income Statement (Topic 220): Reporting Comprehensive Income - Expense Disaggregation Disclosures, Disaggregation of Income Statement Expenses</w:t>
      </w:r>
      <w:r>
        <w:rPr>
          <w:rFonts w:ascii="Times New Roman;Times;Serif" w:hAnsi="Times New Roman;Times;Serif"/>
          <w:b w:val="false"/>
          <w:i w:val="false"/>
          <w:caps w:val="false"/>
          <w:smallCaps w:val="false"/>
          <w:sz w:val="20"/>
        </w:rPr>
        <w:t>, which requires public companies to disclose, in interim and annual reporting periods, additional information about certain expenses in the financial statements. The amendments in this pronouncement will be effective for annual periods beginning after December 15, 2026, and interim reporting periods beginning after December 15, 2027. Early adoption is permitted and is effective on either a prospective basis or retrospective basis. The Company is currently assessing the potential impacts of adoption on its consolidated financial statements and related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2025, the FASB issued ASU 2025-05, </w:t>
      </w:r>
      <w:r>
        <w:rPr>
          <w:rFonts w:ascii="Times New Roman;Times;Serif" w:hAnsi="Times New Roman;Times;Serif"/>
          <w:b w:val="false"/>
          <w:i/>
          <w:caps w:val="false"/>
          <w:smallCaps w:val="false"/>
          <w:sz w:val="20"/>
        </w:rPr>
        <w:t>Financial Instruments — Credit Losses</w:t>
      </w:r>
      <w:r>
        <w:rPr>
          <w:rFonts w:ascii="Times New Roman;Times;Serif" w:hAnsi="Times New Roman;Times;Serif"/>
          <w:b w:val="false"/>
          <w:i w:val="false"/>
          <w:caps w:val="false"/>
          <w:smallCaps w:val="false"/>
          <w:sz w:val="20"/>
        </w:rPr>
        <w:t>, which provides a practical expedient for estimating expected credit losses for current accounts receivable and current contract assets that arise from transactions accounted for under Topic 606, Revenue from Contracts with Customers. ASU 2025-05 is effective for annual periods beginning after December 15, 2025 and interim periods within those annual reporting periods and should be applied prospectively, with early adoption permitted. The Company adopted this standard effective January 1, 2026 and have elected the practical expedient. This adoption did not materially affect the Company’s condensed consolidated financial statements and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2025, the FASB issued ASU 2025-12, </w:t>
      </w:r>
      <w:r>
        <w:rPr>
          <w:rFonts w:ascii="Times New Roman;Times;Serif" w:hAnsi="Times New Roman;Times;Serif"/>
          <w:b w:val="false"/>
          <w:i/>
          <w:caps w:val="false"/>
          <w:smallCaps w:val="false"/>
          <w:sz w:val="20"/>
        </w:rPr>
        <w:t>Codification Improvements</w:t>
      </w:r>
      <w:r>
        <w:rPr>
          <w:rFonts w:ascii="Times New Roman;Times;Serif" w:hAnsi="Times New Roman;Times;Serif"/>
          <w:b w:val="false"/>
          <w:i w:val="false"/>
          <w:caps w:val="false"/>
          <w:smallCaps w:val="false"/>
          <w:sz w:val="20"/>
        </w:rPr>
        <w:t>, which clarifies various topics in the Accounting Standards Codification to improve consistency and address technical corrections. Key improvements include clarifying the calculation of diluted earnings per share (EPS) when a loss from continuing operations exists. The amendments in this update are effective for the Company beginning January 1, 2027, with early adoption permitted. The Company is assessing the impact of adopting this standard.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2025, the FASB issued ASU 2025-11, </w:t>
      </w:r>
      <w:r>
        <w:rPr>
          <w:rFonts w:ascii="Times New Roman;Times;Serif" w:hAnsi="Times New Roman;Times;Serif"/>
          <w:b w:val="false"/>
          <w:i/>
          <w:caps w:val="false"/>
          <w:smallCaps w:val="false"/>
          <w:sz w:val="20"/>
        </w:rPr>
        <w:t>Interim Reporting (Topic 270): Narrow Scope Improvements</w:t>
      </w:r>
      <w:r>
        <w:rPr>
          <w:rFonts w:ascii="Times New Roman;Times;Serif" w:hAnsi="Times New Roman;Times;Serif"/>
          <w:b w:val="false"/>
          <w:i w:val="false"/>
          <w:caps w:val="false"/>
          <w:smallCaps w:val="false"/>
          <w:sz w:val="20"/>
        </w:rPr>
        <w:t>. This update clarifies the applicability of interim reporting guidance and the form and content of interim financial statements. It also establishes a disclosure principle requiring an entity to disclose material events and changes occurring since the end of the last annual reporting period. ASU 2025-11 is effective for the Company for interim periods within annual reporting periods beginning after December 15, 2027, with early adoption permitted. The Company is assessing the impact of adopting this standard.</w:t>
      </w:r>
    </w:p>
    <w:p>
      <w:pPr>
        <w:pStyle w:val="TextBody"/>
        <w:bidi w:val="0"/>
        <w:spacing w:before="0" w:after="0"/>
        <w:ind w:left="0" w:right="0" w:hanging="0"/>
        <w:jc w:val="both"/>
        <w:rPr>
          <w:caps w:val="false"/>
          <w:smallCaps w:val="false"/>
        </w:rPr>
      </w:pPr>
      <w:bookmarkStart w:id="220" w:name="xdx_858_zXaihHMJyds9"/>
      <w:bookmarkEnd w:id="220"/>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21" w:name="xdx_80B_ecustom--LiquidityCreditRisksAnd"/>
      <w:bookmarkEnd w:id="221"/>
      <w:r>
        <w:rPr>
          <w:rFonts w:ascii="Times New Roman;Times;Serif" w:hAnsi="Times New Roman;Times;Serif"/>
          <w:b/>
          <w:i w:val="false"/>
          <w:caps w:val="false"/>
          <w:smallCaps w:val="false"/>
          <w:sz w:val="20"/>
        </w:rPr>
        <w:t xml:space="preserve">Note 3. </w:t>
      </w:r>
      <w:bookmarkStart w:id="222" w:name="xdx_829_z60UVSQ0rN0k"/>
      <w:bookmarkEnd w:id="222"/>
      <w:r>
        <w:rPr>
          <w:rFonts w:ascii="Times New Roman;Times;Serif" w:hAnsi="Times New Roman;Times;Serif"/>
          <w:b/>
          <w:i w:val="false"/>
          <w:caps w:val="false"/>
          <w:smallCaps w:val="false"/>
          <w:sz w:val="20"/>
        </w:rPr>
        <w:t>Liquidity, Credit Risks and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experienced significant net losses, and it expects to continue to incur net losses for the near future as it works to increase market acceptance of its prescription (Rx) devices and general wellness and human performance products. The Company has never been profitable and has incurred net losses and negative cash used in operations each year since its inception. The Company incurred net losses of $</w:t>
      </w:r>
      <w:bookmarkStart w:id="223" w:name="xdx_907_eus-gaap--NetIncomeLoss_iN_pn5n6"/>
      <w:bookmarkEnd w:id="223"/>
      <w:r>
        <w:rPr>
          <w:rFonts w:ascii="Times New Roman;Times;Serif" w:hAnsi="Times New Roman;Times;Serif"/>
          <w:b w:val="false"/>
          <w:i w:val="false"/>
          <w:caps w:val="false"/>
          <w:smallCaps w:val="false"/>
          <w:sz w:val="20"/>
        </w:rPr>
        <w:t>5.3 million and $</w:t>
      </w:r>
      <w:bookmarkStart w:id="224" w:name="xdx_90E_eus-gaap--NetIncomeLoss_iN_pn5n6"/>
      <w:bookmarkEnd w:id="224"/>
      <w:r>
        <w:rPr>
          <w:rFonts w:ascii="Times New Roman;Times;Serif" w:hAnsi="Times New Roman;Times;Serif"/>
          <w:b w:val="false"/>
          <w:i w:val="false"/>
          <w:caps w:val="false"/>
          <w:smallCaps w:val="false"/>
          <w:sz w:val="20"/>
        </w:rPr>
        <w:t>3.9 million and used cash in its operations of $</w:t>
      </w:r>
      <w:bookmarkStart w:id="225" w:name="xdx_904_eus-gaap--NetCashProvidedByUsedI"/>
      <w:bookmarkEnd w:id="225"/>
      <w:r>
        <w:rPr>
          <w:rFonts w:ascii="Times New Roman;Times;Serif" w:hAnsi="Times New Roman;Times;Serif"/>
          <w:b w:val="false"/>
          <w:i w:val="false"/>
          <w:caps w:val="false"/>
          <w:smallCaps w:val="false"/>
          <w:sz w:val="20"/>
        </w:rPr>
        <w:t>3.0 million and $</w:t>
      </w:r>
      <w:bookmarkStart w:id="226" w:name="xdx_90D_eus-gaap--NetCashProvidedByUsedI"/>
      <w:bookmarkEnd w:id="226"/>
      <w:r>
        <w:rPr>
          <w:rFonts w:ascii="Times New Roman;Times;Serif" w:hAnsi="Times New Roman;Times;Serif"/>
          <w:b w:val="false"/>
          <w:i w:val="false"/>
          <w:caps w:val="false"/>
          <w:smallCaps w:val="false"/>
          <w:sz w:val="20"/>
        </w:rPr>
        <w:t>4.4 million for the three months ended March 31,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historically funded its operations with the proceeds of equity and debt financings. During the three months ended March 31, 2026, the Company received net proceeds of approximately $</w:t>
      </w:r>
      <w:bookmarkStart w:id="227" w:name="xdx_902_eus-gaap--SaleOfStockConsiderati"/>
      <w:bookmarkEnd w:id="227"/>
      <w:r>
        <w:rPr>
          <w:rFonts w:ascii="Times New Roman;Times;Serif" w:hAnsi="Times New Roman;Times;Serif"/>
          <w:b w:val="false"/>
          <w:i w:val="false"/>
          <w:caps w:val="false"/>
          <w:smallCaps w:val="false"/>
          <w:sz w:val="20"/>
        </w:rPr>
        <w:t xml:space="preserve">0.2 million from the exercise of </w:t>
      </w:r>
      <w:bookmarkStart w:id="228" w:name="xdx_90C_eus-gaap--ClassOfWarrantOrRightO"/>
      <w:bookmarkEnd w:id="228"/>
      <w:r>
        <w:rPr>
          <w:rFonts w:ascii="Times New Roman;Times;Serif" w:hAnsi="Times New Roman;Times;Serif"/>
          <w:b w:val="false"/>
          <w:i w:val="false"/>
          <w:caps w:val="false"/>
          <w:smallCaps w:val="false"/>
          <w:sz w:val="20"/>
        </w:rPr>
        <w:t>42,055 warrants at a weighted average exercise price of $</w:t>
      </w:r>
      <w:bookmarkStart w:id="229" w:name="xdx_906_eus-gaap--ClassOfWarrantOrRightE"/>
      <w:bookmarkEnd w:id="229"/>
      <w:r>
        <w:rPr>
          <w:rFonts w:ascii="Times New Roman;Times;Serif" w:hAnsi="Times New Roman;Times;Serif"/>
          <w:b w:val="false"/>
          <w:i w:val="false"/>
          <w:caps w:val="false"/>
          <w:smallCaps w:val="false"/>
          <w:sz w:val="20"/>
        </w:rPr>
        <w:t>5.30. Subsequent to March 31, 2026, the Company received proceeds of an additional $</w:t>
      </w:r>
      <w:bookmarkStart w:id="230" w:name="xdx_902_eus-gaap--ClassOfWarrantOrRightN"/>
      <w:bookmarkEnd w:id="230"/>
      <w:r>
        <w:rPr>
          <w:rFonts w:ascii="Times New Roman;Times;Serif" w:hAnsi="Times New Roman;Times;Serif"/>
          <w:b w:val="false"/>
          <w:i w:val="false"/>
          <w:caps w:val="false"/>
          <w:smallCaps w:val="false"/>
          <w:sz w:val="20"/>
        </w:rPr>
        <w:t>44,000 through the exercise of warrants. As of March 31, 2026, the Company’s cash, cash equivalents and marketable securities totalled $</w:t>
      </w:r>
      <w:bookmarkStart w:id="231" w:name="xdx_90E_eus-gaap--CashCashEquivalentsAnd"/>
      <w:bookmarkEnd w:id="231"/>
      <w:r>
        <w:rPr>
          <w:rFonts w:ascii="Times New Roman;Times;Serif" w:hAnsi="Times New Roman;Times;Serif"/>
          <w:b w:val="false"/>
          <w:i w:val="false"/>
          <w:caps w:val="false"/>
          <w:smallCaps w:val="false"/>
          <w:sz w:val="20"/>
        </w:rPr>
        <w:t>8.8 million (“Cash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24, 2025, our Form S-3 registration statement (File No. 333-284477), or the 2025 Shelf Registration Statement, was declared effective by the SEC. The 2025 Shelf Registration Statement relates to the potential offering and issuance from time to time of common stock, preferred stock, warrants, rights, debt securities and units, up to an aggregate amount of $</w:t>
      </w:r>
      <w:bookmarkStart w:id="232" w:name="xdx_906_ecustom--PotentialCashInflowsFro"/>
      <w:bookmarkEnd w:id="232"/>
      <w:r>
        <w:rPr>
          <w:rFonts w:ascii="Times New Roman;Times;Serif" w:hAnsi="Times New Roman;Times;Serif"/>
          <w:b w:val="false"/>
          <w:i w:val="false"/>
          <w:caps w:val="false"/>
          <w:smallCaps w:val="false"/>
          <w:sz w:val="20"/>
        </w:rPr>
        <w:t>100.0 million. The proposed maximum offering price per unit and the proposed maximum aggregate offering price per class of security in any future offering under the 2025 Shelf Registration Statement will be determined from time to time by us in connection with the issuance by us of the securities registered under the 2025 Shelf Registration Statement. As of May 1, 2026, we have $</w:t>
      </w:r>
      <w:bookmarkStart w:id="233" w:name="xdx_903_ecustom--PotentialCashInflowsFro"/>
      <w:bookmarkEnd w:id="233"/>
      <w:r>
        <w:rPr>
          <w:rFonts w:ascii="Times New Roman;Times;Serif" w:hAnsi="Times New Roman;Times;Serif"/>
          <w:b w:val="false"/>
          <w:i w:val="false"/>
          <w:caps w:val="false"/>
          <w:smallCaps w:val="false"/>
          <w:sz w:val="20"/>
        </w:rPr>
        <w:t>99.0 million remaining for potential issuance under the 2025 Shelf Registration Statement (including $</w:t>
      </w:r>
      <w:bookmarkStart w:id="234" w:name="xdx_906_ecustom--RemainingValueAvailable"/>
      <w:bookmarkEnd w:id="234"/>
      <w:r>
        <w:rPr>
          <w:rFonts w:ascii="Times New Roman;Times;Serif" w:hAnsi="Times New Roman;Times;Serif"/>
          <w:b w:val="false"/>
          <w:i w:val="false"/>
          <w:caps w:val="false"/>
          <w:smallCaps w:val="false"/>
          <w:sz w:val="20"/>
        </w:rPr>
        <w:t>18.8 million under the Sales Agreement (as defined below)). As of the date of this Quarterly Report, the aggregate market value of our securities held by non-affiliates is below $</w:t>
      </w:r>
      <w:bookmarkStart w:id="235" w:name="xdx_900_ecustom--PotentialSecuritiesHeld"/>
      <w:bookmarkEnd w:id="235"/>
      <w:r>
        <w:rPr>
          <w:rFonts w:ascii="Times New Roman;Times;Serif" w:hAnsi="Times New Roman;Times;Serif"/>
          <w:b w:val="false"/>
          <w:i w:val="false"/>
          <w:caps w:val="false"/>
          <w:smallCaps w:val="false"/>
          <w:sz w:val="20"/>
        </w:rPr>
        <w:t>75.0 million, and until such time as the aggregate market value of our securities held by non-affiliates equals or exceeds $</w:t>
      </w:r>
      <w:bookmarkStart w:id="236" w:name="xdx_908_ecustom--PotentialSecuritiesHeld"/>
      <w:bookmarkEnd w:id="236"/>
      <w:r>
        <w:rPr>
          <w:rFonts w:ascii="Times New Roman;Times;Serif" w:hAnsi="Times New Roman;Times;Serif"/>
          <w:b w:val="false"/>
          <w:i w:val="false"/>
          <w:caps w:val="false"/>
          <w:smallCaps w:val="false"/>
          <w:sz w:val="20"/>
        </w:rPr>
        <w:t>75.0 million, the aggregate maximum offering price of all securities deemed to be issued by us in any given 12-calendar month period pursuant the 2025 Shelf Registration Statement may not exceed one-third of the aggregate market value of our securities held by non-affiliates, and thus may be limited. If we raise additional funds by issuing equity or debt securities, either through the sale of securities pursuant to a registration statement or by other means, our existing stockholders may experience dilution, and the new equity or debt securities may have rights, preferences and privileges senior to those of our existing stockholders.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ELECTROCORE, INC. AND SUBSIDIARIES</w:t>
      </w:r>
    </w:p>
    <w:p>
      <w:pPr>
        <w:pStyle w:val="TextBody"/>
        <w:bidi w:val="0"/>
        <w:spacing w:before="0" w:after="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Notes to Condensed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29, 2024, we entered into an At The Market Offering Agreement (the “Sales Agreement”) with H.C. Wainwright &amp; Co., LLC (“Wainwright”), whereby the Company may offer and sell shares of its common stock from time to time having an aggregate offering price of up to $</w:t>
      </w:r>
      <w:bookmarkStart w:id="237" w:name="xdx_900_eus-gaap--ProceedsFromIssuanceOf"/>
      <w:bookmarkEnd w:id="237"/>
      <w:r>
        <w:rPr>
          <w:rFonts w:ascii="Times New Roman;Times;Serif" w:hAnsi="Times New Roman;Times;Serif"/>
          <w:b w:val="false"/>
          <w:i w:val="false"/>
          <w:caps w:val="false"/>
          <w:smallCaps w:val="false"/>
          <w:sz w:val="20"/>
        </w:rPr>
        <w:t xml:space="preserve">20.0 million by any method deemed to be an “at-the-market” offering (“ATM”) as defined in Rule 415 of the Securities Act, or any other method specified in the Sales Agreement. No sales were made pursuant to the Sales Agreement during the three months ended March 31, 2026. Subsequent to that date, the Company sold </w:t>
      </w:r>
      <w:bookmarkStart w:id="238" w:name="xdx_906_eus-gaap--SaleOfStockNumberOfSha"/>
      <w:bookmarkEnd w:id="238"/>
      <w:r>
        <w:rPr>
          <w:rFonts w:ascii="Times New Roman;Times;Serif" w:hAnsi="Times New Roman;Times;Serif"/>
          <w:b w:val="false"/>
          <w:i w:val="false"/>
          <w:caps w:val="false"/>
          <w:smallCaps w:val="false"/>
          <w:sz w:val="20"/>
        </w:rPr>
        <w:t>150,357 shares of its common stock at a weighted average price of $</w:t>
      </w:r>
      <w:bookmarkStart w:id="239" w:name="xdx_907_eus-gaap--SaleOfStockPricePerSha"/>
      <w:bookmarkEnd w:id="239"/>
      <w:r>
        <w:rPr>
          <w:rFonts w:ascii="Times New Roman;Times;Serif" w:hAnsi="Times New Roman;Times;Serif"/>
          <w:b w:val="false"/>
          <w:i w:val="false"/>
          <w:caps w:val="false"/>
          <w:smallCaps w:val="false"/>
          <w:sz w:val="20"/>
        </w:rPr>
        <w:t>6.62 per share, net of issuance costs, for approximately $</w:t>
      </w:r>
      <w:bookmarkStart w:id="240" w:name="xdx_90E_eus-gaap--ProceedsFromIssuanceOf"/>
      <w:bookmarkEnd w:id="240"/>
      <w:r>
        <w:rPr>
          <w:rFonts w:ascii="Times New Roman;Times;Serif" w:hAnsi="Times New Roman;Times;Serif"/>
          <w:b w:val="false"/>
          <w:i w:val="false"/>
          <w:caps w:val="false"/>
          <w:smallCaps w:val="false"/>
          <w:sz w:val="20"/>
        </w:rPr>
        <w:t>0.96 million in net proceeds, pursuant to the Sales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4, 2025 (the “LSA Closing Date”), we, and our wholly owned subsidiary, NURO, each as borrowers, entered into a Loan and Security Agreement (the “Loan and Security Agreement”), with Avenue Opportunities Fund II, L.P. (“Avenue”). The Loan and Security Agreement provided for term loans in an aggregate principal amount of up to $</w:t>
      </w:r>
      <w:bookmarkStart w:id="241" w:name="xdx_905_eus-gaap--DebtInstrumentFaceAmou"/>
      <w:bookmarkEnd w:id="241"/>
      <w:r>
        <w:rPr>
          <w:rFonts w:ascii="Times New Roman;Times;Serif" w:hAnsi="Times New Roman;Times;Serif"/>
          <w:b w:val="false"/>
          <w:i w:val="false"/>
          <w:caps w:val="false"/>
          <w:smallCaps w:val="false"/>
          <w:sz w:val="20"/>
        </w:rPr>
        <w:t>12.0 million, of which $</w:t>
      </w:r>
      <w:bookmarkStart w:id="242" w:name="xdx_900_eus-gaap--DebtInstrumentIssuedPr"/>
      <w:bookmarkEnd w:id="242"/>
      <w:r>
        <w:rPr>
          <w:rFonts w:ascii="Times New Roman;Times;Serif" w:hAnsi="Times New Roman;Times;Serif"/>
          <w:b w:val="false"/>
          <w:i w:val="false"/>
          <w:caps w:val="false"/>
          <w:smallCaps w:val="false"/>
          <w:sz w:val="20"/>
        </w:rPr>
        <w:t>7.5 million was advanced on the LSA Closing Date and the remaining availability expired on December 31, 2025. See “Note 9 – Long-Term Debt” for further information regarding the Loan and Security Agreement, and related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remainder of 2026, we intend to continue to make targeted investments in sales and marketing to continue driving commercial activities. We have historically funded our operations from the sale of our common stock and debt financing, and may continue to do so through utilization of the at-the-market facility pursuant to the Sales Agreement, or other equity or debt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expected cash flow from operations and expected access to capital from existing and/or future debt and equity sources, the Company’s currently forecasted cash is less than the requirements to fund its operating expenses and capital expenditure requirements, as currently planned, for at least the next 12 months from the date the accompanying condensed consolidated financial statements are issued. These factors raise substantial doubt regarding the Company’s ability to continue as a going concern. There remain significant risks and uncertainties regarding the Company’s business, financial condition and results of operations. Due to these risks and uncertainties, there can be no assurance that we will have sufficient cash flow and liquidity to fund our planned activities, which could force us to significantly reduce or curtail our activities and, ultimately, potentially cease operations. The accompanying condensed consolidated financial statements do not include any adjustment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Concentration of Revenue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earns a significant amount of its revenue in the United States from the United States Department of Veterans Affairs, or VA, channel pursuant to its qualifying contract under the Federal Supply Schedule, or FSS, and open market sales to individual VA facilities. For the three months ended March 31, 2026 and 2025, the VA accounted for </w:t>
      </w:r>
      <w:bookmarkStart w:id="243" w:name="xdx_908_eus-gaap--ConcentrationRiskPerce"/>
      <w:bookmarkEnd w:id="243"/>
      <w:r>
        <w:rPr>
          <w:rFonts w:ascii="Times New Roman;Times;Serif" w:hAnsi="Times New Roman;Times;Serif"/>
          <w:b w:val="false"/>
          <w:i w:val="false"/>
          <w:caps w:val="false"/>
          <w:smallCaps w:val="false"/>
          <w:sz w:val="20"/>
        </w:rPr>
        <w:t xml:space="preserve">74.8% and </w:t>
      </w:r>
      <w:bookmarkStart w:id="244" w:name="xdx_903_eus-gaap--ConcentrationRiskPerce"/>
      <w:bookmarkEnd w:id="244"/>
      <w:r>
        <w:rPr>
          <w:rFonts w:ascii="Times New Roman;Times;Serif" w:hAnsi="Times New Roman;Times;Serif"/>
          <w:b w:val="false"/>
          <w:i w:val="false"/>
          <w:caps w:val="false"/>
          <w:smallCaps w:val="false"/>
          <w:sz w:val="20"/>
        </w:rPr>
        <w:t>70.3% of net sales,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and 2025, sales through our non-exclusive distribution agreement with Lovell Government Services, or Lovell, accounted for more than 10% of our VA net sales. As of March 31, 2026 and December 31, 2025, Lovell accounted for more than 10% of our accounts receivable. During the three months ended March 31, 2026 and 2025, sales associated with no single facility accounted for more than 10% of the total VA net sales. Lovell is a Service-Disabled Veteran-Owned Small Business (SDVOSB) offering medical and pharmaceutical goods and services to federal healthcare providers. During the three months ended March 31, 2026 and 2025, one facility accounted for more than 10% of net sales from the United Kingdom National Health Service (“NHS”).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Foreign Currency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foreign currency exchange risks related to revenue and operating expenses in currencies other than the local currencies in which it operates. The Company is exposed to currency risk from the potential changes in the functional currency values of its assets, liabilities, and cash flows denominated in foreign currencies.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ELECTROCORE, INC. AND SUBSIDIARIES</w:t>
      </w:r>
    </w:p>
    <w:p>
      <w:pPr>
        <w:pStyle w:val="TextBody"/>
        <w:bidi w:val="0"/>
        <w:spacing w:before="0" w:after="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Notes to Condensed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45" w:name="xdx_80B_eus-gaap--RevenueFromContractWit"/>
      <w:bookmarkEnd w:id="245"/>
      <w:r>
        <w:rPr>
          <w:rFonts w:ascii="Times New Roman;Times;Serif" w:hAnsi="Times New Roman;Times;Serif"/>
          <w:b/>
          <w:i w:val="false"/>
          <w:caps w:val="false"/>
          <w:smallCaps w:val="false"/>
          <w:sz w:val="20"/>
        </w:rPr>
        <w:t xml:space="preserve">Note 4. </w:t>
      </w:r>
      <w:bookmarkStart w:id="246" w:name="xdx_823_zcyAGdnGKsi9"/>
      <w:bookmarkEnd w:id="246"/>
      <w:r>
        <w:rPr>
          <w:rFonts w:ascii="Times New Roman;Times;Serif" w:hAnsi="Times New Roman;Times;Serif"/>
          <w:b/>
          <w:i w:val="false"/>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47" w:name="xdx_893_eus-gaap--DisaggregationOfRevenu"/>
      <w:bookmarkEnd w:id="247"/>
      <w:r>
        <w:rPr>
          <w:rFonts w:ascii="Times New Roman;Times;Serif" w:hAnsi="Times New Roman;Times;Serif"/>
          <w:b w:val="false"/>
          <w:i w:val="false"/>
          <w:caps w:val="false"/>
          <w:smallCaps w:val="false"/>
          <w:sz w:val="20"/>
        </w:rPr>
        <w:t>The following tables represent product net sales disaggregated by Channel and Geographic Market (in thousands):</w:t>
      </w:r>
    </w:p>
    <w:p>
      <w:pPr>
        <w:pStyle w:val="TextBody"/>
        <w:bidi w:val="0"/>
        <w:spacing w:before="0" w:after="0"/>
        <w:ind w:left="0" w:right="0" w:hanging="0"/>
        <w:jc w:val="left"/>
        <w:rPr>
          <w:caps w:val="false"/>
          <w:smallCaps w:val="false"/>
        </w:rPr>
      </w:pPr>
      <w:r>
        <w:rPr>
          <w:caps w:val="false"/>
          <w:smallCaps w:val="false"/>
        </w:rPr>
        <w:t> </w:t>
      </w:r>
      <w:bookmarkStart w:id="248" w:name="xdx_8B4_zAvzeNTGQIN6"/>
      <w:bookmarkEnd w:id="248"/>
      <w:r>
        <w:rPr>
          <w:rFonts w:ascii="Times New Roman;Times;Serif" w:hAnsi="Times New Roman;Times;Serif"/>
          <w:b w:val="false"/>
          <w:i w:val="false"/>
          <w:caps w:val="false"/>
          <w:smallCaps w:val="false"/>
          <w:sz w:val="20"/>
        </w:rPr>
        <w:t>Schedule of Net Sales Disaggregated By Channel</w:t>
      </w:r>
    </w:p>
    <w:tbl>
      <w:tblPr>
        <w:tblW w:w="4867" w:type="dxa"/>
        <w:jc w:val="left"/>
        <w:tblInd w:w="0" w:type="dxa"/>
        <w:tblLayout w:type="fixed"/>
        <w:tblCellMar>
          <w:top w:w="0" w:type="dxa"/>
          <w:left w:w="0" w:type="dxa"/>
          <w:bottom w:w="28" w:type="dxa"/>
          <w:right w:w="0" w:type="dxa"/>
        </w:tblCellMar>
      </w:tblPr>
      <w:tblGrid>
        <w:gridCol w:w="2090"/>
        <w:gridCol w:w="60"/>
        <w:gridCol w:w="246"/>
        <w:gridCol w:w="957"/>
        <w:gridCol w:w="118"/>
        <w:gridCol w:w="118"/>
        <w:gridCol w:w="246"/>
        <w:gridCol w:w="957"/>
        <w:gridCol w:w="75"/>
      </w:tblGrid>
      <w:tr>
        <w:trPr/>
        <w:tc>
          <w:tcPr>
            <w:tcW w:w="209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Channel:</w:t>
            </w:r>
          </w:p>
        </w:tc>
        <w:tc>
          <w:tcPr>
            <w:tcW w:w="60" w:type="dxa"/>
            <w:tcBorders/>
            <w:tcMar>
              <w:bottom w:w="0" w:type="dxa"/>
            </w:tcMar>
            <w:vAlign w:val="center"/>
          </w:tcPr>
          <w:p>
            <w:pPr>
              <w:pStyle w:val="TableContents"/>
              <w:bidi w:val="0"/>
              <w:spacing w:before="0" w:after="283"/>
              <w:jc w:val="left"/>
              <w:rPr/>
            </w:pPr>
            <w:r>
              <w:rPr/>
              <w:t> </w:t>
            </w:r>
            <w:bookmarkStart w:id="249" w:name="xdx_492_20260101__20260331_zJKNolWlAeAe"/>
            <w:bookmarkEnd w:id="249"/>
          </w:p>
        </w:tc>
        <w:tc>
          <w:tcPr>
            <w:tcW w:w="120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118" w:type="dxa"/>
            <w:tcBorders/>
            <w:tcMar>
              <w:bottom w:w="0" w:type="dxa"/>
            </w:tcMar>
            <w:vAlign w:val="center"/>
          </w:tcPr>
          <w:p>
            <w:pPr>
              <w:pStyle w:val="TableContents"/>
              <w:bidi w:val="0"/>
              <w:spacing w:before="0" w:after="283"/>
              <w:jc w:val="left"/>
              <w:rPr/>
            </w:pPr>
            <w:r>
              <w:rPr/>
              <w:t> </w:t>
            </w:r>
          </w:p>
        </w:tc>
        <w:tc>
          <w:tcPr>
            <w:tcW w:w="118" w:type="dxa"/>
            <w:tcBorders/>
            <w:tcMar>
              <w:bottom w:w="0" w:type="dxa"/>
            </w:tcMar>
            <w:vAlign w:val="center"/>
          </w:tcPr>
          <w:p>
            <w:pPr>
              <w:pStyle w:val="TableContents"/>
              <w:bidi w:val="0"/>
              <w:spacing w:before="0" w:after="283"/>
              <w:jc w:val="left"/>
              <w:rPr/>
            </w:pPr>
            <w:r>
              <w:rPr/>
              <w:t> </w:t>
            </w:r>
            <w:bookmarkStart w:id="250" w:name="xdx_491_20250101__20250331_zh5HAgxBxZmk"/>
            <w:bookmarkEnd w:id="250"/>
          </w:p>
        </w:tc>
        <w:tc>
          <w:tcPr>
            <w:tcW w:w="120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75" w:type="dxa"/>
            <w:tcBorders/>
            <w:tcMar>
              <w:bottom w:w="0" w:type="dxa"/>
            </w:tcMar>
            <w:vAlign w:val="center"/>
          </w:tcPr>
          <w:p>
            <w:pPr>
              <w:pStyle w:val="TableContents"/>
              <w:bidi w:val="0"/>
              <w:spacing w:before="0" w:after="283"/>
              <w:jc w:val="left"/>
              <w:rPr/>
            </w:pPr>
            <w:r>
              <w:rPr/>
              <w:t> </w:t>
            </w:r>
          </w:p>
        </w:tc>
      </w:tr>
      <w:tr>
        <w:trPr/>
        <w:tc>
          <w:tcPr>
            <w:tcW w:w="20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642"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Three months ended March 31,</w:t>
            </w:r>
          </w:p>
        </w:tc>
        <w:tc>
          <w:tcPr>
            <w:tcW w:w="75" w:type="dxa"/>
            <w:tcBorders/>
            <w:tcMar>
              <w:bottom w:w="0" w:type="dxa"/>
            </w:tcMar>
            <w:vAlign w:val="center"/>
          </w:tcPr>
          <w:p>
            <w:pPr>
              <w:pStyle w:val="TableContents"/>
              <w:bidi w:val="0"/>
              <w:spacing w:before="0" w:after="283"/>
              <w:jc w:val="left"/>
              <w:rPr/>
            </w:pPr>
            <w:r>
              <w:rPr/>
              <w:t> </w:t>
            </w:r>
          </w:p>
        </w:tc>
      </w:tr>
      <w:tr>
        <w:trPr/>
        <w:tc>
          <w:tcPr>
            <w:tcW w:w="209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Channel:</w:t>
            </w:r>
          </w:p>
        </w:tc>
        <w:tc>
          <w:tcPr>
            <w:tcW w:w="60" w:type="dxa"/>
            <w:tcBorders/>
            <w:tcMar>
              <w:bottom w:w="0" w:type="dxa"/>
            </w:tcMar>
            <w:vAlign w:val="center"/>
          </w:tcPr>
          <w:p>
            <w:pPr>
              <w:pStyle w:val="TableContents"/>
              <w:bidi w:val="0"/>
              <w:spacing w:before="0" w:after="283"/>
              <w:jc w:val="left"/>
              <w:rPr/>
            </w:pPr>
            <w:r>
              <w:rPr/>
              <w:t> </w:t>
            </w:r>
          </w:p>
        </w:tc>
        <w:tc>
          <w:tcPr>
            <w:tcW w:w="120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118" w:type="dxa"/>
            <w:tcBorders/>
            <w:tcMar>
              <w:bottom w:w="0" w:type="dxa"/>
            </w:tcMar>
            <w:vAlign w:val="center"/>
          </w:tcPr>
          <w:p>
            <w:pPr>
              <w:pStyle w:val="TableContents"/>
              <w:bidi w:val="0"/>
              <w:spacing w:before="0" w:after="283"/>
              <w:jc w:val="left"/>
              <w:rPr/>
            </w:pPr>
            <w:r>
              <w:rPr/>
              <w:t> </w:t>
            </w:r>
          </w:p>
        </w:tc>
        <w:tc>
          <w:tcPr>
            <w:tcW w:w="118" w:type="dxa"/>
            <w:tcBorders/>
            <w:tcMar>
              <w:bottom w:w="0" w:type="dxa"/>
            </w:tcMar>
            <w:vAlign w:val="center"/>
          </w:tcPr>
          <w:p>
            <w:pPr>
              <w:pStyle w:val="TableContents"/>
              <w:bidi w:val="0"/>
              <w:spacing w:before="0" w:after="283"/>
              <w:jc w:val="left"/>
              <w:rPr/>
            </w:pPr>
            <w:r>
              <w:rPr/>
              <w:t> </w:t>
            </w:r>
          </w:p>
        </w:tc>
        <w:tc>
          <w:tcPr>
            <w:tcW w:w="120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75" w:type="dxa"/>
            <w:tcBorders/>
            <w:tcMar>
              <w:bottom w:w="0" w:type="dxa"/>
            </w:tcMar>
            <w:vAlign w:val="center"/>
          </w:tcPr>
          <w:p>
            <w:pPr>
              <w:pStyle w:val="TableContents"/>
              <w:bidi w:val="0"/>
              <w:spacing w:before="0" w:after="283"/>
              <w:jc w:val="left"/>
              <w:rPr/>
            </w:pPr>
            <w:r>
              <w:rPr/>
              <w:t> </w:t>
            </w:r>
            <w:bookmarkStart w:id="251" w:name="xdx_401_eus-gaap--RevenueFromContractWit"/>
            <w:bookmarkEnd w:id="251"/>
          </w:p>
        </w:tc>
      </w:tr>
      <w:tr>
        <w:trPr/>
        <w:tc>
          <w:tcPr>
            <w:tcW w:w="20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 – Rx</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7,421</w:t>
            </w:r>
          </w:p>
        </w:tc>
        <w:tc>
          <w:tcPr>
            <w:tcW w:w="118"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24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5,005</w:t>
            </w:r>
          </w:p>
        </w:tc>
        <w:tc>
          <w:tcPr>
            <w:tcW w:w="75" w:type="dxa"/>
            <w:tcBorders/>
            <w:shd w:fill="CCEEFF" w:val="clear"/>
            <w:tcMar>
              <w:bottom w:w="0" w:type="dxa"/>
            </w:tcMar>
            <w:vAlign w:val="center"/>
          </w:tcPr>
          <w:p>
            <w:pPr>
              <w:pStyle w:val="TableContents"/>
              <w:bidi w:val="0"/>
              <w:spacing w:before="0" w:after="283"/>
              <w:jc w:val="left"/>
              <w:rPr/>
            </w:pPr>
            <w:r>
              <w:rPr/>
              <w:t> </w:t>
            </w:r>
            <w:bookmarkStart w:id="252" w:name="xdx_40B_eus-gaap--RevenueFromContractWit"/>
            <w:bookmarkEnd w:id="252"/>
          </w:p>
        </w:tc>
      </w:tr>
      <w:tr>
        <w:trPr/>
        <w:tc>
          <w:tcPr>
            <w:tcW w:w="209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Wellness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6" w:type="dxa"/>
            <w:tcBorders/>
            <w:shd w:fill="FFFFFF" w:val="clear"/>
            <w:tcMar>
              <w:bottom w:w="0" w:type="dxa"/>
            </w:tcMar>
            <w:vAlign w:val="center"/>
          </w:tcPr>
          <w:p>
            <w:pPr>
              <w:pStyle w:val="TableContents"/>
              <w:bidi w:val="0"/>
              <w:spacing w:before="0" w:after="283"/>
              <w:jc w:val="left"/>
              <w:rPr/>
            </w:pPr>
            <w:r>
              <w:rPr/>
              <w:t> </w:t>
            </w:r>
          </w:p>
        </w:tc>
        <w:tc>
          <w:tcPr>
            <w:tcW w:w="95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1,588</w:t>
            </w:r>
          </w:p>
        </w:tc>
        <w:tc>
          <w:tcPr>
            <w:tcW w:w="118"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jc w:val="left"/>
              <w:rPr/>
            </w:pPr>
            <w:r>
              <w:rPr/>
              <w:t> </w:t>
            </w:r>
          </w:p>
        </w:tc>
        <w:tc>
          <w:tcPr>
            <w:tcW w:w="246" w:type="dxa"/>
            <w:tcBorders/>
            <w:shd w:fill="FFFFFF" w:val="clear"/>
            <w:tcMar>
              <w:bottom w:w="0" w:type="dxa"/>
            </w:tcMar>
            <w:vAlign w:val="center"/>
          </w:tcPr>
          <w:p>
            <w:pPr>
              <w:pStyle w:val="TableContents"/>
              <w:bidi w:val="0"/>
              <w:spacing w:before="0" w:after="283"/>
              <w:jc w:val="left"/>
              <w:rPr/>
            </w:pPr>
            <w:r>
              <w:rPr/>
              <w:t> </w:t>
            </w:r>
          </w:p>
        </w:tc>
        <w:tc>
          <w:tcPr>
            <w:tcW w:w="95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1,106</w:t>
            </w:r>
          </w:p>
        </w:tc>
        <w:tc>
          <w:tcPr>
            <w:tcW w:w="75" w:type="dxa"/>
            <w:tcBorders/>
            <w:shd w:fill="FFFFFF" w:val="clear"/>
            <w:tcMar>
              <w:bottom w:w="0" w:type="dxa"/>
            </w:tcMar>
            <w:vAlign w:val="center"/>
          </w:tcPr>
          <w:p>
            <w:pPr>
              <w:pStyle w:val="TableContents"/>
              <w:bidi w:val="0"/>
              <w:spacing w:before="0" w:after="283"/>
              <w:jc w:val="left"/>
              <w:rPr/>
            </w:pPr>
            <w:r>
              <w:rPr/>
              <w:t> </w:t>
            </w:r>
            <w:bookmarkStart w:id="253" w:name="xdx_404_eus-gaap--RevenueFromContractWit"/>
            <w:bookmarkEnd w:id="253"/>
          </w:p>
        </w:tc>
      </w:tr>
      <w:tr>
        <w:trPr/>
        <w:tc>
          <w:tcPr>
            <w:tcW w:w="20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Outside the 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6" w:type="dxa"/>
            <w:tcBorders/>
            <w:shd w:fill="CCEEFF" w:val="clear"/>
            <w:tcMar>
              <w:bottom w:w="0" w:type="dxa"/>
            </w:tcMar>
            <w:vAlign w:val="center"/>
          </w:tcPr>
          <w:p>
            <w:pPr>
              <w:pStyle w:val="TableContents"/>
              <w:bidi w:val="0"/>
              <w:spacing w:before="0" w:after="283"/>
              <w:jc w:val="left"/>
              <w:rPr/>
            </w:pPr>
            <w:r>
              <w:rPr/>
              <w:t> </w:t>
            </w:r>
          </w:p>
        </w:tc>
        <w:tc>
          <w:tcPr>
            <w:tcW w:w="95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502</w:t>
            </w:r>
          </w:p>
        </w:tc>
        <w:tc>
          <w:tcPr>
            <w:tcW w:w="118"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246" w:type="dxa"/>
            <w:tcBorders/>
            <w:shd w:fill="CCEEFF" w:val="clear"/>
            <w:tcMar>
              <w:bottom w:w="0" w:type="dxa"/>
            </w:tcMar>
            <w:vAlign w:val="center"/>
          </w:tcPr>
          <w:p>
            <w:pPr>
              <w:pStyle w:val="TableContents"/>
              <w:bidi w:val="0"/>
              <w:spacing w:before="0" w:after="283"/>
              <w:jc w:val="left"/>
              <w:rPr/>
            </w:pPr>
            <w:r>
              <w:rPr/>
              <w:t> </w:t>
            </w:r>
          </w:p>
        </w:tc>
        <w:tc>
          <w:tcPr>
            <w:tcW w:w="95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498</w:t>
            </w:r>
          </w:p>
        </w:tc>
        <w:tc>
          <w:tcPr>
            <w:tcW w:w="75" w:type="dxa"/>
            <w:tcBorders/>
            <w:shd w:fill="CCEEFF" w:val="clear"/>
            <w:tcMar>
              <w:bottom w:w="0" w:type="dxa"/>
            </w:tcMar>
            <w:vAlign w:val="center"/>
          </w:tcPr>
          <w:p>
            <w:pPr>
              <w:pStyle w:val="TableContents"/>
              <w:bidi w:val="0"/>
              <w:spacing w:before="0" w:after="283"/>
              <w:jc w:val="left"/>
              <w:rPr/>
            </w:pPr>
            <w:r>
              <w:rPr/>
              <w:t> </w:t>
            </w:r>
            <w:bookmarkStart w:id="254" w:name="xdx_400_eus-gaap--RevenueFromContractWit"/>
            <w:bookmarkEnd w:id="254"/>
          </w:p>
        </w:tc>
      </w:tr>
      <w:tr>
        <w:trPr/>
        <w:tc>
          <w:tcPr>
            <w:tcW w:w="209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TAC-STIM</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6" w:type="dxa"/>
            <w:tcBorders/>
            <w:shd w:fill="FFFFFF" w:val="clear"/>
            <w:tcMar>
              <w:bottom w:w="0" w:type="dxa"/>
            </w:tcMar>
            <w:vAlign w:val="center"/>
          </w:tcPr>
          <w:p>
            <w:pPr>
              <w:pStyle w:val="TableContents"/>
              <w:bidi w:val="0"/>
              <w:spacing w:before="0" w:after="283"/>
              <w:jc w:val="left"/>
              <w:rPr/>
            </w:pPr>
            <w:r>
              <w:rPr/>
              <w:t> </w:t>
            </w:r>
          </w:p>
        </w:tc>
        <w:tc>
          <w:tcPr>
            <w:tcW w:w="95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c>
          <w:tcPr>
            <w:tcW w:w="118"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jc w:val="left"/>
              <w:rPr/>
            </w:pPr>
            <w:r>
              <w:rPr/>
              <w:t> </w:t>
            </w:r>
          </w:p>
        </w:tc>
        <w:tc>
          <w:tcPr>
            <w:tcW w:w="246" w:type="dxa"/>
            <w:tcBorders/>
            <w:shd w:fill="FFFFFF" w:val="clear"/>
            <w:tcMar>
              <w:bottom w:w="0" w:type="dxa"/>
            </w:tcMar>
            <w:vAlign w:val="center"/>
          </w:tcPr>
          <w:p>
            <w:pPr>
              <w:pStyle w:val="TableContents"/>
              <w:bidi w:val="0"/>
              <w:spacing w:before="0" w:after="283"/>
              <w:jc w:val="left"/>
              <w:rPr/>
            </w:pPr>
            <w:r>
              <w:rPr/>
              <w:t> </w:t>
            </w:r>
          </w:p>
        </w:tc>
        <w:tc>
          <w:tcPr>
            <w:tcW w:w="95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w:t>
            </w:r>
          </w:p>
        </w:tc>
        <w:tc>
          <w:tcPr>
            <w:tcW w:w="75" w:type="dxa"/>
            <w:tcBorders/>
            <w:shd w:fill="FFFFFF" w:val="clear"/>
            <w:tcMar>
              <w:bottom w:w="0" w:type="dxa"/>
            </w:tcMar>
            <w:vAlign w:val="center"/>
          </w:tcPr>
          <w:p>
            <w:pPr>
              <w:pStyle w:val="TableContents"/>
              <w:bidi w:val="0"/>
              <w:spacing w:before="0" w:after="283"/>
              <w:jc w:val="left"/>
              <w:rPr/>
            </w:pPr>
            <w:r>
              <w:rPr/>
              <w:t> </w:t>
            </w:r>
            <w:bookmarkStart w:id="255" w:name="xdx_407_eus-gaap--RevenueFromContractWit"/>
            <w:bookmarkEnd w:id="255"/>
          </w:p>
        </w:tc>
      </w:tr>
      <w:tr>
        <w:trPr/>
        <w:tc>
          <w:tcPr>
            <w:tcW w:w="20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In-License / Other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6" w:type="dxa"/>
            <w:tcBorders>
              <w:bottom w:val="single" w:sz="8" w:space="0" w:color="000000"/>
            </w:tcBorders>
            <w:shd w:fill="CCEEFF" w:val="clear"/>
            <w:vAlign w:val="center"/>
          </w:tcPr>
          <w:p>
            <w:pPr>
              <w:pStyle w:val="TableContents"/>
              <w:bidi w:val="0"/>
              <w:spacing w:before="0" w:after="283"/>
              <w:jc w:val="left"/>
              <w:rPr/>
            </w:pPr>
            <w:r>
              <w:rPr/>
              <w:t> </w:t>
            </w:r>
          </w:p>
        </w:tc>
        <w:tc>
          <w:tcPr>
            <w:tcW w:w="957"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c>
          <w:tcPr>
            <w:tcW w:w="118"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246" w:type="dxa"/>
            <w:tcBorders>
              <w:bottom w:val="single" w:sz="8" w:space="0" w:color="000000"/>
            </w:tcBorders>
            <w:shd w:fill="CCEEFF" w:val="clear"/>
            <w:vAlign w:val="center"/>
          </w:tcPr>
          <w:p>
            <w:pPr>
              <w:pStyle w:val="TableContents"/>
              <w:bidi w:val="0"/>
              <w:spacing w:before="0" w:after="283"/>
              <w:jc w:val="left"/>
              <w:rPr/>
            </w:pPr>
            <w:r>
              <w:rPr/>
              <w:t> </w:t>
            </w:r>
          </w:p>
        </w:tc>
        <w:tc>
          <w:tcPr>
            <w:tcW w:w="957"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c>
          <w:tcPr>
            <w:tcW w:w="75" w:type="dxa"/>
            <w:tcBorders/>
            <w:shd w:fill="CCEEFF" w:val="clear"/>
            <w:tcMar>
              <w:bottom w:w="0" w:type="dxa"/>
            </w:tcMar>
            <w:vAlign w:val="center"/>
          </w:tcPr>
          <w:p>
            <w:pPr>
              <w:pStyle w:val="TableContents"/>
              <w:bidi w:val="0"/>
              <w:spacing w:before="0" w:after="283"/>
              <w:jc w:val="left"/>
              <w:rPr/>
            </w:pPr>
            <w:r>
              <w:rPr/>
              <w:t> </w:t>
            </w:r>
            <w:bookmarkStart w:id="256" w:name="xdx_40B_eus-gaap--RevenueFromContractWit"/>
            <w:bookmarkEnd w:id="256"/>
          </w:p>
        </w:tc>
      </w:tr>
      <w:tr>
        <w:trPr/>
        <w:tc>
          <w:tcPr>
            <w:tcW w:w="209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Net Sales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9,584</w:t>
            </w:r>
          </w:p>
        </w:tc>
        <w:tc>
          <w:tcPr>
            <w:tcW w:w="118"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6,719</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257" w:name="xdx_8A5_z5ewM71FWJD"/>
      <w:bookmarkEnd w:id="257"/>
      <w:r>
        <w:rPr>
          <w:caps w:val="false"/>
          <w:smallCaps w:val="false"/>
        </w:rPr>
        <w:t> </w:t>
      </w:r>
    </w:p>
    <w:p>
      <w:pPr>
        <w:pStyle w:val="TextBody"/>
        <w:bidi w:val="0"/>
        <w:spacing w:before="0" w:after="0"/>
        <w:ind w:left="0" w:right="0" w:hanging="0"/>
        <w:jc w:val="left"/>
        <w:rPr>
          <w:caps w:val="false"/>
          <w:smallCaps w:val="false"/>
        </w:rPr>
      </w:pPr>
      <w:bookmarkStart w:id="258" w:name="xdx_89F_eus-gaap--ScheduleOfRevenuesFrom"/>
      <w:bookmarkEnd w:id="258"/>
      <w:r>
        <w:rPr>
          <w:caps w:val="false"/>
          <w:smallCaps w:val="false"/>
        </w:rPr>
        <w:t> </w:t>
      </w:r>
      <w:bookmarkStart w:id="259" w:name="xdx_8B5_ze2Gvk3aLaH6"/>
      <w:bookmarkEnd w:id="259"/>
      <w:r>
        <w:rPr>
          <w:rFonts w:ascii="Times New Roman;Times;Serif" w:hAnsi="Times New Roman;Times;Serif"/>
          <w:b w:val="false"/>
          <w:i w:val="false"/>
          <w:caps w:val="false"/>
          <w:smallCaps w:val="false"/>
          <w:sz w:val="20"/>
        </w:rPr>
        <w:t>Schedule of Net Sales Disaggregated By Geographic Market</w:t>
      </w:r>
    </w:p>
    <w:tbl>
      <w:tblPr>
        <w:tblW w:w="4207" w:type="dxa"/>
        <w:jc w:val="left"/>
        <w:tblInd w:w="0" w:type="dxa"/>
        <w:tblLayout w:type="fixed"/>
        <w:tblCellMar>
          <w:top w:w="0" w:type="dxa"/>
          <w:left w:w="0" w:type="dxa"/>
          <w:bottom w:w="28" w:type="dxa"/>
          <w:right w:w="0" w:type="dxa"/>
        </w:tblCellMar>
      </w:tblPr>
      <w:tblGrid>
        <w:gridCol w:w="1430"/>
        <w:gridCol w:w="60"/>
        <w:gridCol w:w="246"/>
        <w:gridCol w:w="957"/>
        <w:gridCol w:w="118"/>
        <w:gridCol w:w="118"/>
        <w:gridCol w:w="246"/>
        <w:gridCol w:w="957"/>
        <w:gridCol w:w="75"/>
      </w:tblGrid>
      <w:tr>
        <w:trPr/>
        <w:tc>
          <w:tcPr>
            <w:tcW w:w="143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Geographic:</w:t>
            </w:r>
          </w:p>
        </w:tc>
        <w:tc>
          <w:tcPr>
            <w:tcW w:w="60" w:type="dxa"/>
            <w:tcBorders/>
            <w:tcMar>
              <w:bottom w:w="0" w:type="dxa"/>
            </w:tcMar>
            <w:vAlign w:val="center"/>
          </w:tcPr>
          <w:p>
            <w:pPr>
              <w:pStyle w:val="TableContents"/>
              <w:bidi w:val="0"/>
              <w:spacing w:before="0" w:after="283"/>
              <w:jc w:val="left"/>
              <w:rPr/>
            </w:pPr>
            <w:r>
              <w:rPr/>
              <w:t> </w:t>
            </w:r>
            <w:bookmarkStart w:id="260" w:name="xdx_491_20260101__20260331_zK8vBEz4ciK2"/>
            <w:bookmarkEnd w:id="260"/>
          </w:p>
        </w:tc>
        <w:tc>
          <w:tcPr>
            <w:tcW w:w="120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118" w:type="dxa"/>
            <w:tcBorders/>
            <w:tcMar>
              <w:bottom w:w="0" w:type="dxa"/>
            </w:tcMar>
            <w:vAlign w:val="center"/>
          </w:tcPr>
          <w:p>
            <w:pPr>
              <w:pStyle w:val="TableContents"/>
              <w:bidi w:val="0"/>
              <w:spacing w:before="0" w:after="283"/>
              <w:jc w:val="left"/>
              <w:rPr/>
            </w:pPr>
            <w:r>
              <w:rPr/>
              <w:t> </w:t>
            </w:r>
          </w:p>
        </w:tc>
        <w:tc>
          <w:tcPr>
            <w:tcW w:w="118" w:type="dxa"/>
            <w:tcBorders/>
            <w:tcMar>
              <w:bottom w:w="0" w:type="dxa"/>
            </w:tcMar>
            <w:vAlign w:val="center"/>
          </w:tcPr>
          <w:p>
            <w:pPr>
              <w:pStyle w:val="TableContents"/>
              <w:bidi w:val="0"/>
              <w:spacing w:before="0" w:after="283"/>
              <w:jc w:val="left"/>
              <w:rPr/>
            </w:pPr>
            <w:r>
              <w:rPr/>
              <w:t> </w:t>
            </w:r>
            <w:bookmarkStart w:id="261" w:name="xdx_499_20250101__20250331_zOkmaxR9N8ia"/>
            <w:bookmarkEnd w:id="261"/>
          </w:p>
        </w:tc>
        <w:tc>
          <w:tcPr>
            <w:tcW w:w="120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75" w:type="dxa"/>
            <w:tcBorders/>
            <w:tcMar>
              <w:bottom w:w="0" w:type="dxa"/>
            </w:tcMar>
            <w:vAlign w:val="center"/>
          </w:tcPr>
          <w:p>
            <w:pPr>
              <w:pStyle w:val="TableContents"/>
              <w:bidi w:val="0"/>
              <w:spacing w:before="0" w:after="283"/>
              <w:jc w:val="left"/>
              <w:rPr/>
            </w:pPr>
            <w:r>
              <w:rPr/>
              <w:t> </w:t>
            </w:r>
          </w:p>
        </w:tc>
      </w:tr>
      <w:tr>
        <w:trPr/>
        <w:tc>
          <w:tcPr>
            <w:tcW w:w="14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642"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Three months ended March 31,</w:t>
            </w:r>
          </w:p>
        </w:tc>
        <w:tc>
          <w:tcPr>
            <w:tcW w:w="75" w:type="dxa"/>
            <w:tcBorders/>
            <w:tcMar>
              <w:bottom w:w="0" w:type="dxa"/>
            </w:tcMar>
            <w:vAlign w:val="center"/>
          </w:tcPr>
          <w:p>
            <w:pPr>
              <w:pStyle w:val="TableContents"/>
              <w:bidi w:val="0"/>
              <w:spacing w:before="0" w:after="283"/>
              <w:jc w:val="left"/>
              <w:rPr/>
            </w:pPr>
            <w:r>
              <w:rPr/>
              <w:t> </w:t>
            </w:r>
          </w:p>
        </w:tc>
      </w:tr>
      <w:tr>
        <w:trPr/>
        <w:tc>
          <w:tcPr>
            <w:tcW w:w="143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Geographic:</w:t>
            </w:r>
          </w:p>
        </w:tc>
        <w:tc>
          <w:tcPr>
            <w:tcW w:w="60" w:type="dxa"/>
            <w:tcBorders/>
            <w:tcMar>
              <w:bottom w:w="0" w:type="dxa"/>
            </w:tcMar>
            <w:vAlign w:val="center"/>
          </w:tcPr>
          <w:p>
            <w:pPr>
              <w:pStyle w:val="TableContents"/>
              <w:bidi w:val="0"/>
              <w:spacing w:before="0" w:after="283"/>
              <w:jc w:val="left"/>
              <w:rPr/>
            </w:pPr>
            <w:r>
              <w:rPr/>
              <w:t> </w:t>
            </w:r>
          </w:p>
        </w:tc>
        <w:tc>
          <w:tcPr>
            <w:tcW w:w="120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118" w:type="dxa"/>
            <w:tcBorders/>
            <w:tcMar>
              <w:bottom w:w="0" w:type="dxa"/>
            </w:tcMar>
            <w:vAlign w:val="center"/>
          </w:tcPr>
          <w:p>
            <w:pPr>
              <w:pStyle w:val="TableContents"/>
              <w:bidi w:val="0"/>
              <w:spacing w:before="0" w:after="283"/>
              <w:jc w:val="left"/>
              <w:rPr/>
            </w:pPr>
            <w:r>
              <w:rPr/>
              <w:t> </w:t>
            </w:r>
          </w:p>
        </w:tc>
        <w:tc>
          <w:tcPr>
            <w:tcW w:w="118" w:type="dxa"/>
            <w:tcBorders/>
            <w:tcMar>
              <w:bottom w:w="0" w:type="dxa"/>
            </w:tcMar>
            <w:vAlign w:val="center"/>
          </w:tcPr>
          <w:p>
            <w:pPr>
              <w:pStyle w:val="TableContents"/>
              <w:bidi w:val="0"/>
              <w:spacing w:before="0" w:after="283"/>
              <w:jc w:val="left"/>
              <w:rPr/>
            </w:pPr>
            <w:r>
              <w:rPr/>
              <w:t> </w:t>
            </w:r>
          </w:p>
        </w:tc>
        <w:tc>
          <w:tcPr>
            <w:tcW w:w="120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75" w:type="dxa"/>
            <w:tcBorders/>
            <w:tcMar>
              <w:bottom w:w="0" w:type="dxa"/>
            </w:tcMar>
            <w:vAlign w:val="center"/>
          </w:tcPr>
          <w:p>
            <w:pPr>
              <w:pStyle w:val="TableContents"/>
              <w:bidi w:val="0"/>
              <w:spacing w:before="0" w:after="283"/>
              <w:jc w:val="left"/>
              <w:rPr/>
            </w:pPr>
            <w:r>
              <w:rPr/>
              <w:t> </w:t>
            </w:r>
          </w:p>
        </w:tc>
      </w:tr>
      <w:tr>
        <w:trPr/>
        <w:tc>
          <w:tcPr>
            <w:tcW w:w="143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Product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6" w:type="dxa"/>
            <w:tcBorders/>
            <w:shd w:fill="CCEEFF" w:val="clear"/>
            <w:tcMar>
              <w:bottom w:w="0" w:type="dxa"/>
            </w:tcMar>
            <w:vAlign w:val="center"/>
          </w:tcPr>
          <w:p>
            <w:pPr>
              <w:pStyle w:val="TableContents"/>
              <w:bidi w:val="0"/>
              <w:spacing w:before="0" w:after="283"/>
              <w:jc w:val="left"/>
              <w:rPr/>
            </w:pPr>
            <w:r>
              <w:rPr/>
              <w:t> </w:t>
            </w:r>
          </w:p>
        </w:tc>
        <w:tc>
          <w:tcPr>
            <w:tcW w:w="957" w:type="dxa"/>
            <w:tcBorders/>
            <w:shd w:fill="CCEEFF" w:val="clear"/>
            <w:tcMar>
              <w:bottom w:w="0" w:type="dxa"/>
            </w:tcMar>
            <w:vAlign w:val="center"/>
          </w:tcPr>
          <w:p>
            <w:pPr>
              <w:pStyle w:val="TableContents"/>
              <w:bidi w:val="0"/>
              <w:spacing w:before="0" w:after="283"/>
              <w:jc w:val="righ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246" w:type="dxa"/>
            <w:tcBorders/>
            <w:shd w:fill="CCEEFF" w:val="clear"/>
            <w:tcMar>
              <w:bottom w:w="0" w:type="dxa"/>
            </w:tcMar>
            <w:vAlign w:val="center"/>
          </w:tcPr>
          <w:p>
            <w:pPr>
              <w:pStyle w:val="TableContents"/>
              <w:bidi w:val="0"/>
              <w:spacing w:before="0" w:after="283"/>
              <w:jc w:val="left"/>
              <w:rPr/>
            </w:pPr>
            <w:r>
              <w:rPr/>
              <w:t> </w:t>
            </w:r>
          </w:p>
        </w:tc>
        <w:tc>
          <w:tcPr>
            <w:tcW w:w="957"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bookmarkStart w:id="262" w:name="xdx_404_eus-gaap--RevenueFromContractWit"/>
            <w:bookmarkEnd w:id="262"/>
          </w:p>
        </w:tc>
      </w:tr>
      <w:tr>
        <w:trPr/>
        <w:tc>
          <w:tcPr>
            <w:tcW w:w="143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9,065</w:t>
            </w:r>
          </w:p>
        </w:tc>
        <w:tc>
          <w:tcPr>
            <w:tcW w:w="118"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jc w:val="left"/>
              <w:rPr/>
            </w:pPr>
            <w:r>
              <w:rPr/>
              <w:t> </w:t>
            </w:r>
          </w:p>
        </w:tc>
        <w:tc>
          <w:tcPr>
            <w:tcW w:w="24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6,206</w:t>
            </w:r>
          </w:p>
        </w:tc>
        <w:tc>
          <w:tcPr>
            <w:tcW w:w="75" w:type="dxa"/>
            <w:tcBorders/>
            <w:shd w:fill="FFFFFF" w:val="clear"/>
            <w:tcMar>
              <w:bottom w:w="0" w:type="dxa"/>
            </w:tcMar>
            <w:vAlign w:val="center"/>
          </w:tcPr>
          <w:p>
            <w:pPr>
              <w:pStyle w:val="TableContents"/>
              <w:bidi w:val="0"/>
              <w:spacing w:before="0" w:after="283"/>
              <w:jc w:val="left"/>
              <w:rPr/>
            </w:pPr>
            <w:r>
              <w:rPr/>
              <w:t> </w:t>
            </w:r>
            <w:bookmarkStart w:id="263" w:name="xdx_404_eus-gaap--RevenueFromContractWit"/>
            <w:bookmarkEnd w:id="263"/>
          </w:p>
        </w:tc>
      </w:tr>
      <w:tr>
        <w:trPr/>
        <w:tc>
          <w:tcPr>
            <w:tcW w:w="14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Kingdom</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6" w:type="dxa"/>
            <w:tcBorders/>
            <w:shd w:fill="CCEEFF" w:val="clear"/>
            <w:tcMar>
              <w:bottom w:w="0" w:type="dxa"/>
            </w:tcMar>
            <w:vAlign w:val="center"/>
          </w:tcPr>
          <w:p>
            <w:pPr>
              <w:pStyle w:val="TableContents"/>
              <w:bidi w:val="0"/>
              <w:spacing w:before="0" w:after="283"/>
              <w:jc w:val="left"/>
              <w:rPr/>
            </w:pPr>
            <w:r>
              <w:rPr/>
              <w:t> </w:t>
            </w:r>
          </w:p>
        </w:tc>
        <w:tc>
          <w:tcPr>
            <w:tcW w:w="95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466</w:t>
            </w:r>
          </w:p>
        </w:tc>
        <w:tc>
          <w:tcPr>
            <w:tcW w:w="118"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246" w:type="dxa"/>
            <w:tcBorders/>
            <w:shd w:fill="CCEEFF" w:val="clear"/>
            <w:tcMar>
              <w:bottom w:w="0" w:type="dxa"/>
            </w:tcMar>
            <w:vAlign w:val="center"/>
          </w:tcPr>
          <w:p>
            <w:pPr>
              <w:pStyle w:val="TableContents"/>
              <w:bidi w:val="0"/>
              <w:spacing w:before="0" w:after="283"/>
              <w:jc w:val="left"/>
              <w:rPr/>
            </w:pPr>
            <w:r>
              <w:rPr/>
              <w:t> </w:t>
            </w:r>
          </w:p>
        </w:tc>
        <w:tc>
          <w:tcPr>
            <w:tcW w:w="95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451</w:t>
            </w:r>
          </w:p>
        </w:tc>
        <w:tc>
          <w:tcPr>
            <w:tcW w:w="75" w:type="dxa"/>
            <w:tcBorders/>
            <w:shd w:fill="CCEEFF" w:val="clear"/>
            <w:tcMar>
              <w:bottom w:w="0" w:type="dxa"/>
            </w:tcMar>
            <w:vAlign w:val="center"/>
          </w:tcPr>
          <w:p>
            <w:pPr>
              <w:pStyle w:val="TableContents"/>
              <w:bidi w:val="0"/>
              <w:spacing w:before="0" w:after="283"/>
              <w:jc w:val="left"/>
              <w:rPr/>
            </w:pPr>
            <w:r>
              <w:rPr/>
              <w:t> </w:t>
            </w:r>
            <w:bookmarkStart w:id="264" w:name="xdx_406_eus-gaap--RevenueFromContractWit"/>
            <w:bookmarkEnd w:id="264"/>
          </w:p>
        </w:tc>
      </w:tr>
      <w:tr>
        <w:trPr/>
        <w:tc>
          <w:tcPr>
            <w:tcW w:w="143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6" w:type="dxa"/>
            <w:tcBorders/>
            <w:shd w:fill="FFFFFF" w:val="clear"/>
            <w:tcMar>
              <w:bottom w:w="0" w:type="dxa"/>
            </w:tcMar>
            <w:vAlign w:val="center"/>
          </w:tcPr>
          <w:p>
            <w:pPr>
              <w:pStyle w:val="TableContents"/>
              <w:bidi w:val="0"/>
              <w:spacing w:before="0" w:after="283"/>
              <w:jc w:val="left"/>
              <w:rPr/>
            </w:pPr>
            <w:r>
              <w:rPr/>
              <w:t> </w:t>
            </w:r>
          </w:p>
        </w:tc>
        <w:tc>
          <w:tcPr>
            <w:tcW w:w="95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c>
          <w:tcPr>
            <w:tcW w:w="118"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jc w:val="left"/>
              <w:rPr/>
            </w:pPr>
            <w:r>
              <w:rPr/>
              <w:t> </w:t>
            </w:r>
          </w:p>
        </w:tc>
        <w:tc>
          <w:tcPr>
            <w:tcW w:w="246" w:type="dxa"/>
            <w:tcBorders/>
            <w:shd w:fill="FFFFFF" w:val="clear"/>
            <w:tcMar>
              <w:bottom w:w="0" w:type="dxa"/>
            </w:tcMar>
            <w:vAlign w:val="center"/>
          </w:tcPr>
          <w:p>
            <w:pPr>
              <w:pStyle w:val="TableContents"/>
              <w:bidi w:val="0"/>
              <w:spacing w:before="0" w:after="283"/>
              <w:jc w:val="left"/>
              <w:rPr/>
            </w:pPr>
            <w:r>
              <w:rPr/>
              <w:t> </w:t>
            </w:r>
          </w:p>
        </w:tc>
        <w:tc>
          <w:tcPr>
            <w:tcW w:w="95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43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License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6" w:type="dxa"/>
            <w:tcBorders/>
            <w:shd w:fill="CCEEFF" w:val="clear"/>
            <w:tcMar>
              <w:bottom w:w="0" w:type="dxa"/>
            </w:tcMar>
            <w:vAlign w:val="center"/>
          </w:tcPr>
          <w:p>
            <w:pPr>
              <w:pStyle w:val="TableContents"/>
              <w:bidi w:val="0"/>
              <w:spacing w:before="0" w:after="283"/>
              <w:jc w:val="left"/>
              <w:rPr/>
            </w:pPr>
            <w:r>
              <w:rPr/>
              <w:t> </w:t>
            </w:r>
          </w:p>
        </w:tc>
        <w:tc>
          <w:tcPr>
            <w:tcW w:w="957" w:type="dxa"/>
            <w:tcBorders/>
            <w:shd w:fill="CCEEFF" w:val="clear"/>
            <w:tcMar>
              <w:bottom w:w="0" w:type="dxa"/>
            </w:tcMar>
            <w:vAlign w:val="center"/>
          </w:tcPr>
          <w:p>
            <w:pPr>
              <w:pStyle w:val="TableContents"/>
              <w:bidi w:val="0"/>
              <w:spacing w:before="0" w:after="283"/>
              <w:jc w:val="righ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246" w:type="dxa"/>
            <w:tcBorders/>
            <w:shd w:fill="CCEEFF" w:val="clear"/>
            <w:tcMar>
              <w:bottom w:w="0" w:type="dxa"/>
            </w:tcMar>
            <w:vAlign w:val="center"/>
          </w:tcPr>
          <w:p>
            <w:pPr>
              <w:pStyle w:val="TableContents"/>
              <w:bidi w:val="0"/>
              <w:spacing w:before="0" w:after="283"/>
              <w:jc w:val="left"/>
              <w:rPr/>
            </w:pPr>
            <w:r>
              <w:rPr/>
              <w:t> </w:t>
            </w:r>
          </w:p>
        </w:tc>
        <w:tc>
          <w:tcPr>
            <w:tcW w:w="957"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bookmarkStart w:id="265" w:name="xdx_400_eus-gaap--RevenueFromContractWit"/>
            <w:bookmarkEnd w:id="265"/>
          </w:p>
        </w:tc>
      </w:tr>
      <w:tr>
        <w:trPr/>
        <w:tc>
          <w:tcPr>
            <w:tcW w:w="143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Japan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6" w:type="dxa"/>
            <w:tcBorders>
              <w:bottom w:val="single" w:sz="8" w:space="0" w:color="000000"/>
            </w:tcBorders>
            <w:shd w:fill="FFFFFF" w:val="clear"/>
            <w:vAlign w:val="center"/>
          </w:tcPr>
          <w:p>
            <w:pPr>
              <w:pStyle w:val="TableContents"/>
              <w:bidi w:val="0"/>
              <w:spacing w:before="0" w:after="283"/>
              <w:jc w:val="left"/>
              <w:rPr/>
            </w:pPr>
            <w:r>
              <w:rPr/>
              <w:t> </w:t>
            </w:r>
          </w:p>
        </w:tc>
        <w:tc>
          <w:tcPr>
            <w:tcW w:w="957"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c>
          <w:tcPr>
            <w:tcW w:w="118"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jc w:val="left"/>
              <w:rPr/>
            </w:pPr>
            <w:r>
              <w:rPr/>
              <w:t> </w:t>
            </w:r>
          </w:p>
        </w:tc>
        <w:tc>
          <w:tcPr>
            <w:tcW w:w="246" w:type="dxa"/>
            <w:tcBorders>
              <w:bottom w:val="single" w:sz="8" w:space="0" w:color="000000"/>
            </w:tcBorders>
            <w:shd w:fill="FFFFFF" w:val="clear"/>
            <w:vAlign w:val="center"/>
          </w:tcPr>
          <w:p>
            <w:pPr>
              <w:pStyle w:val="TableContents"/>
              <w:bidi w:val="0"/>
              <w:spacing w:before="0" w:after="283"/>
              <w:jc w:val="left"/>
              <w:rPr/>
            </w:pPr>
            <w:r>
              <w:rPr/>
              <w:t> </w:t>
            </w:r>
          </w:p>
        </w:tc>
        <w:tc>
          <w:tcPr>
            <w:tcW w:w="957"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c>
          <w:tcPr>
            <w:tcW w:w="75" w:type="dxa"/>
            <w:tcBorders/>
            <w:shd w:fill="FFFFFF" w:val="clear"/>
            <w:tcMar>
              <w:bottom w:w="0" w:type="dxa"/>
            </w:tcMar>
            <w:vAlign w:val="center"/>
          </w:tcPr>
          <w:p>
            <w:pPr>
              <w:pStyle w:val="TableContents"/>
              <w:bidi w:val="0"/>
              <w:spacing w:before="0" w:after="283"/>
              <w:jc w:val="left"/>
              <w:rPr/>
            </w:pPr>
            <w:r>
              <w:rPr/>
              <w:t> </w:t>
            </w:r>
            <w:bookmarkStart w:id="266" w:name="xdx_405_eus-gaap--RevenueFromContractWit"/>
            <w:bookmarkEnd w:id="266"/>
          </w:p>
        </w:tc>
      </w:tr>
      <w:tr>
        <w:trPr/>
        <w:tc>
          <w:tcPr>
            <w:tcW w:w="14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Net Sales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6"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9,584</w:t>
            </w:r>
          </w:p>
        </w:tc>
        <w:tc>
          <w:tcPr>
            <w:tcW w:w="118"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p>
        </w:tc>
        <w:tc>
          <w:tcPr>
            <w:tcW w:w="246"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6,719</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67" w:name="xdx_8AF_zjR9hHPCv1A1"/>
      <w:bookmarkEnd w:id="26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generally invoices the customer and recognizes revenue once its performance obligations are satisfied, at which point payment is unconditional. Agreed upon payment terms with customers are within 30 days of shipment. Accordingly, contracts with customers do not include a significant financing component.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68" w:name="xdx_80D_eus-gaap--FairValueMeasurementIn"/>
      <w:bookmarkEnd w:id="268"/>
      <w:r>
        <w:rPr>
          <w:rFonts w:ascii="Times New Roman;Times;Serif" w:hAnsi="Times New Roman;Times;Serif"/>
          <w:b/>
          <w:i w:val="false"/>
          <w:caps w:val="false"/>
          <w:smallCaps w:val="false"/>
          <w:sz w:val="20"/>
        </w:rPr>
        <w:t xml:space="preserve">Note 5. </w:t>
      </w:r>
      <w:bookmarkStart w:id="269" w:name="xdx_82D_z3WczTIKqHh7"/>
      <w:bookmarkEnd w:id="269"/>
      <w:r>
        <w:rPr>
          <w:rFonts w:ascii="Times New Roman;Times;Serif" w:hAnsi="Times New Roman;Times;Serif"/>
          <w:b/>
          <w:i w:val="false"/>
          <w:caps w:val="false"/>
          <w:smallCaps w:val="false"/>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and liabilities carried at fair value are classified and disclosed in one of the following three levels of the fair value hierarchy:</w:t>
      </w:r>
    </w:p>
    <w:p>
      <w:pPr>
        <w:pStyle w:val="TextBody"/>
        <w:bidi w:val="0"/>
        <w:spacing w:before="0" w:after="0"/>
        <w:ind w:left="0" w:right="0" w:hanging="0"/>
        <w:jc w:val="left"/>
        <w:rPr>
          <w:caps w:val="false"/>
          <w:smallCaps w:val="false"/>
        </w:rPr>
      </w:pPr>
      <w:r>
        <w:rPr>
          <w:caps w:val="false"/>
          <w:smallCaps w:val="false"/>
        </w:rPr>
        <w:t> </w:t>
      </w:r>
    </w:p>
    <w:tbl>
      <w:tblPr>
        <w:tblW w:w="6310" w:type="dxa"/>
        <w:jc w:val="left"/>
        <w:tblInd w:w="0" w:type="dxa"/>
        <w:tblLayout w:type="fixed"/>
        <w:tblCellMar>
          <w:top w:w="0" w:type="dxa"/>
          <w:left w:w="0" w:type="dxa"/>
          <w:bottom w:w="0" w:type="dxa"/>
          <w:right w:w="0" w:type="dxa"/>
        </w:tblCellMar>
      </w:tblPr>
      <w:tblGrid>
        <w:gridCol w:w="75"/>
        <w:gridCol w:w="170"/>
        <w:gridCol w:w="60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Level 1—Quoted prices in active markets for identical assets or liabilities.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3—Unobservable inputs that are supported by little or no market activity and that are significant to determining the fair value of the assets or liabilities, including pricing models, discounted cash flow methodologies and similar techniques.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the Company’s marketable securities in the amount of $</w:t>
      </w:r>
      <w:bookmarkStart w:id="270" w:name="xdx_90B_eus-gaap--AvailableForSaleSecuri"/>
      <w:bookmarkEnd w:id="270"/>
      <w:r>
        <w:rPr>
          <w:rFonts w:ascii="Times New Roman;Times;Serif" w:hAnsi="Times New Roman;Times;Serif"/>
          <w:b w:val="false"/>
          <w:i w:val="false"/>
          <w:caps w:val="false"/>
          <w:smallCaps w:val="false"/>
          <w:sz w:val="20"/>
        </w:rPr>
        <w:t>4.0 million and $</w:t>
      </w:r>
      <w:bookmarkStart w:id="271" w:name="xdx_90C_eus-gaap--AvailableForSaleSecuri"/>
      <w:bookmarkEnd w:id="271"/>
      <w:r>
        <w:rPr>
          <w:rFonts w:ascii="Times New Roman;Times;Serif" w:hAnsi="Times New Roman;Times;Serif"/>
          <w:b w:val="false"/>
          <w:i w:val="false"/>
          <w:caps w:val="false"/>
          <w:smallCaps w:val="false"/>
          <w:sz w:val="20"/>
        </w:rPr>
        <w:t>4.6 million, respectively, were carried at fair value in accordance with Level 1 as described above. The Company recognizes transfers between levels of the fair value hierarchy as of the end of the reporting period. There were no transfers within the hierarchy during the three months ended March 31, 2026 and the year ended December 31, 2025. The carrying amount of the Company’s receivables and payables approximate their fair value due to their maturity.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ELECTROCORE, INC. AND SUBSIDIARIES</w:t>
      </w:r>
    </w:p>
    <w:p>
      <w:pPr>
        <w:pStyle w:val="TextBody"/>
        <w:bidi w:val="0"/>
        <w:spacing w:before="0" w:after="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Notes to Condensed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72" w:name="xdx_80B_eus-gaap--InventoryDisclosureTex"/>
      <w:bookmarkEnd w:id="272"/>
      <w:r>
        <w:rPr>
          <w:rFonts w:ascii="Times New Roman;Times;Serif" w:hAnsi="Times New Roman;Times;Serif"/>
          <w:b/>
          <w:i w:val="false"/>
          <w:caps w:val="false"/>
          <w:smallCaps w:val="false"/>
          <w:sz w:val="20"/>
        </w:rPr>
        <w:t xml:space="preserve">Note 6. </w:t>
      </w:r>
      <w:bookmarkStart w:id="273" w:name="xdx_829_zGN36wXaKnca"/>
      <w:bookmarkEnd w:id="273"/>
      <w:r>
        <w:rPr>
          <w:rFonts w:ascii="Times New Roman;Times;Serif" w:hAnsi="Times New Roman;Times;Serif"/>
          <w:b/>
          <w:i w:val="false"/>
          <w:caps w:val="false"/>
          <w:smallCaps w:val="false"/>
          <w:sz w:val="20"/>
        </w:rPr>
        <w:t>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74" w:name="xdx_898_eus-gaap--ScheduleOfInventoryCur"/>
      <w:bookmarkEnd w:id="274"/>
      <w:r>
        <w:rPr>
          <w:rFonts w:ascii="Times New Roman;Times;Serif" w:hAnsi="Times New Roman;Times;Serif"/>
          <w:b w:val="false"/>
          <w:i w:val="false"/>
          <w:caps w:val="false"/>
          <w:smallCaps w:val="false"/>
          <w:sz w:val="20"/>
        </w:rPr>
        <w:t>As of March 31, 2026 and December 31, 2025, inventories consisted of the following:</w:t>
      </w:r>
    </w:p>
    <w:p>
      <w:pPr>
        <w:pStyle w:val="TextBody"/>
        <w:bidi w:val="0"/>
        <w:spacing w:before="0" w:after="0"/>
        <w:ind w:left="0" w:right="0" w:hanging="0"/>
        <w:jc w:val="left"/>
        <w:rPr>
          <w:caps w:val="false"/>
          <w:smallCaps w:val="false"/>
        </w:rPr>
      </w:pPr>
      <w:r>
        <w:rPr>
          <w:caps w:val="false"/>
          <w:smallCaps w:val="false"/>
        </w:rPr>
        <w:t> </w:t>
      </w:r>
      <w:bookmarkStart w:id="275" w:name="xdx_8B4_z4TtOCoKjXB3"/>
      <w:bookmarkEnd w:id="275"/>
      <w:r>
        <w:rPr>
          <w:rFonts w:ascii="Times New Roman;Times;Serif" w:hAnsi="Times New Roman;Times;Serif"/>
          <w:b w:val="false"/>
          <w:i w:val="false"/>
          <w:caps w:val="false"/>
          <w:smallCaps w:val="false"/>
          <w:sz w:val="20"/>
        </w:rPr>
        <w:t>Schedule of Inventories</w:t>
      </w:r>
    </w:p>
    <w:tbl>
      <w:tblPr>
        <w:tblW w:w="3658" w:type="dxa"/>
        <w:jc w:val="left"/>
        <w:tblInd w:w="0" w:type="dxa"/>
        <w:tblLayout w:type="fixed"/>
        <w:tblCellMar>
          <w:top w:w="0" w:type="dxa"/>
          <w:left w:w="0" w:type="dxa"/>
          <w:bottom w:w="28" w:type="dxa"/>
          <w:right w:w="0" w:type="dxa"/>
        </w:tblCellMar>
      </w:tblPr>
      <w:tblGrid>
        <w:gridCol w:w="1340"/>
        <w:gridCol w:w="60"/>
        <w:gridCol w:w="182"/>
        <w:gridCol w:w="707"/>
        <w:gridCol w:w="60"/>
        <w:gridCol w:w="60"/>
        <w:gridCol w:w="240"/>
        <w:gridCol w:w="934"/>
        <w:gridCol w:w="75"/>
      </w:tblGrid>
      <w:tr>
        <w:trPr/>
        <w:tc>
          <w:tcPr>
            <w:tcW w:w="134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 thousands)</w:t>
            </w:r>
          </w:p>
        </w:tc>
        <w:tc>
          <w:tcPr>
            <w:tcW w:w="60" w:type="dxa"/>
            <w:tcBorders/>
            <w:tcMar>
              <w:bottom w:w="0" w:type="dxa"/>
            </w:tcMar>
            <w:vAlign w:val="center"/>
          </w:tcPr>
          <w:p>
            <w:pPr>
              <w:pStyle w:val="TableContents"/>
              <w:bidi w:val="0"/>
              <w:spacing w:before="0" w:after="283"/>
              <w:jc w:val="left"/>
              <w:rPr/>
            </w:pPr>
            <w:r>
              <w:rPr/>
              <w:t> </w:t>
            </w:r>
            <w:bookmarkStart w:id="276" w:name="xdx_49C_20260331_zIaleMhnye1"/>
            <w:bookmarkEnd w:id="276"/>
          </w:p>
        </w:tc>
        <w:tc>
          <w:tcPr>
            <w:tcW w:w="88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March 31,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277" w:name="xdx_49A_20251231_zZDBQ7Qe3OL"/>
            <w:bookmarkEnd w:id="277"/>
          </w:p>
        </w:tc>
        <w:tc>
          <w:tcPr>
            <w:tcW w:w="117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w:t>
            </w:r>
          </w:p>
        </w:tc>
        <w:tc>
          <w:tcPr>
            <w:tcW w:w="75" w:type="dxa"/>
            <w:tcBorders/>
            <w:tcMar>
              <w:bottom w:w="0" w:type="dxa"/>
            </w:tcMar>
            <w:vAlign w:val="center"/>
          </w:tcPr>
          <w:p>
            <w:pPr>
              <w:pStyle w:val="TableContents"/>
              <w:bidi w:val="0"/>
              <w:spacing w:before="0" w:after="283"/>
              <w:jc w:val="left"/>
              <w:rPr/>
            </w:pPr>
            <w:r>
              <w:rPr/>
              <w:t> </w:t>
            </w:r>
          </w:p>
        </w:tc>
      </w:tr>
      <w:tr>
        <w:trPr/>
        <w:tc>
          <w:tcPr>
            <w:tcW w:w="13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8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75" w:type="dxa"/>
            <w:tcBorders/>
            <w:tcMar>
              <w:bottom w:w="0" w:type="dxa"/>
            </w:tcMar>
            <w:vAlign w:val="center"/>
          </w:tcPr>
          <w:p>
            <w:pPr>
              <w:pStyle w:val="TableContents"/>
              <w:bidi w:val="0"/>
              <w:spacing w:before="0" w:after="283"/>
              <w:jc w:val="left"/>
              <w:rPr/>
            </w:pPr>
            <w:r>
              <w:rPr/>
              <w:t> </w:t>
            </w:r>
            <w:bookmarkStart w:id="278" w:name="xdx_409_eus-gaap--InventoryRawMaterials_"/>
            <w:bookmarkEnd w:id="278"/>
          </w:p>
        </w:tc>
      </w:tr>
      <w:tr>
        <w:trPr/>
        <w:tc>
          <w:tcPr>
            <w:tcW w:w="13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Raw materials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1,278</w:t>
            </w:r>
          </w:p>
        </w:tc>
        <w:tc>
          <w:tcPr>
            <w:tcW w:w="75" w:type="dxa"/>
            <w:tcBorders/>
            <w:shd w:fill="CCEEFF" w:val="clear"/>
            <w:tcMar>
              <w:bottom w:w="0" w:type="dxa"/>
            </w:tcMar>
            <w:vAlign w:val="center"/>
          </w:tcPr>
          <w:p>
            <w:pPr>
              <w:pStyle w:val="TableContents"/>
              <w:bidi w:val="0"/>
              <w:spacing w:before="0" w:after="283"/>
              <w:jc w:val="left"/>
              <w:rPr/>
            </w:pPr>
            <w:r>
              <w:rPr/>
              <w:t> </w:t>
            </w:r>
            <w:bookmarkStart w:id="279" w:name="xdx_407_eus-gaap--InventoryWorkInProcess"/>
            <w:bookmarkEnd w:id="279"/>
          </w:p>
        </w:tc>
      </w:tr>
      <w:tr>
        <w:trPr/>
        <w:tc>
          <w:tcPr>
            <w:tcW w:w="134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Work in process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 </w:t>
            </w:r>
          </w:p>
        </w:tc>
        <w:tc>
          <w:tcPr>
            <w:tcW w:w="70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0" w:type="dxa"/>
            <w:tcBorders/>
            <w:shd w:fill="FFFFFF" w:val="clear"/>
            <w:tcMar>
              <w:bottom w:w="0" w:type="dxa"/>
            </w:tcMar>
            <w:vAlign w:val="center"/>
          </w:tcPr>
          <w:p>
            <w:pPr>
              <w:pStyle w:val="TableContents"/>
              <w:bidi w:val="0"/>
              <w:spacing w:before="0" w:after="283"/>
              <w:jc w:val="left"/>
              <w:rPr/>
            </w:pPr>
            <w:r>
              <w:rPr/>
              <w:t> </w:t>
            </w:r>
          </w:p>
        </w:tc>
        <w:tc>
          <w:tcPr>
            <w:tcW w:w="93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w:t>
            </w:r>
          </w:p>
        </w:tc>
        <w:tc>
          <w:tcPr>
            <w:tcW w:w="75" w:type="dxa"/>
            <w:tcBorders/>
            <w:shd w:fill="FFFFFF" w:val="clear"/>
            <w:tcMar>
              <w:bottom w:w="0" w:type="dxa"/>
            </w:tcMar>
            <w:vAlign w:val="center"/>
          </w:tcPr>
          <w:p>
            <w:pPr>
              <w:pStyle w:val="TableContents"/>
              <w:bidi w:val="0"/>
              <w:spacing w:before="0" w:after="283"/>
              <w:jc w:val="left"/>
              <w:rPr/>
            </w:pPr>
            <w:r>
              <w:rPr/>
              <w:t> </w:t>
            </w:r>
            <w:bookmarkStart w:id="280" w:name="xdx_400_eus-gaap--InventoryFinishedGoods"/>
            <w:bookmarkEnd w:id="280"/>
          </w:p>
        </w:tc>
      </w:tr>
      <w:tr>
        <w:trPr/>
        <w:tc>
          <w:tcPr>
            <w:tcW w:w="13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Finished goods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bottom w:val="single" w:sz="8" w:space="0" w:color="000000"/>
            </w:tcBorders>
            <w:shd w:fill="CCEEFF" w:val="clear"/>
            <w:vAlign w:val="center"/>
          </w:tcPr>
          <w:p>
            <w:pPr>
              <w:pStyle w:val="TableContents"/>
              <w:bidi w:val="0"/>
              <w:spacing w:before="0" w:after="283"/>
              <w:jc w:val="left"/>
              <w:rPr/>
            </w:pPr>
            <w:r>
              <w:rPr/>
              <w:t> </w:t>
            </w:r>
          </w:p>
        </w:tc>
        <w:tc>
          <w:tcPr>
            <w:tcW w:w="707"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0" w:type="dxa"/>
            <w:tcBorders>
              <w:bottom w:val="single" w:sz="8" w:space="0" w:color="000000"/>
            </w:tcBorders>
            <w:shd w:fill="CCEEFF" w:val="clear"/>
            <w:vAlign w:val="center"/>
          </w:tcPr>
          <w:p>
            <w:pPr>
              <w:pStyle w:val="TableContents"/>
              <w:bidi w:val="0"/>
              <w:spacing w:before="0" w:after="283"/>
              <w:jc w:val="left"/>
              <w:rPr/>
            </w:pPr>
            <w:r>
              <w:rPr/>
              <w:t> </w:t>
            </w:r>
          </w:p>
        </w:tc>
        <w:tc>
          <w:tcPr>
            <w:tcW w:w="93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291</w:t>
            </w:r>
          </w:p>
        </w:tc>
        <w:tc>
          <w:tcPr>
            <w:tcW w:w="75" w:type="dxa"/>
            <w:tcBorders/>
            <w:shd w:fill="CCEEFF" w:val="clear"/>
            <w:tcMar>
              <w:bottom w:w="0" w:type="dxa"/>
            </w:tcMar>
            <w:vAlign w:val="center"/>
          </w:tcPr>
          <w:p>
            <w:pPr>
              <w:pStyle w:val="TableContents"/>
              <w:bidi w:val="0"/>
              <w:spacing w:before="0" w:after="283"/>
              <w:jc w:val="left"/>
              <w:rPr/>
            </w:pPr>
            <w:r>
              <w:rPr/>
              <w:t> </w:t>
            </w:r>
            <w:bookmarkStart w:id="281" w:name="xdx_40E_eus-gaap--InventoryNet_iTI_pn3n3"/>
            <w:bookmarkEnd w:id="281"/>
          </w:p>
        </w:tc>
      </w:tr>
      <w:tr>
        <w:trPr/>
        <w:tc>
          <w:tcPr>
            <w:tcW w:w="134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inventory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7"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1,978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1,631</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82" w:name="xdx_8A2_zXvVu7CsQ1ad"/>
      <w:bookmarkEnd w:id="28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reserve for obsolete inventory was $</w:t>
      </w:r>
      <w:bookmarkStart w:id="283" w:name="xdx_90A_eus-gaap--InventoryValuationRese"/>
      <w:bookmarkEnd w:id="283"/>
      <w:r>
        <w:rPr>
          <w:rFonts w:ascii="Times New Roman;Times;Serif" w:hAnsi="Times New Roman;Times;Serif"/>
          <w:b w:val="false"/>
          <w:i w:val="false"/>
          <w:caps w:val="false"/>
          <w:smallCaps w:val="false"/>
          <w:sz w:val="20"/>
        </w:rPr>
        <w:t>0.2 million and $</w:t>
      </w:r>
      <w:bookmarkStart w:id="284" w:name="xdx_902_eus-gaap--InventoryValuationRese"/>
      <w:bookmarkEnd w:id="284"/>
      <w:r>
        <w:rPr>
          <w:rFonts w:ascii="Times New Roman;Times;Serif" w:hAnsi="Times New Roman;Times;Serif"/>
          <w:b w:val="false"/>
          <w:i w:val="false"/>
          <w:caps w:val="false"/>
          <w:smallCaps w:val="false"/>
          <w:sz w:val="20"/>
        </w:rPr>
        <w:t>0.3 million as of March 31, 2026 and December 31, 2025, respectively. The Company records charges for obsolete inventory in cost of goods sold. Inventory classified under the category “Work in process” consists of prefabricated assembled product.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85" w:name="xdx_800_eus-gaap--LesseeOperatingLeasesT"/>
      <w:bookmarkEnd w:id="285"/>
      <w:r>
        <w:rPr>
          <w:rFonts w:ascii="Times New Roman;Times;Serif" w:hAnsi="Times New Roman;Times;Serif"/>
          <w:b/>
          <w:i w:val="false"/>
          <w:caps w:val="false"/>
          <w:smallCaps w:val="false"/>
          <w:sz w:val="20"/>
        </w:rPr>
        <w:t xml:space="preserve">Note 7. </w:t>
      </w:r>
      <w:bookmarkStart w:id="286" w:name="xdx_82B_z1FTFdA15zHd"/>
      <w:bookmarkEnd w:id="286"/>
      <w:r>
        <w:rPr>
          <w:rFonts w:ascii="Times New Roman;Times;Serif" w:hAnsi="Times New Roman;Times;Serif"/>
          <w:b/>
          <w:i w:val="false"/>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its headquarters location in Rockaway, New Jersey. For the three months ended March 31, 2026 and 2025, the Company recognized lease expense of $</w:t>
      </w:r>
      <w:bookmarkStart w:id="287" w:name="xdx_90E_eus-gaap--OperatingLeaseExpense_"/>
      <w:bookmarkEnd w:id="287"/>
      <w:r>
        <w:rPr>
          <w:rFonts w:ascii="Times New Roman;Times;Serif" w:hAnsi="Times New Roman;Times;Serif"/>
          <w:b w:val="false"/>
          <w:i w:val="false"/>
          <w:caps w:val="false"/>
          <w:smallCaps w:val="false"/>
          <w:sz w:val="20"/>
        </w:rPr>
        <w:t>120,000 and $</w:t>
      </w:r>
      <w:bookmarkStart w:id="288" w:name="xdx_900_eus-gaap--OperatingLeaseExpense_"/>
      <w:bookmarkEnd w:id="288"/>
      <w:r>
        <w:rPr>
          <w:rFonts w:ascii="Times New Roman;Times;Serif" w:hAnsi="Times New Roman;Times;Serif"/>
          <w:b w:val="false"/>
          <w:i w:val="false"/>
          <w:caps w:val="false"/>
          <w:smallCaps w:val="false"/>
          <w:sz w:val="20"/>
        </w:rPr>
        <w:t>178,000, respectively. This expense does not include non-lease components associated with the lease agreements as the Company elected not to include such charges as part of the lease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89" w:name="xdx_89D_ecustom--ScheduleOfSupplementalB"/>
      <w:bookmarkEnd w:id="289"/>
      <w:r>
        <w:rPr>
          <w:rFonts w:ascii="Times New Roman;Times;Serif" w:hAnsi="Times New Roman;Times;Serif"/>
          <w:b w:val="false"/>
          <w:i w:val="false"/>
          <w:caps w:val="false"/>
          <w:smallCaps w:val="false"/>
          <w:sz w:val="20"/>
        </w:rPr>
        <w:t>Supplemental Balance Sheet Information for Operating Leases:</w:t>
      </w:r>
    </w:p>
    <w:p>
      <w:pPr>
        <w:pStyle w:val="TextBody"/>
        <w:bidi w:val="0"/>
        <w:spacing w:before="0" w:after="0"/>
        <w:ind w:left="0" w:right="0" w:hanging="0"/>
        <w:jc w:val="left"/>
        <w:rPr>
          <w:caps w:val="false"/>
          <w:smallCaps w:val="false"/>
        </w:rPr>
      </w:pPr>
      <w:r>
        <w:rPr>
          <w:caps w:val="false"/>
          <w:smallCaps w:val="false"/>
        </w:rPr>
        <w:t> </w:t>
      </w:r>
      <w:bookmarkStart w:id="290" w:name="xdx_8B5_zp59TwtsVvb3"/>
      <w:bookmarkEnd w:id="290"/>
      <w:r>
        <w:rPr>
          <w:rFonts w:ascii="Times New Roman;Times;Serif" w:hAnsi="Times New Roman;Times;Serif"/>
          <w:b w:val="false"/>
          <w:i w:val="false"/>
          <w:caps w:val="false"/>
          <w:smallCaps w:val="false"/>
          <w:sz w:val="20"/>
        </w:rPr>
        <w:t>Schedule of Operating Leases</w:t>
      </w:r>
    </w:p>
    <w:tbl>
      <w:tblPr>
        <w:tblW w:w="8348" w:type="dxa"/>
        <w:jc w:val="left"/>
        <w:tblInd w:w="0" w:type="dxa"/>
        <w:tblLayout w:type="fixed"/>
        <w:tblCellMar>
          <w:top w:w="0" w:type="dxa"/>
          <w:left w:w="0" w:type="dxa"/>
          <w:bottom w:w="0" w:type="dxa"/>
          <w:right w:w="0" w:type="dxa"/>
        </w:tblCellMar>
      </w:tblPr>
      <w:tblGrid>
        <w:gridCol w:w="5780"/>
        <w:gridCol w:w="60"/>
        <w:gridCol w:w="182"/>
        <w:gridCol w:w="707"/>
        <w:gridCol w:w="185"/>
        <w:gridCol w:w="60"/>
        <w:gridCol w:w="240"/>
        <w:gridCol w:w="934"/>
        <w:gridCol w:w="200"/>
      </w:tblGrid>
      <w:tr>
        <w:trPr/>
        <w:tc>
          <w:tcPr>
            <w:tcW w:w="5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91" w:name="xdx_49C_20260331_zlBxS8iMzFWk"/>
            <w:bookmarkEnd w:id="291"/>
          </w:p>
        </w:tc>
        <w:tc>
          <w:tcPr>
            <w:tcW w:w="8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92" w:name="xdx_49E_20251231_zuebTDPqQ91c"/>
            <w:bookmarkEnd w:id="292"/>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200" w:type="dxa"/>
            <w:tcBorders/>
            <w:vAlign w:val="center"/>
          </w:tcPr>
          <w:p>
            <w:pPr>
              <w:pStyle w:val="TableContents"/>
              <w:bidi w:val="0"/>
              <w:spacing w:before="0" w:after="283"/>
              <w:jc w:val="left"/>
              <w:rPr/>
            </w:pPr>
            <w:r>
              <w:rPr/>
              <w:t> </w:t>
            </w:r>
          </w:p>
        </w:tc>
      </w:tr>
      <w:tr>
        <w:trPr/>
        <w:tc>
          <w:tcPr>
            <w:tcW w:w="57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 thousands)</w:t>
            </w:r>
          </w:p>
        </w:tc>
        <w:tc>
          <w:tcPr>
            <w:tcW w:w="60" w:type="dxa"/>
            <w:tcBorders/>
            <w:vAlign w:val="center"/>
          </w:tcPr>
          <w:p>
            <w:pPr>
              <w:pStyle w:val="TableContents"/>
              <w:bidi w:val="0"/>
              <w:spacing w:before="0" w:after="283"/>
              <w:jc w:val="left"/>
              <w:rPr/>
            </w:pPr>
            <w:r>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March 31,</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w:t>
            </w:r>
          </w:p>
        </w:tc>
        <w:tc>
          <w:tcPr>
            <w:tcW w:w="200" w:type="dxa"/>
            <w:tcBorders/>
            <w:vAlign w:val="center"/>
          </w:tcPr>
          <w:p>
            <w:pPr>
              <w:pStyle w:val="TableContents"/>
              <w:bidi w:val="0"/>
              <w:spacing w:before="0" w:after="283"/>
              <w:jc w:val="left"/>
              <w:rPr/>
            </w:pPr>
            <w:r>
              <w:rPr/>
              <w:t> </w:t>
            </w:r>
          </w:p>
        </w:tc>
      </w:tr>
      <w:tr>
        <w:trPr/>
        <w:tc>
          <w:tcPr>
            <w:tcW w:w="5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200" w:type="dxa"/>
            <w:tcBorders/>
            <w:vAlign w:val="center"/>
          </w:tcPr>
          <w:p>
            <w:pPr>
              <w:pStyle w:val="TableContents"/>
              <w:bidi w:val="0"/>
              <w:spacing w:before="0" w:after="283"/>
              <w:jc w:val="left"/>
              <w:rPr/>
            </w:pPr>
            <w:r>
              <w:rPr/>
              <w:t> </w:t>
            </w:r>
            <w:bookmarkStart w:id="293" w:name="xdx_408_eus-gaap--LesseeOperatingLeaseDe"/>
            <w:bookmarkEnd w:id="293"/>
          </w:p>
        </w:tc>
      </w:tr>
      <w:tr>
        <w:trPr/>
        <w:tc>
          <w:tcPr>
            <w:tcW w:w="57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bookmarkStart w:id="294" w:name="xdx_40A_eus-gaap--OperatingLeaseRightOfU"/>
            <w:bookmarkEnd w:id="294"/>
          </w:p>
        </w:tc>
      </w:tr>
      <w:tr>
        <w:trPr/>
        <w:tc>
          <w:tcPr>
            <w:tcW w:w="57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right of use assets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2,538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2,565</w:t>
            </w:r>
          </w:p>
        </w:tc>
        <w:tc>
          <w:tcPr>
            <w:tcW w:w="200" w:type="dxa"/>
            <w:tcBorders/>
            <w:shd w:fill="FFFFFF" w:val="clear"/>
            <w:vAlign w:val="center"/>
          </w:tcPr>
          <w:p>
            <w:pPr>
              <w:pStyle w:val="TableContents"/>
              <w:bidi w:val="0"/>
              <w:spacing w:before="0" w:after="283"/>
              <w:jc w:val="left"/>
              <w:rPr/>
            </w:pPr>
            <w:r>
              <w:rPr/>
              <w:t> </w:t>
            </w:r>
            <w:bookmarkStart w:id="295" w:name="xdx_408_eus-gaap--OperatingLeaseLiabilit"/>
            <w:bookmarkEnd w:id="295"/>
          </w:p>
        </w:tc>
      </w:tr>
      <w:tr>
        <w:trPr/>
        <w:tc>
          <w:tcPr>
            <w:tcW w:w="57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liabilities: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bookmarkStart w:id="296" w:name="xdx_404_eus-gaap--OperatingLeaseLiabilit"/>
            <w:bookmarkEnd w:id="296"/>
          </w:p>
        </w:tc>
      </w:tr>
      <w:tr>
        <w:trPr/>
        <w:tc>
          <w:tcPr>
            <w:tcW w:w="57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Current portion of operating lease liabilities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375</w:t>
            </w:r>
          </w:p>
        </w:tc>
        <w:tc>
          <w:tcPr>
            <w:tcW w:w="200" w:type="dxa"/>
            <w:tcBorders/>
            <w:shd w:fill="FFFFFF" w:val="clear"/>
            <w:vAlign w:val="center"/>
          </w:tcPr>
          <w:p>
            <w:pPr>
              <w:pStyle w:val="TableContents"/>
              <w:bidi w:val="0"/>
              <w:spacing w:before="0" w:after="283"/>
              <w:jc w:val="left"/>
              <w:rPr/>
            </w:pPr>
            <w:r>
              <w:rPr/>
              <w:t> </w:t>
            </w:r>
            <w:bookmarkStart w:id="297" w:name="xdx_40E_eus-gaap--OperatingLeaseLiabilit"/>
            <w:bookmarkEnd w:id="297"/>
          </w:p>
        </w:tc>
      </w:tr>
      <w:tr>
        <w:trPr/>
        <w:tc>
          <w:tcPr>
            <w:tcW w:w="57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Noncurrent operating lease liabilities</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2,420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2,421</w:t>
            </w:r>
          </w:p>
        </w:tc>
        <w:tc>
          <w:tcPr>
            <w:tcW w:w="200" w:type="dxa"/>
            <w:tcBorders/>
            <w:shd w:fill="CCEEFF" w:val="clear"/>
            <w:vAlign w:val="center"/>
          </w:tcPr>
          <w:p>
            <w:pPr>
              <w:pStyle w:val="TableContents"/>
              <w:bidi w:val="0"/>
              <w:spacing w:before="0" w:after="283"/>
              <w:jc w:val="left"/>
              <w:rPr/>
            </w:pPr>
            <w:r>
              <w:rPr/>
              <w:t> </w:t>
            </w:r>
            <w:bookmarkStart w:id="298" w:name="xdx_40B_eus-gaap--OperatingLeaseLiabilit"/>
            <w:bookmarkEnd w:id="298"/>
          </w:p>
        </w:tc>
      </w:tr>
      <w:tr>
        <w:trPr/>
        <w:tc>
          <w:tcPr>
            <w:tcW w:w="57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operating lease liabilities</w:t>
            </w:r>
          </w:p>
        </w:tc>
        <w:tc>
          <w:tcPr>
            <w:tcW w:w="60" w:type="dxa"/>
            <w:tcBorders/>
            <w:shd w:fill="FFFFFF" w:val="cle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2,798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2,796</w:t>
            </w:r>
          </w:p>
        </w:tc>
        <w:tc>
          <w:tcPr>
            <w:tcW w:w="200" w:type="dxa"/>
            <w:tcBorders/>
            <w:shd w:fill="FFFFFF" w:val="clear"/>
            <w:vAlign w:val="center"/>
          </w:tcPr>
          <w:p>
            <w:pPr>
              <w:pStyle w:val="TableContents"/>
              <w:bidi w:val="0"/>
              <w:spacing w:before="0" w:after="283"/>
              <w:jc w:val="left"/>
              <w:rPr/>
            </w:pPr>
            <w:r>
              <w:rPr/>
              <w:t> </w:t>
            </w:r>
          </w:p>
        </w:tc>
      </w:tr>
      <w:tr>
        <w:trPr/>
        <w:tc>
          <w:tcPr>
            <w:tcW w:w="57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57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paid for amounts included in the measurement of lease liabilities: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57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cash flows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99" w:name="xdx_98F_eus-gaap--OperatingLeasePayments"/>
            <w:bookmarkEnd w:id="299"/>
          </w:p>
        </w:tc>
        <w:tc>
          <w:tcPr>
            <w:tcW w:w="7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00" w:name="xdx_98D_eus-gaap--OperatingLeasePayments"/>
            <w:bookmarkEnd w:id="300"/>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369</w:t>
            </w:r>
          </w:p>
        </w:tc>
        <w:tc>
          <w:tcPr>
            <w:tcW w:w="200" w:type="dxa"/>
            <w:tcBorders/>
            <w:shd w:fill="CCEEFF" w:val="clear"/>
            <w:vAlign w:val="center"/>
          </w:tcPr>
          <w:p>
            <w:pPr>
              <w:pStyle w:val="TableContents"/>
              <w:bidi w:val="0"/>
              <w:spacing w:before="0" w:after="283"/>
              <w:jc w:val="left"/>
              <w:rPr/>
            </w:pPr>
            <w:r>
              <w:rPr/>
              <w:t> </w:t>
            </w:r>
          </w:p>
        </w:tc>
      </w:tr>
      <w:tr>
        <w:trPr/>
        <w:tc>
          <w:tcPr>
            <w:tcW w:w="57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Weighted average remaining lease term (in years)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Times New Roman;Times;Serif" w:hAnsi="Times New Roman;Times;Serif"/>
                <w:sz w:val="20"/>
              </w:rPr>
            </w:pPr>
            <w:bookmarkStart w:id="301" w:name="xdx_908_eus-gaap--OperatingLeaseWeighted"/>
            <w:bookmarkEnd w:id="301"/>
            <w:r>
              <w:rPr>
                <w:rFonts w:ascii="Times New Roman;Times;Serif" w:hAnsi="Times New Roman;Times;Serif"/>
                <w:sz w:val="20"/>
              </w:rPr>
              <w:t>13.1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bookmarkStart w:id="302" w:name="xdx_900_eus-gaap--OperatingLeaseWeighted"/>
            <w:bookmarkEnd w:id="302"/>
            <w:r>
              <w:rPr>
                <w:rFonts w:ascii="Times New Roman;Times;Serif" w:hAnsi="Times New Roman;Times;Serif"/>
                <w:sz w:val="20"/>
              </w:rPr>
              <w:t>13.4</w:t>
            </w:r>
          </w:p>
        </w:tc>
        <w:tc>
          <w:tcPr>
            <w:tcW w:w="200" w:type="dxa"/>
            <w:tcBorders/>
            <w:shd w:fill="FFFFFF" w:val="clear"/>
            <w:vAlign w:val="center"/>
          </w:tcPr>
          <w:p>
            <w:pPr>
              <w:pStyle w:val="TableContents"/>
              <w:bidi w:val="0"/>
              <w:spacing w:before="0" w:after="283"/>
              <w:jc w:val="left"/>
              <w:rPr/>
            </w:pPr>
            <w:r>
              <w:rPr/>
              <w:t> </w:t>
            </w:r>
          </w:p>
        </w:tc>
      </w:tr>
      <w:tr>
        <w:trPr/>
        <w:tc>
          <w:tcPr>
            <w:tcW w:w="57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Weighted average discount rate</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right"/>
              <w:rPr>
                <w:rFonts w:ascii="Times New Roman;Times;Serif" w:hAnsi="Times New Roman;Times;Serif"/>
                <w:sz w:val="20"/>
              </w:rPr>
            </w:pPr>
            <w:bookmarkStart w:id="303" w:name="xdx_900_eus-gaap--OperatingLeaseWeighted"/>
            <w:bookmarkEnd w:id="303"/>
            <w:r>
              <w:rPr>
                <w:rFonts w:ascii="Times New Roman;Times;Serif" w:hAnsi="Times New Roman;Times;Serif"/>
                <w:sz w:val="20"/>
              </w:rPr>
              <w:t>13.5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bookmarkStart w:id="304" w:name="xdx_902_eus-gaap--OperatingLeaseWeighted"/>
            <w:bookmarkEnd w:id="304"/>
            <w:r>
              <w:rPr>
                <w:rFonts w:ascii="Times New Roman;Times;Serif" w:hAnsi="Times New Roman;Times;Serif"/>
                <w:sz w:val="20"/>
              </w:rPr>
              <w:t>13.5</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bookmarkStart w:id="305" w:name="xdx_8AE_z5mfJlvlr222"/>
      <w:bookmarkEnd w:id="30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06" w:name="xdx_894_eus-gaap--LesseeOperatingLeaseLi"/>
      <w:bookmarkEnd w:id="306"/>
      <w:r>
        <w:rPr>
          <w:rFonts w:ascii="Times New Roman;Times;Serif" w:hAnsi="Times New Roman;Times;Serif"/>
          <w:b w:val="false"/>
          <w:i w:val="false"/>
          <w:caps w:val="false"/>
          <w:smallCaps w:val="false"/>
          <w:sz w:val="20"/>
        </w:rPr>
        <w:t>Future minimum lease payments under non-cancellable operating leases as of March 31, 2026:</w:t>
      </w:r>
    </w:p>
    <w:p>
      <w:pPr>
        <w:pStyle w:val="TextBody"/>
        <w:bidi w:val="0"/>
        <w:spacing w:before="0" w:after="0"/>
        <w:ind w:left="0" w:right="0" w:hanging="0"/>
        <w:jc w:val="left"/>
        <w:rPr>
          <w:caps w:val="false"/>
          <w:smallCaps w:val="false"/>
        </w:rPr>
      </w:pPr>
      <w:r>
        <w:rPr>
          <w:caps w:val="false"/>
          <w:smallCaps w:val="false"/>
        </w:rPr>
        <w:t> </w:t>
      </w:r>
      <w:bookmarkStart w:id="307" w:name="xdx_8B1_zTTnEK8kdHi5"/>
      <w:bookmarkEnd w:id="307"/>
      <w:r>
        <w:rPr>
          <w:rFonts w:ascii="Times New Roman;Times;Serif" w:hAnsi="Times New Roman;Times;Serif"/>
          <w:b w:val="false"/>
          <w:i w:val="false"/>
          <w:caps w:val="false"/>
          <w:smallCaps w:val="false"/>
          <w:sz w:val="20"/>
        </w:rPr>
        <w:t>Schedule of Future Lease Payments</w:t>
      </w:r>
    </w:p>
    <w:tbl>
      <w:tblPr>
        <w:tblW w:w="3920" w:type="dxa"/>
        <w:jc w:val="left"/>
        <w:tblInd w:w="0" w:type="dxa"/>
        <w:tblLayout w:type="fixed"/>
        <w:tblCellMar>
          <w:top w:w="0" w:type="dxa"/>
          <w:left w:w="0" w:type="dxa"/>
          <w:bottom w:w="0" w:type="dxa"/>
          <w:right w:w="0" w:type="dxa"/>
        </w:tblCellMar>
      </w:tblPr>
      <w:tblGrid>
        <w:gridCol w:w="3095"/>
        <w:gridCol w:w="60"/>
        <w:gridCol w:w="125"/>
        <w:gridCol w:w="545"/>
        <w:gridCol w:w="95"/>
      </w:tblGrid>
      <w:tr>
        <w:trPr/>
        <w:tc>
          <w:tcPr>
            <w:tcW w:w="309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year (in thousands)</w:t>
            </w:r>
          </w:p>
        </w:tc>
        <w:tc>
          <w:tcPr>
            <w:tcW w:w="60" w:type="dxa"/>
            <w:tcBorders/>
            <w:shd w:fill="CCEEFF" w:val="clear"/>
            <w:vAlign w:val="center"/>
          </w:tcPr>
          <w:p>
            <w:pPr>
              <w:pStyle w:val="TableContents"/>
              <w:bidi w:val="0"/>
              <w:spacing w:before="0" w:after="283"/>
              <w:jc w:val="left"/>
              <w:rPr/>
            </w:pPr>
            <w:r>
              <w:rPr/>
              <w:t> </w:t>
            </w:r>
            <w:bookmarkStart w:id="308" w:name="xdx_493_20260331_zso0zJePB1K5"/>
            <w:bookmarkEnd w:id="308"/>
          </w:p>
        </w:tc>
        <w:tc>
          <w:tcPr>
            <w:tcW w:w="670" w:type="dxa"/>
            <w:gridSpan w:val="2"/>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309" w:name="xdx_405_eus-gaap--LesseeOperatingLeaseLi"/>
            <w:bookmarkEnd w:id="309"/>
          </w:p>
        </w:tc>
      </w:tr>
      <w:tr>
        <w:trPr/>
        <w:tc>
          <w:tcPr>
            <w:tcW w:w="30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Remainder of 2026</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289</w:t>
            </w:r>
          </w:p>
        </w:tc>
        <w:tc>
          <w:tcPr>
            <w:tcW w:w="95" w:type="dxa"/>
            <w:tcBorders/>
            <w:shd w:fill="FFFFFF" w:val="clear"/>
            <w:vAlign w:val="center"/>
          </w:tcPr>
          <w:p>
            <w:pPr>
              <w:pStyle w:val="TableContents"/>
              <w:bidi w:val="0"/>
              <w:spacing w:before="0" w:after="283"/>
              <w:jc w:val="left"/>
              <w:rPr/>
            </w:pPr>
            <w:r>
              <w:rPr/>
              <w:t> </w:t>
            </w:r>
            <w:bookmarkStart w:id="310" w:name="xdx_408_eus-gaap--LesseeOperatingLeaseLi"/>
            <w:bookmarkEnd w:id="310"/>
          </w:p>
        </w:tc>
      </w:tr>
      <w:tr>
        <w:trPr/>
        <w:tc>
          <w:tcPr>
            <w:tcW w:w="30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2027</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397</w:t>
            </w:r>
          </w:p>
        </w:tc>
        <w:tc>
          <w:tcPr>
            <w:tcW w:w="95" w:type="dxa"/>
            <w:tcBorders/>
            <w:shd w:fill="CCEEFF" w:val="clear"/>
            <w:vAlign w:val="center"/>
          </w:tcPr>
          <w:p>
            <w:pPr>
              <w:pStyle w:val="TableContents"/>
              <w:bidi w:val="0"/>
              <w:spacing w:before="0" w:after="283"/>
              <w:jc w:val="left"/>
              <w:rPr/>
            </w:pPr>
            <w:r>
              <w:rPr/>
              <w:t> </w:t>
            </w:r>
            <w:bookmarkStart w:id="311" w:name="xdx_40A_eus-gaap--LesseeOperatingLeaseLi"/>
            <w:bookmarkEnd w:id="311"/>
          </w:p>
        </w:tc>
      </w:tr>
      <w:tr>
        <w:trPr/>
        <w:tc>
          <w:tcPr>
            <w:tcW w:w="30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2028</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412</w:t>
            </w:r>
          </w:p>
        </w:tc>
        <w:tc>
          <w:tcPr>
            <w:tcW w:w="95" w:type="dxa"/>
            <w:tcBorders/>
            <w:shd w:fill="FFFFFF" w:val="clear"/>
            <w:vAlign w:val="center"/>
          </w:tcPr>
          <w:p>
            <w:pPr>
              <w:pStyle w:val="TableContents"/>
              <w:bidi w:val="0"/>
              <w:spacing w:before="0" w:after="283"/>
              <w:jc w:val="left"/>
              <w:rPr/>
            </w:pPr>
            <w:r>
              <w:rPr/>
              <w:t> </w:t>
            </w:r>
            <w:bookmarkStart w:id="312" w:name="xdx_409_eus-gaap--LesseeOperatingLeaseLi"/>
            <w:bookmarkEnd w:id="312"/>
          </w:p>
        </w:tc>
      </w:tr>
      <w:tr>
        <w:trPr/>
        <w:tc>
          <w:tcPr>
            <w:tcW w:w="30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2029</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417</w:t>
            </w:r>
          </w:p>
        </w:tc>
        <w:tc>
          <w:tcPr>
            <w:tcW w:w="95" w:type="dxa"/>
            <w:tcBorders/>
            <w:shd w:fill="CCEEFF" w:val="clear"/>
            <w:vAlign w:val="center"/>
          </w:tcPr>
          <w:p>
            <w:pPr>
              <w:pStyle w:val="TableContents"/>
              <w:bidi w:val="0"/>
              <w:spacing w:before="0" w:after="283"/>
              <w:jc w:val="left"/>
              <w:rPr/>
            </w:pPr>
            <w:r>
              <w:rPr/>
              <w:t> </w:t>
            </w:r>
            <w:bookmarkStart w:id="313" w:name="xdx_402_eus-gaap--LesseeOperatingLeaseLi"/>
            <w:bookmarkEnd w:id="313"/>
          </w:p>
        </w:tc>
      </w:tr>
      <w:tr>
        <w:trPr/>
        <w:tc>
          <w:tcPr>
            <w:tcW w:w="30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2030</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423</w:t>
            </w:r>
          </w:p>
        </w:tc>
        <w:tc>
          <w:tcPr>
            <w:tcW w:w="95" w:type="dxa"/>
            <w:tcBorders/>
            <w:shd w:fill="FFFFFF" w:val="clear"/>
            <w:vAlign w:val="center"/>
          </w:tcPr>
          <w:p>
            <w:pPr>
              <w:pStyle w:val="TableContents"/>
              <w:bidi w:val="0"/>
              <w:spacing w:before="0" w:after="283"/>
              <w:jc w:val="left"/>
              <w:rPr/>
            </w:pPr>
            <w:r>
              <w:rPr/>
              <w:t> </w:t>
            </w:r>
            <w:bookmarkStart w:id="314" w:name="xdx_40D_ecustom--LesseeOperatingLeaseLia"/>
            <w:bookmarkEnd w:id="314"/>
          </w:p>
        </w:tc>
      </w:tr>
      <w:tr>
        <w:trPr/>
        <w:tc>
          <w:tcPr>
            <w:tcW w:w="30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2031 and thereafter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4,479</w:t>
            </w:r>
          </w:p>
        </w:tc>
        <w:tc>
          <w:tcPr>
            <w:tcW w:w="95" w:type="dxa"/>
            <w:tcBorders/>
            <w:shd w:fill="CCEEFF" w:val="clear"/>
            <w:vAlign w:val="center"/>
          </w:tcPr>
          <w:p>
            <w:pPr>
              <w:pStyle w:val="TableContents"/>
              <w:bidi w:val="0"/>
              <w:spacing w:before="0" w:after="283"/>
              <w:jc w:val="left"/>
              <w:rPr/>
            </w:pPr>
            <w:r>
              <w:rPr/>
              <w:t> </w:t>
            </w:r>
            <w:bookmarkStart w:id="315" w:name="xdx_401_eus-gaap--LesseeOperatingLeaseLi"/>
            <w:bookmarkEnd w:id="315"/>
          </w:p>
        </w:tc>
      </w:tr>
      <w:tr>
        <w:trPr/>
        <w:tc>
          <w:tcPr>
            <w:tcW w:w="30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future minimum lease payments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6,417</w:t>
            </w:r>
          </w:p>
        </w:tc>
        <w:tc>
          <w:tcPr>
            <w:tcW w:w="95" w:type="dxa"/>
            <w:tcBorders/>
            <w:shd w:fill="FFFFFF" w:val="clear"/>
            <w:vAlign w:val="center"/>
          </w:tcPr>
          <w:p>
            <w:pPr>
              <w:pStyle w:val="TableContents"/>
              <w:bidi w:val="0"/>
              <w:spacing w:before="0" w:after="283"/>
              <w:jc w:val="left"/>
              <w:rPr/>
            </w:pPr>
            <w:r>
              <w:rPr/>
              <w:t> </w:t>
            </w:r>
            <w:bookmarkStart w:id="316" w:name="xdx_409_eus-gaap--LesseeOperatingLeaseLi"/>
            <w:bookmarkEnd w:id="316"/>
          </w:p>
        </w:tc>
      </w:tr>
      <w:tr>
        <w:trPr/>
        <w:tc>
          <w:tcPr>
            <w:tcW w:w="30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Less: Amounts representing interest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(3,619</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17" w:name="xdx_402_eus-gaap--OperatingLeaseLiabilit"/>
            <w:bookmarkEnd w:id="317"/>
          </w:p>
        </w:tc>
      </w:tr>
      <w:tr>
        <w:trPr/>
        <w:tc>
          <w:tcPr>
            <w:tcW w:w="30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2,798</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18" w:name="xdx_8A0_zZiHGB0R5cua"/>
      <w:bookmarkEnd w:id="318"/>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ELECTROCORE, INC. AND SUBSIDIARIES</w:t>
      </w:r>
    </w:p>
    <w:p>
      <w:pPr>
        <w:pStyle w:val="TextBody"/>
        <w:bidi w:val="0"/>
        <w:spacing w:before="0" w:after="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Notes to Condensed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19" w:name="xdx_805_eus-gaap--AccountsPayableAndAccr"/>
      <w:bookmarkEnd w:id="319"/>
      <w:r>
        <w:rPr>
          <w:rFonts w:ascii="Times New Roman;Times;Serif" w:hAnsi="Times New Roman;Times;Serif"/>
          <w:b/>
          <w:i w:val="false"/>
          <w:caps w:val="false"/>
          <w:smallCaps w:val="false"/>
          <w:sz w:val="20"/>
        </w:rPr>
        <w:t xml:space="preserve">Note 8. </w:t>
      </w:r>
      <w:bookmarkStart w:id="320" w:name="xdx_823_zVqChsT4QiC7"/>
      <w:bookmarkEnd w:id="320"/>
      <w:r>
        <w:rPr>
          <w:rFonts w:ascii="Times New Roman;Times;Serif" w:hAnsi="Times New Roman;Times;Serif"/>
          <w:b/>
          <w:i w:val="false"/>
          <w:caps w:val="false"/>
          <w:smallCaps w:val="false"/>
          <w:sz w:val="20"/>
        </w:rPr>
        <w:t>Accrued Expenses and Other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21" w:name="xdx_899_eus-gaap--ScheduleOfAccountsPaya"/>
      <w:bookmarkEnd w:id="321"/>
      <w:r>
        <w:rPr>
          <w:rFonts w:ascii="Times New Roman;Times;Serif" w:hAnsi="Times New Roman;Times;Serif"/>
          <w:b w:val="false"/>
          <w:i w:val="false"/>
          <w:caps w:val="false"/>
          <w:smallCaps w:val="false"/>
          <w:sz w:val="20"/>
        </w:rPr>
        <w:t>Accrued expenses as of March 31, 2026 and December 31, 2025 consisted of the following:</w:t>
      </w:r>
    </w:p>
    <w:p>
      <w:pPr>
        <w:pStyle w:val="TextBody"/>
        <w:bidi w:val="0"/>
        <w:spacing w:before="0" w:after="0"/>
        <w:ind w:left="0" w:right="0" w:hanging="0"/>
        <w:jc w:val="both"/>
        <w:rPr>
          <w:caps w:val="false"/>
          <w:smallCaps w:val="false"/>
        </w:rPr>
      </w:pPr>
      <w:r>
        <w:rPr>
          <w:caps w:val="false"/>
          <w:smallCaps w:val="false"/>
        </w:rPr>
        <w:t> </w:t>
      </w:r>
      <w:bookmarkStart w:id="322" w:name="xdx_8BA_zE2dNOfudHT6"/>
      <w:bookmarkEnd w:id="322"/>
      <w:r>
        <w:rPr>
          <w:rFonts w:ascii="Times New Roman;Times;Serif" w:hAnsi="Times New Roman;Times;Serif"/>
          <w:b w:val="false"/>
          <w:i w:val="false"/>
          <w:caps w:val="false"/>
          <w:smallCaps w:val="false"/>
          <w:sz w:val="20"/>
        </w:rPr>
        <w:t>Schedule of Accrued Expenses and Other Current Liabilities</w:t>
      </w:r>
    </w:p>
    <w:tbl>
      <w:tblPr>
        <w:tblW w:w="7318" w:type="dxa"/>
        <w:jc w:val="left"/>
        <w:tblInd w:w="0" w:type="dxa"/>
        <w:tblLayout w:type="fixed"/>
        <w:tblCellMar>
          <w:top w:w="0" w:type="dxa"/>
          <w:left w:w="0" w:type="dxa"/>
          <w:bottom w:w="0" w:type="dxa"/>
          <w:right w:w="0" w:type="dxa"/>
        </w:tblCellMar>
      </w:tblPr>
      <w:tblGrid>
        <w:gridCol w:w="4490"/>
        <w:gridCol w:w="60"/>
        <w:gridCol w:w="191"/>
        <w:gridCol w:w="743"/>
        <w:gridCol w:w="60"/>
        <w:gridCol w:w="60"/>
        <w:gridCol w:w="335"/>
        <w:gridCol w:w="1304"/>
        <w:gridCol w:w="75"/>
      </w:tblGrid>
      <w:tr>
        <w:trPr/>
        <w:tc>
          <w:tcPr>
            <w:tcW w:w="44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23" w:name="xdx_49E_20260331_zGFf7c1u5lk5"/>
            <w:bookmarkEnd w:id="323"/>
          </w:p>
        </w:tc>
        <w:tc>
          <w:tcPr>
            <w:tcW w:w="934"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24" w:name="xdx_49E_20251231_zpkqPjs2NmF1"/>
            <w:bookmarkEnd w:id="324"/>
          </w:p>
        </w:tc>
        <w:tc>
          <w:tcPr>
            <w:tcW w:w="1639"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44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 thousands)</w:t>
            </w:r>
          </w:p>
        </w:tc>
        <w:tc>
          <w:tcPr>
            <w:tcW w:w="60" w:type="dxa"/>
            <w:tcBorders/>
            <w:vAlign w:val="center"/>
          </w:tcPr>
          <w:p>
            <w:pPr>
              <w:pStyle w:val="TableContents"/>
              <w:bidi w:val="0"/>
              <w:spacing w:before="0" w:after="283"/>
              <w:jc w:val="left"/>
              <w:rPr/>
            </w:pPr>
            <w:r>
              <w:rPr/>
              <w:t> </w:t>
            </w:r>
          </w:p>
        </w:tc>
        <w:tc>
          <w:tcPr>
            <w:tcW w:w="93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31,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 2025</w:t>
            </w:r>
          </w:p>
        </w:tc>
        <w:tc>
          <w:tcPr>
            <w:tcW w:w="75" w:type="dxa"/>
            <w:tcBorders/>
            <w:vAlign w:val="center"/>
          </w:tcPr>
          <w:p>
            <w:pPr>
              <w:pStyle w:val="TableContents"/>
              <w:bidi w:val="0"/>
              <w:spacing w:before="0" w:after="283"/>
              <w:jc w:val="left"/>
              <w:rPr/>
            </w:pPr>
            <w:r>
              <w:rPr/>
              <w:t> </w:t>
            </w:r>
            <w:bookmarkStart w:id="325" w:name="xdx_401_eus-gaap--AccruedProfessionalFee"/>
            <w:bookmarkEnd w:id="325"/>
          </w:p>
        </w:tc>
      </w:tr>
      <w:tr>
        <w:trPr/>
        <w:tc>
          <w:tcPr>
            <w:tcW w:w="44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professional fees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1,059</w:t>
            </w:r>
          </w:p>
        </w:tc>
        <w:tc>
          <w:tcPr>
            <w:tcW w:w="75" w:type="dxa"/>
            <w:tcBorders/>
            <w:shd w:fill="CCEEFF" w:val="clear"/>
            <w:vAlign w:val="center"/>
          </w:tcPr>
          <w:p>
            <w:pPr>
              <w:pStyle w:val="TableContents"/>
              <w:bidi w:val="0"/>
              <w:spacing w:before="0" w:after="283"/>
              <w:jc w:val="left"/>
              <w:rPr/>
            </w:pPr>
            <w:r>
              <w:rPr/>
              <w:t> </w:t>
            </w:r>
            <w:bookmarkStart w:id="326" w:name="xdx_404_eus-gaap--AccruedBonusesCurrent_"/>
            <w:bookmarkEnd w:id="326"/>
          </w:p>
        </w:tc>
      </w:tr>
      <w:tr>
        <w:trPr/>
        <w:tc>
          <w:tcPr>
            <w:tcW w:w="44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bonuses and incentive compensation</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2,583</w:t>
            </w:r>
          </w:p>
        </w:tc>
        <w:tc>
          <w:tcPr>
            <w:tcW w:w="75" w:type="dxa"/>
            <w:tcBorders/>
            <w:shd w:fill="FFFFFF" w:val="clear"/>
            <w:vAlign w:val="center"/>
          </w:tcPr>
          <w:p>
            <w:pPr>
              <w:pStyle w:val="TableContents"/>
              <w:bidi w:val="0"/>
              <w:spacing w:before="0" w:after="283"/>
              <w:jc w:val="left"/>
              <w:rPr/>
            </w:pPr>
            <w:r>
              <w:rPr/>
              <w:t> </w:t>
            </w:r>
            <w:bookmarkStart w:id="327" w:name="xdx_405_ecustom--AccruedLegalFeesLitigat"/>
            <w:bookmarkEnd w:id="327"/>
          </w:p>
        </w:tc>
      </w:tr>
      <w:tr>
        <w:trPr/>
        <w:tc>
          <w:tcPr>
            <w:tcW w:w="44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litigation legal fees expense</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1,155</w:t>
            </w:r>
          </w:p>
        </w:tc>
        <w:tc>
          <w:tcPr>
            <w:tcW w:w="75" w:type="dxa"/>
            <w:tcBorders/>
            <w:shd w:fill="CCEEFF" w:val="clear"/>
            <w:vAlign w:val="center"/>
          </w:tcPr>
          <w:p>
            <w:pPr>
              <w:pStyle w:val="TableContents"/>
              <w:bidi w:val="0"/>
              <w:spacing w:before="0" w:after="283"/>
              <w:jc w:val="left"/>
              <w:rPr/>
            </w:pPr>
            <w:r>
              <w:rPr/>
              <w:t> </w:t>
            </w:r>
            <w:bookmarkStart w:id="328" w:name="xdx_406_eus-gaap--AccruedInsuranceCurren"/>
            <w:bookmarkEnd w:id="328"/>
          </w:p>
        </w:tc>
      </w:tr>
      <w:tr>
        <w:trPr/>
        <w:tc>
          <w:tcPr>
            <w:tcW w:w="44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insurance expense</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181</w:t>
            </w:r>
          </w:p>
        </w:tc>
        <w:tc>
          <w:tcPr>
            <w:tcW w:w="75" w:type="dxa"/>
            <w:tcBorders/>
            <w:shd w:fill="FFFFFF" w:val="clear"/>
            <w:vAlign w:val="center"/>
          </w:tcPr>
          <w:p>
            <w:pPr>
              <w:pStyle w:val="TableContents"/>
              <w:bidi w:val="0"/>
              <w:spacing w:before="0" w:after="283"/>
              <w:jc w:val="left"/>
              <w:rPr/>
            </w:pPr>
            <w:r>
              <w:rPr/>
              <w:t> </w:t>
            </w:r>
            <w:bookmarkStart w:id="329" w:name="xdx_40A_ecustom--AccruedResearchAndDevel"/>
            <w:bookmarkEnd w:id="329"/>
          </w:p>
        </w:tc>
      </w:tr>
      <w:tr>
        <w:trPr/>
        <w:tc>
          <w:tcPr>
            <w:tcW w:w="44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research and development expenses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655</w:t>
            </w:r>
          </w:p>
        </w:tc>
        <w:tc>
          <w:tcPr>
            <w:tcW w:w="75" w:type="dxa"/>
            <w:tcBorders/>
            <w:shd w:fill="CCEEFF" w:val="clear"/>
            <w:vAlign w:val="center"/>
          </w:tcPr>
          <w:p>
            <w:pPr>
              <w:pStyle w:val="TableContents"/>
              <w:bidi w:val="0"/>
              <w:spacing w:before="0" w:after="283"/>
              <w:jc w:val="left"/>
              <w:rPr/>
            </w:pPr>
            <w:r>
              <w:rPr/>
              <w:t> </w:t>
            </w:r>
            <w:bookmarkStart w:id="330" w:name="xdx_404_eus-gaap--OtherEmployeeRelatedLi"/>
            <w:bookmarkEnd w:id="330"/>
          </w:p>
        </w:tc>
      </w:tr>
      <w:tr>
        <w:trPr/>
        <w:tc>
          <w:tcPr>
            <w:tcW w:w="44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vacation and other employee related expenses</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w:t>
            </w:r>
          </w:p>
        </w:tc>
        <w:tc>
          <w:tcPr>
            <w:tcW w:w="75" w:type="dxa"/>
            <w:tcBorders/>
            <w:shd w:fill="FFFFFF" w:val="clear"/>
            <w:vAlign w:val="center"/>
          </w:tcPr>
          <w:p>
            <w:pPr>
              <w:pStyle w:val="TableContents"/>
              <w:bidi w:val="0"/>
              <w:spacing w:before="0" w:after="283"/>
              <w:jc w:val="left"/>
              <w:rPr/>
            </w:pPr>
            <w:r>
              <w:rPr/>
              <w:t> </w:t>
            </w:r>
            <w:bookmarkStart w:id="331" w:name="xdx_407_eus-gaap--SalesAndExciseTaxPayab"/>
            <w:bookmarkEnd w:id="331"/>
          </w:p>
        </w:tc>
      </w:tr>
      <w:tr>
        <w:trPr/>
        <w:tc>
          <w:tcPr>
            <w:tcW w:w="44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tax expenses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524</w:t>
            </w:r>
          </w:p>
        </w:tc>
        <w:tc>
          <w:tcPr>
            <w:tcW w:w="75" w:type="dxa"/>
            <w:tcBorders/>
            <w:shd w:fill="CCEEFF" w:val="clear"/>
            <w:vAlign w:val="center"/>
          </w:tcPr>
          <w:p>
            <w:pPr>
              <w:pStyle w:val="TableContents"/>
              <w:bidi w:val="0"/>
              <w:spacing w:before="0" w:after="283"/>
              <w:jc w:val="left"/>
              <w:rPr/>
            </w:pPr>
            <w:r>
              <w:rPr/>
              <w:t> </w:t>
            </w:r>
            <w:bookmarkStart w:id="332" w:name="xdx_40C_ecustom--AccruedPurchases_iI_pn3"/>
            <w:bookmarkEnd w:id="332"/>
          </w:p>
        </w:tc>
      </w:tr>
      <w:tr>
        <w:trPr/>
        <w:tc>
          <w:tcPr>
            <w:tcW w:w="44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purchases of inventory</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w:t>
            </w:r>
          </w:p>
        </w:tc>
        <w:tc>
          <w:tcPr>
            <w:tcW w:w="75" w:type="dxa"/>
            <w:tcBorders/>
            <w:shd w:fill="FFFFFF" w:val="clear"/>
            <w:vAlign w:val="center"/>
          </w:tcPr>
          <w:p>
            <w:pPr>
              <w:pStyle w:val="TableContents"/>
              <w:bidi w:val="0"/>
              <w:spacing w:before="0" w:after="283"/>
              <w:jc w:val="left"/>
              <w:rPr/>
            </w:pPr>
            <w:r>
              <w:rPr/>
              <w:t> </w:t>
            </w:r>
            <w:bookmarkStart w:id="333" w:name="xdx_40F_eus-gaap--DeferredRevenue_iI_pn3"/>
            <w:bookmarkEnd w:id="333"/>
          </w:p>
        </w:tc>
      </w:tr>
      <w:tr>
        <w:trPr/>
        <w:tc>
          <w:tcPr>
            <w:tcW w:w="44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Deferred revenue</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c>
          <w:tcPr>
            <w:tcW w:w="75" w:type="dxa"/>
            <w:tcBorders/>
            <w:shd w:fill="CCEEFF" w:val="clear"/>
            <w:vAlign w:val="center"/>
          </w:tcPr>
          <w:p>
            <w:pPr>
              <w:pStyle w:val="TableContents"/>
              <w:bidi w:val="0"/>
              <w:spacing w:before="0" w:after="283"/>
              <w:jc w:val="left"/>
              <w:rPr/>
            </w:pPr>
            <w:r>
              <w:rPr/>
              <w:t> </w:t>
            </w:r>
            <w:bookmarkStart w:id="334" w:name="xdx_400_ecustom--AccruedAcquisitionRelat"/>
            <w:bookmarkEnd w:id="334"/>
          </w:p>
        </w:tc>
      </w:tr>
      <w:tr>
        <w:trPr/>
        <w:tc>
          <w:tcPr>
            <w:tcW w:w="44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acquisition related expenses</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604</w:t>
            </w:r>
          </w:p>
        </w:tc>
        <w:tc>
          <w:tcPr>
            <w:tcW w:w="75" w:type="dxa"/>
            <w:tcBorders/>
            <w:shd w:fill="FFFFFF" w:val="clear"/>
            <w:vAlign w:val="center"/>
          </w:tcPr>
          <w:p>
            <w:pPr>
              <w:pStyle w:val="TableContents"/>
              <w:bidi w:val="0"/>
              <w:spacing w:before="0" w:after="283"/>
              <w:jc w:val="left"/>
              <w:rPr/>
            </w:pPr>
            <w:r>
              <w:rPr/>
              <w:t> </w:t>
            </w:r>
            <w:bookmarkStart w:id="335" w:name="xdx_40D_eus-gaap--OtherAccruedLiabilitie"/>
            <w:bookmarkEnd w:id="335"/>
          </w:p>
        </w:tc>
      </w:tr>
      <w:tr>
        <w:trPr/>
        <w:tc>
          <w:tcPr>
            <w:tcW w:w="44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364</w:t>
            </w:r>
          </w:p>
        </w:tc>
        <w:tc>
          <w:tcPr>
            <w:tcW w:w="75" w:type="dxa"/>
            <w:tcBorders/>
            <w:shd w:fill="CCEEFF" w:val="clear"/>
            <w:vAlign w:val="center"/>
          </w:tcPr>
          <w:p>
            <w:pPr>
              <w:pStyle w:val="TableContents"/>
              <w:bidi w:val="0"/>
              <w:spacing w:before="0" w:after="283"/>
              <w:jc w:val="left"/>
              <w:rPr/>
            </w:pPr>
            <w:r>
              <w:rPr/>
              <w:t> </w:t>
            </w:r>
            <w:bookmarkStart w:id="336" w:name="xdx_40D_eus-gaap--AccruedLiabilitiesCurr"/>
            <w:bookmarkEnd w:id="336"/>
          </w:p>
        </w:tc>
      </w:tr>
      <w:tr>
        <w:trPr/>
        <w:tc>
          <w:tcPr>
            <w:tcW w:w="44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0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8,261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37" w:name="xdx_8AA_zxnYV8rkht3k"/>
      <w:bookmarkEnd w:id="337"/>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Finance and Security Agreements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7, 2025, the Company and First Insurance Funding entered into a Commercial Insurance Premium Finance Agreement (the “2025 Finance Agreement”). The 2025 Finance Agreement provides for a single borrowing of approximately $</w:t>
      </w:r>
      <w:bookmarkStart w:id="338" w:name="xdx_900_eus-gaap--DebtInstrumentFaceAmou"/>
      <w:bookmarkEnd w:id="338"/>
      <w:r>
        <w:rPr>
          <w:rFonts w:ascii="Times New Roman;Times;Serif" w:hAnsi="Times New Roman;Times;Serif"/>
          <w:b w:val="false"/>
          <w:i w:val="false"/>
          <w:caps w:val="false"/>
          <w:smallCaps w:val="false"/>
          <w:sz w:val="20"/>
        </w:rPr>
        <w:t xml:space="preserve">452,000 with a </w:t>
      </w:r>
      <w:bookmarkStart w:id="339" w:name="xdx_90D_eus-gaap--DebtInstrumentTerm_dtM"/>
      <w:bookmarkEnd w:id="339"/>
      <w:r>
        <w:rPr>
          <w:rFonts w:ascii="Times New Roman;Times;Serif" w:hAnsi="Times New Roman;Times;Serif"/>
          <w:b w:val="false"/>
          <w:i w:val="false"/>
          <w:caps w:val="false"/>
          <w:smallCaps w:val="false"/>
          <w:sz w:val="22"/>
        </w:rPr>
        <w:t>10</w:t>
      </w:r>
      <w:r>
        <w:rPr>
          <w:rFonts w:ascii="Times New Roman;Times;Serif" w:hAnsi="Times New Roman;Times;Serif"/>
          <w:b w:val="false"/>
          <w:i w:val="false"/>
          <w:caps w:val="false"/>
          <w:smallCaps w:val="false"/>
          <w:sz w:val="20"/>
        </w:rPr>
        <w:t xml:space="preserve">ten-month term and an annual interest rate of </w:t>
      </w:r>
      <w:bookmarkStart w:id="340" w:name="xdx_909_eus-gaap--DebtInstrumentInterest"/>
      <w:bookmarkEnd w:id="340"/>
      <w:r>
        <w:rPr>
          <w:rFonts w:ascii="Times New Roman;Times;Serif" w:hAnsi="Times New Roman;Times;Serif"/>
          <w:b w:val="false"/>
          <w:i w:val="false"/>
          <w:caps w:val="false"/>
          <w:smallCaps w:val="false"/>
          <w:sz w:val="20"/>
        </w:rPr>
        <w:t>6.55%. The proceeds from this transaction were used to partially fund the premiums due under certain of the Company’s insurance policies. The amounts payable are secured by the Company’s rights under such policies. Beginning July 2025, the Company began paying monthly installments of approximately $</w:t>
      </w:r>
      <w:bookmarkStart w:id="341" w:name="xdx_908_eus-gaap--DebtInstrumentPeriodic"/>
      <w:bookmarkEnd w:id="341"/>
      <w:r>
        <w:rPr>
          <w:rFonts w:ascii="Times New Roman;Times;Serif" w:hAnsi="Times New Roman;Times;Serif"/>
          <w:b w:val="false"/>
          <w:i w:val="false"/>
          <w:caps w:val="false"/>
          <w:smallCaps w:val="false"/>
          <w:sz w:val="20"/>
        </w:rPr>
        <w:t>45,000.</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and 2025, the Company recognized $</w:t>
      </w:r>
      <w:bookmarkStart w:id="342" w:name="xdx_905_eus-gaap--InterestExpense_pn3d_c"/>
      <w:bookmarkEnd w:id="342"/>
      <w:r>
        <w:rPr>
          <w:rFonts w:ascii="Times New Roman;Times;Serif" w:hAnsi="Times New Roman;Times;Serif"/>
          <w:b w:val="false"/>
          <w:i w:val="false"/>
          <w:caps w:val="false"/>
          <w:smallCaps w:val="false"/>
          <w:sz w:val="20"/>
        </w:rPr>
        <w:t>4,000 and $</w:t>
      </w:r>
      <w:bookmarkStart w:id="343" w:name="xdx_907_eus-gaap--InterestExpense_pn3d_c"/>
      <w:bookmarkEnd w:id="343"/>
      <w:r>
        <w:rPr>
          <w:rFonts w:ascii="Times New Roman;Times;Serif" w:hAnsi="Times New Roman;Times;Serif"/>
          <w:b w:val="false"/>
          <w:i w:val="false"/>
          <w:caps w:val="false"/>
          <w:smallCaps w:val="false"/>
          <w:sz w:val="20"/>
        </w:rPr>
        <w:t>5,000 in aggregate interest expense, respectively, related to the 2025 Finance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bookmarkStart w:id="344" w:name="xdx_80F_eus-gaap--LongTermDebtTextBlock_"/>
      <w:bookmarkEnd w:id="344"/>
      <w:r>
        <w:rPr>
          <w:rFonts w:ascii="Times New Roman;Times;Serif" w:hAnsi="Times New Roman;Times;Serif"/>
          <w:b/>
          <w:i w:val="false"/>
          <w:caps w:val="false"/>
          <w:smallCaps w:val="false"/>
          <w:sz w:val="20"/>
        </w:rPr>
        <w:t xml:space="preserve">Note 9. </w:t>
      </w:r>
      <w:bookmarkStart w:id="345" w:name="xdx_822_zihbLWsAUGLj"/>
      <w:bookmarkEnd w:id="345"/>
      <w:r>
        <w:rPr>
          <w:rFonts w:ascii="Times New Roman;Times;Serif" w:hAnsi="Times New Roman;Times;Serif"/>
          <w:b/>
          <w:i w:val="false"/>
          <w:caps w:val="false"/>
          <w:smallCaps w:val="false"/>
          <w:sz w:val="20"/>
        </w:rPr>
        <w:t xml:space="preserve">Long-Term Debt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46" w:name="xdx_899_eus-gaap--ConvertibleDebtTableTe"/>
      <w:bookmarkEnd w:id="346"/>
      <w:r>
        <w:rPr>
          <w:rFonts w:ascii="Times New Roman;Times;Serif" w:hAnsi="Times New Roman;Times;Serif"/>
          <w:b w:val="false"/>
          <w:i w:val="false"/>
          <w:caps w:val="false"/>
          <w:smallCaps w:val="false"/>
          <w:sz w:val="20"/>
        </w:rPr>
        <w:t>As of March 31, 2026, long-term debt consists of notes payable and convertible notes payable as follows:</w:t>
      </w:r>
    </w:p>
    <w:p>
      <w:pPr>
        <w:pStyle w:val="TextBody"/>
        <w:bidi w:val="0"/>
        <w:spacing w:before="0" w:after="0"/>
        <w:ind w:left="0" w:right="0" w:hanging="0"/>
        <w:jc w:val="left"/>
        <w:rPr>
          <w:caps w:val="false"/>
          <w:smallCaps w:val="false"/>
        </w:rPr>
      </w:pPr>
      <w:r>
        <w:rPr>
          <w:caps w:val="false"/>
          <w:smallCaps w:val="false"/>
        </w:rPr>
        <w:t> </w:t>
      </w:r>
      <w:bookmarkStart w:id="347" w:name="xdx_8B9_zjyn1Yi1X5Oh"/>
      <w:bookmarkEnd w:id="347"/>
      <w:r>
        <w:rPr>
          <w:rFonts w:ascii="Times New Roman;Times;Serif" w:hAnsi="Times New Roman;Times;Serif"/>
          <w:b w:val="false"/>
          <w:i w:val="false"/>
          <w:caps w:val="false"/>
          <w:smallCaps w:val="false"/>
          <w:sz w:val="20"/>
        </w:rPr>
        <w:t>Schedule of Notes Payable and Convertible Notes Payable</w:t>
      </w:r>
    </w:p>
    <w:tbl>
      <w:tblPr>
        <w:tblW w:w="6159" w:type="dxa"/>
        <w:jc w:val="left"/>
        <w:tblInd w:w="0" w:type="dxa"/>
        <w:tblLayout w:type="fixed"/>
        <w:tblCellMar>
          <w:top w:w="0" w:type="dxa"/>
          <w:left w:w="0" w:type="dxa"/>
          <w:bottom w:w="0" w:type="dxa"/>
          <w:right w:w="0" w:type="dxa"/>
        </w:tblCellMar>
      </w:tblPr>
      <w:tblGrid>
        <w:gridCol w:w="2405"/>
        <w:gridCol w:w="60"/>
        <w:gridCol w:w="293"/>
        <w:gridCol w:w="1137"/>
        <w:gridCol w:w="80"/>
        <w:gridCol w:w="60"/>
        <w:gridCol w:w="249"/>
        <w:gridCol w:w="970"/>
        <w:gridCol w:w="80"/>
        <w:gridCol w:w="60"/>
        <w:gridCol w:w="125"/>
        <w:gridCol w:w="545"/>
        <w:gridCol w:w="95"/>
      </w:tblGrid>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48" w:name="xdx_492_20260101__20260331__us-gaap--Lon"/>
            <w:bookmarkEnd w:id="348"/>
          </w:p>
        </w:tc>
        <w:tc>
          <w:tcPr>
            <w:tcW w:w="143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Non-Convertible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49" w:name="xdx_498_20260101__20260331__us-gaap--Lon"/>
            <w:bookmarkEnd w:id="349"/>
          </w:p>
        </w:tc>
        <w:tc>
          <w:tcPr>
            <w:tcW w:w="121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Convertible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50" w:name="xdx_490_20260101__20260331_zQunjsn9J04e"/>
            <w:bookmarkEnd w:id="350"/>
          </w:p>
        </w:tc>
        <w:tc>
          <w:tcPr>
            <w:tcW w:w="67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24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 thousands)</w:t>
            </w:r>
          </w:p>
        </w:tc>
        <w:tc>
          <w:tcPr>
            <w:tcW w:w="60" w:type="dxa"/>
            <w:tcBorders/>
            <w:vAlign w:val="center"/>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Notes Payable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Notes Payable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95" w:type="dxa"/>
            <w:tcBorders/>
            <w:vAlign w:val="center"/>
          </w:tcPr>
          <w:p>
            <w:pPr>
              <w:pStyle w:val="TableContents"/>
              <w:bidi w:val="0"/>
              <w:spacing w:before="0" w:after="283"/>
              <w:jc w:val="left"/>
              <w:rPr/>
            </w:pPr>
            <w:r>
              <w:rPr/>
              <w:t> </w:t>
            </w:r>
            <w:bookmarkStart w:id="351" w:name="xdx_40B_eus-gaap--DebtInstrumentIssuedPr"/>
            <w:bookmarkEnd w:id="351"/>
          </w:p>
        </w:tc>
      </w:tr>
      <w:tr>
        <w:trPr/>
        <w:tc>
          <w:tcPr>
            <w:tcW w:w="24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Borrowed</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3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7,500</w:t>
            </w:r>
          </w:p>
        </w:tc>
        <w:tc>
          <w:tcPr>
            <w:tcW w:w="95" w:type="dxa"/>
            <w:tcBorders/>
            <w:shd w:fill="CCEEFF" w:val="clear"/>
            <w:vAlign w:val="center"/>
          </w:tcPr>
          <w:p>
            <w:pPr>
              <w:pStyle w:val="TableContents"/>
              <w:bidi w:val="0"/>
              <w:spacing w:before="0" w:after="283"/>
              <w:jc w:val="left"/>
              <w:rPr/>
            </w:pPr>
            <w:r>
              <w:rPr/>
              <w:t> </w:t>
            </w:r>
            <w:bookmarkStart w:id="352" w:name="xdx_40F_eus-gaap--PaymentsForLoans_zi7eC"/>
            <w:bookmarkEnd w:id="352"/>
          </w:p>
        </w:tc>
      </w:tr>
      <w:tr>
        <w:trPr/>
        <w:tc>
          <w:tcPr>
            <w:tcW w:w="24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Final Payment (</w:t>
            </w:r>
            <w:bookmarkStart w:id="353" w:name="xdx_90C_ecustom--DebtInstrumentFuturePay"/>
            <w:bookmarkEnd w:id="353"/>
            <w:r>
              <w:rPr>
                <w:rFonts w:ascii="Times New Roman;Times;Serif" w:hAnsi="Times New Roman;Times;Serif"/>
                <w:sz w:val="20"/>
              </w:rPr>
              <w:t>3.50%)</w:t>
            </w:r>
          </w:p>
        </w:tc>
        <w:tc>
          <w:tcPr>
            <w:tcW w:w="60" w:type="dxa"/>
            <w:tcBorders/>
            <w:shd w:fill="FFFFFF" w:val="clear"/>
            <w:vAlign w:val="center"/>
          </w:tcPr>
          <w:p>
            <w:pPr>
              <w:pStyle w:val="TableContents"/>
              <w:bidi w:val="0"/>
              <w:spacing w:before="0" w:after="283"/>
              <w:jc w:val="left"/>
              <w:rPr/>
            </w:pPr>
            <w:r>
              <w:rPr/>
              <w:t> </w:t>
            </w:r>
          </w:p>
        </w:tc>
        <w:tc>
          <w:tcPr>
            <w:tcW w:w="2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262</w:t>
            </w:r>
          </w:p>
        </w:tc>
        <w:tc>
          <w:tcPr>
            <w:tcW w:w="95" w:type="dxa"/>
            <w:tcBorders/>
            <w:shd w:fill="FFFFFF" w:val="clear"/>
            <w:vAlign w:val="center"/>
          </w:tcPr>
          <w:p>
            <w:pPr>
              <w:pStyle w:val="TableContents"/>
              <w:bidi w:val="0"/>
              <w:spacing w:before="0" w:after="283"/>
              <w:jc w:val="left"/>
              <w:rPr/>
            </w:pPr>
            <w:r>
              <w:rPr/>
              <w:t> </w:t>
            </w:r>
            <w:bookmarkStart w:id="354" w:name="xdx_40B_eus-gaap--DebtInstrumentFaceAmou"/>
            <w:bookmarkEnd w:id="354"/>
          </w:p>
        </w:tc>
      </w:tr>
      <w:tr>
        <w:trPr/>
        <w:tc>
          <w:tcPr>
            <w:tcW w:w="24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Principal</w:t>
            </w:r>
          </w:p>
        </w:tc>
        <w:tc>
          <w:tcPr>
            <w:tcW w:w="60" w:type="dxa"/>
            <w:tcBorders/>
            <w:shd w:fill="CCEEFF" w:val="clear"/>
            <w:vAlign w:val="center"/>
          </w:tcPr>
          <w:p>
            <w:pPr>
              <w:pStyle w:val="TableContents"/>
              <w:bidi w:val="0"/>
              <w:spacing w:before="0" w:after="283"/>
              <w:jc w:val="left"/>
              <w:rPr/>
            </w:pPr>
            <w:r>
              <w:rPr/>
              <w:t> </w:t>
            </w:r>
          </w:p>
        </w:tc>
        <w:tc>
          <w:tcPr>
            <w:tcW w:w="2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7,762</w:t>
            </w:r>
          </w:p>
        </w:tc>
        <w:tc>
          <w:tcPr>
            <w:tcW w:w="95" w:type="dxa"/>
            <w:tcBorders/>
            <w:shd w:fill="CCEE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355" w:name="xdx_407_ecustom--AggregateDebtDiscountAm"/>
            <w:bookmarkEnd w:id="355"/>
          </w:p>
        </w:tc>
      </w:tr>
      <w:tr>
        <w:trPr/>
        <w:tc>
          <w:tcPr>
            <w:tcW w:w="24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Aggregate Debt Discount</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(1,290</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56" w:name="xdx_406_ecustom--DebtDiscountAmortizatio"/>
            <w:bookmarkEnd w:id="356"/>
          </w:p>
        </w:tc>
      </w:tr>
      <w:tr>
        <w:trPr/>
        <w:tc>
          <w:tcPr>
            <w:tcW w:w="24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Debt Discount Amortization</w:t>
            </w:r>
          </w:p>
        </w:tc>
        <w:tc>
          <w:tcPr>
            <w:tcW w:w="60" w:type="dxa"/>
            <w:tcBorders/>
            <w:shd w:fill="FFFFFF" w:val="clear"/>
            <w:vAlign w:val="center"/>
          </w:tcPr>
          <w:p>
            <w:pPr>
              <w:pStyle w:val="TableContents"/>
              <w:bidi w:val="0"/>
              <w:spacing w:before="0" w:after="283"/>
              <w:jc w:val="left"/>
              <w:rPr/>
            </w:pPr>
            <w:r>
              <w:rPr/>
              <w:t> </w:t>
            </w:r>
          </w:p>
        </w:tc>
        <w:tc>
          <w:tcPr>
            <w:tcW w:w="2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215</w:t>
            </w:r>
          </w:p>
        </w:tc>
        <w:tc>
          <w:tcPr>
            <w:tcW w:w="95" w:type="dxa"/>
            <w:tcBorders/>
            <w:shd w:fill="FFFFFF" w:val="clear"/>
            <w:vAlign w:val="center"/>
          </w:tcPr>
          <w:p>
            <w:pPr>
              <w:pStyle w:val="TableContents"/>
              <w:bidi w:val="0"/>
              <w:spacing w:before="0" w:after="283"/>
              <w:jc w:val="left"/>
              <w:rPr/>
            </w:pPr>
            <w:r>
              <w:rPr/>
              <w:t> </w:t>
            </w:r>
            <w:bookmarkStart w:id="357" w:name="xdx_40E_eus-gaap--DebtInstrumentUnamorti"/>
            <w:bookmarkEnd w:id="357"/>
          </w:p>
        </w:tc>
      </w:tr>
      <w:tr>
        <w:trPr/>
        <w:tc>
          <w:tcPr>
            <w:tcW w:w="24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Unamortized Debt Discount</w:t>
            </w:r>
          </w:p>
        </w:tc>
        <w:tc>
          <w:tcPr>
            <w:tcW w:w="60" w:type="dxa"/>
            <w:tcBorders/>
            <w:shd w:fill="CCEEFF" w:val="clear"/>
            <w:vAlign w:val="center"/>
          </w:tcPr>
          <w:p>
            <w:pPr>
              <w:pStyle w:val="TableContents"/>
              <w:bidi w:val="0"/>
              <w:spacing w:before="0" w:after="283"/>
              <w:jc w:val="left"/>
              <w:rPr/>
            </w:pPr>
            <w:r>
              <w:rPr/>
              <w:t> </w:t>
            </w:r>
          </w:p>
        </w:tc>
        <w:tc>
          <w:tcPr>
            <w:tcW w:w="2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(1,075</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358" w:name="xdx_402_eus-gaap--DebtInstrumentFaceAmou"/>
            <w:bookmarkEnd w:id="358"/>
          </w:p>
        </w:tc>
      </w:tr>
      <w:tr>
        <w:trPr/>
        <w:tc>
          <w:tcPr>
            <w:tcW w:w="24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Principal</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7,762</w:t>
            </w:r>
          </w:p>
        </w:tc>
        <w:tc>
          <w:tcPr>
            <w:tcW w:w="95" w:type="dxa"/>
            <w:tcBorders/>
            <w:shd w:fill="CCEEFF" w:val="clear"/>
            <w:vAlign w:val="center"/>
          </w:tcPr>
          <w:p>
            <w:pPr>
              <w:pStyle w:val="TableContents"/>
              <w:bidi w:val="0"/>
              <w:spacing w:before="0" w:after="283"/>
              <w:jc w:val="left"/>
              <w:rPr/>
            </w:pPr>
            <w:r>
              <w:rPr/>
              <w:t> </w:t>
            </w:r>
            <w:bookmarkStart w:id="359" w:name="xdx_406_eus-gaap--DebtInstrumentUnamorti"/>
            <w:bookmarkEnd w:id="359"/>
          </w:p>
        </w:tc>
      </w:tr>
      <w:tr>
        <w:trPr/>
        <w:tc>
          <w:tcPr>
            <w:tcW w:w="24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Unamortized Debt Discount</w:t>
            </w:r>
          </w:p>
        </w:tc>
        <w:tc>
          <w:tcPr>
            <w:tcW w:w="60" w:type="dxa"/>
            <w:tcBorders/>
            <w:shd w:fill="FFFFFF" w:val="clear"/>
            <w:vAlign w:val="center"/>
          </w:tcPr>
          <w:p>
            <w:pPr>
              <w:pStyle w:val="TableContents"/>
              <w:bidi w:val="0"/>
              <w:spacing w:before="0" w:after="283"/>
              <w:jc w:val="left"/>
              <w:rPr/>
            </w:pPr>
            <w:r>
              <w:rPr/>
              <w:t> </w:t>
            </w:r>
          </w:p>
        </w:tc>
        <w:tc>
          <w:tcPr>
            <w:tcW w:w="2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(1,075</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60" w:name="xdx_404_ecustom--LongTermsDebtCurrent_zG"/>
            <w:bookmarkEnd w:id="360"/>
          </w:p>
        </w:tc>
      </w:tr>
      <w:tr>
        <w:trPr/>
        <w:tc>
          <w:tcPr>
            <w:tcW w:w="24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Long-Term Debt</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6,687</w:t>
            </w:r>
          </w:p>
        </w:tc>
        <w:tc>
          <w:tcPr>
            <w:tcW w:w="95" w:type="dxa"/>
            <w:tcBorders/>
            <w:shd w:fill="CCEEFF" w:val="clear"/>
            <w:vAlign w:val="center"/>
          </w:tcPr>
          <w:p>
            <w:pPr>
              <w:pStyle w:val="TableContents"/>
              <w:bidi w:val="0"/>
              <w:spacing w:before="0" w:after="283"/>
              <w:jc w:val="left"/>
              <w:rPr/>
            </w:pPr>
            <w:r>
              <w:rPr/>
              <w:t> </w:t>
            </w:r>
            <w:bookmarkStart w:id="361" w:name="xdx_40C_ecustom--LessCurrentPortionOfDeb"/>
            <w:bookmarkEnd w:id="361"/>
          </w:p>
        </w:tc>
      </w:tr>
      <w:tr>
        <w:trPr/>
        <w:tc>
          <w:tcPr>
            <w:tcW w:w="24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Less: Current Portion of Debt</w:t>
            </w:r>
          </w:p>
        </w:tc>
        <w:tc>
          <w:tcPr>
            <w:tcW w:w="60" w:type="dxa"/>
            <w:tcBorders/>
            <w:shd w:fill="FFFFFF" w:val="clear"/>
            <w:vAlign w:val="center"/>
          </w:tcPr>
          <w:p>
            <w:pPr>
              <w:pStyle w:val="TableContents"/>
              <w:bidi w:val="0"/>
              <w:spacing w:before="0" w:after="283"/>
              <w:jc w:val="left"/>
              <w:rPr/>
            </w:pPr>
            <w:r>
              <w:rPr/>
              <w:t> </w:t>
            </w:r>
          </w:p>
        </w:tc>
        <w:tc>
          <w:tcPr>
            <w:tcW w:w="2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62" w:name="xdx_40C_ecustom--LongTermsDebt_zxrLvIxb1"/>
            <w:bookmarkEnd w:id="362"/>
          </w:p>
        </w:tc>
      </w:tr>
      <w:tr>
        <w:trPr/>
        <w:tc>
          <w:tcPr>
            <w:tcW w:w="24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Long-Term Debt</w:t>
            </w:r>
          </w:p>
        </w:tc>
        <w:tc>
          <w:tcPr>
            <w:tcW w:w="60" w:type="dxa"/>
            <w:tcBorders/>
            <w:shd w:fill="CCEEFF" w:val="clear"/>
            <w:vAlign w:val="center"/>
          </w:tcPr>
          <w:p>
            <w:pPr>
              <w:pStyle w:val="TableContents"/>
              <w:bidi w:val="0"/>
              <w:spacing w:before="0" w:after="283"/>
              <w:jc w:val="left"/>
              <w:rPr/>
            </w:pPr>
            <w:r>
              <w:rPr/>
              <w:t> </w:t>
            </w:r>
          </w:p>
        </w:tc>
        <w:tc>
          <w:tcPr>
            <w:tcW w:w="29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3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6,437</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363" w:name="xdx_8AD_zeBW9DDAQdHe"/>
      <w:bookmarkEnd w:id="363"/>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ELECTROCORE, INC. AND SUBSIDIARIES</w:t>
      </w:r>
    </w:p>
    <w:p>
      <w:pPr>
        <w:pStyle w:val="TextBody"/>
        <w:bidi w:val="0"/>
        <w:spacing w:before="0" w:after="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Notes to Condensed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Avenue Loan and Security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On the LSA Closing Date, the Company and NURO entered into the Loan and Security Agreement with </w:t>
      </w:r>
      <w:r>
        <w:rPr>
          <w:rFonts w:ascii="Times New Roman;Times;Serif" w:hAnsi="Times New Roman;Times;Serif"/>
          <w:b w:val="false"/>
          <w:i w:val="false"/>
          <w:caps w:val="false"/>
          <w:smallCaps w:val="false"/>
          <w:sz w:val="20"/>
        </w:rPr>
        <w:t xml:space="preserve">Avenue, as administrative agent and collateral agent, and as lender </w:t>
      </w:r>
      <w:r>
        <w:rPr>
          <w:rFonts w:ascii="Times New Roman;Times;Serif" w:hAnsi="Times New Roman;Times;Serif"/>
          <w:b w:val="false"/>
          <w:i w:val="false"/>
          <w:caps w:val="false"/>
          <w:smallCaps w:val="false"/>
          <w:sz w:val="20"/>
          <w:shd w:fill="FFFFFF" w:val="clear"/>
        </w:rPr>
        <w:t>for term loans in an aggregate principal amount of up to $</w:t>
      </w:r>
      <w:bookmarkStart w:id="364" w:name="xdx_901_eus-gaap--DebtInstrumentFaceAmou"/>
      <w:bookmarkEnd w:id="364"/>
      <w:r>
        <w:rPr>
          <w:rFonts w:ascii="Times New Roman;Times;Serif" w:hAnsi="Times New Roman;Times;Serif"/>
          <w:b w:val="false"/>
          <w:i w:val="false"/>
          <w:caps w:val="false"/>
          <w:smallCaps w:val="false"/>
          <w:sz w:val="20"/>
          <w:shd w:fill="FFFFFF" w:val="clear"/>
        </w:rPr>
        <w:t>12 million to be delivered in two tranches (the “Term Loans”). The tranches consist of (i) a term loan advanced to the Company on the LSA Closing Date in an aggregate amount of $</w:t>
      </w:r>
      <w:bookmarkStart w:id="365" w:name="xdx_90C_eus-gaap--DebtInstrumentIssuedPr"/>
      <w:bookmarkEnd w:id="365"/>
      <w:r>
        <w:rPr>
          <w:rFonts w:ascii="Times New Roman;Times;Serif" w:hAnsi="Times New Roman;Times;Serif"/>
          <w:b w:val="false"/>
          <w:i w:val="false"/>
          <w:caps w:val="false"/>
          <w:smallCaps w:val="false"/>
          <w:sz w:val="20"/>
          <w:shd w:fill="FFFFFF" w:val="clear"/>
        </w:rPr>
        <w:t>7.5 million (“Tranche 1”), and (ii) subject to the achievement of certain performance milestones set forth in the Loan and Security Agreement, a right of the Company to request that Avenue make additional term loan advances to the Company in an aggregate amount of $</w:t>
      </w:r>
      <w:bookmarkStart w:id="366" w:name="xdx_900_ecustom--AdditionalTermLoan_pn5n"/>
      <w:bookmarkEnd w:id="366"/>
      <w:r>
        <w:rPr>
          <w:rFonts w:ascii="Times New Roman;Times;Serif" w:hAnsi="Times New Roman;Times;Serif"/>
          <w:b w:val="false"/>
          <w:i w:val="false"/>
          <w:caps w:val="false"/>
          <w:smallCaps w:val="false"/>
          <w:sz w:val="20"/>
          <w:shd w:fill="FFFFFF" w:val="clear"/>
        </w:rPr>
        <w:t xml:space="preserve">4.5 million (“Tranche 2”), which right expired on December 31, 2025. The Term Loans mature on </w:t>
      </w:r>
      <w:bookmarkStart w:id="367" w:name="xdx_90F_eus-gaap--DebtInstrumentMaturity"/>
      <w:bookmarkEnd w:id="367"/>
      <w:r>
        <w:rPr>
          <w:rFonts w:ascii="Times New Roman;Times;Serif" w:hAnsi="Times New Roman;Times;Serif"/>
          <w:b w:val="false"/>
          <w:i w:val="false"/>
          <w:caps w:val="false"/>
          <w:smallCaps w:val="false"/>
          <w:sz w:val="20"/>
          <w:shd w:fill="FFFFFF" w:val="clear"/>
        </w:rPr>
        <w:t xml:space="preserve">August 1, 2029 (the “Maturity Date”).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Avenue has the right to convert (the “Conversion Right”) an aggregate amount of up to $</w:t>
      </w:r>
      <w:bookmarkStart w:id="368" w:name="xdx_907_eus-gaap--DebtConversionConverte"/>
      <w:bookmarkEnd w:id="368"/>
      <w:r>
        <w:rPr>
          <w:rFonts w:ascii="Times New Roman;Times;Serif" w:hAnsi="Times New Roman;Times;Serif"/>
          <w:b w:val="false"/>
          <w:i w:val="false"/>
          <w:caps w:val="false"/>
          <w:smallCaps w:val="false"/>
          <w:sz w:val="20"/>
        </w:rPr>
        <w:t>2.5 million of the outstanding Loan Amount into shares of the Company’s common stock at a conversion price per share equal to $</w:t>
      </w:r>
      <w:bookmarkStart w:id="369" w:name="xdx_908_eus-gaap--DebtInstrumentConverti"/>
      <w:bookmarkEnd w:id="369"/>
      <w:r>
        <w:rPr>
          <w:rFonts w:ascii="Times New Roman;Times;Serif" w:hAnsi="Times New Roman;Times;Serif"/>
          <w:b w:val="false"/>
          <w:i w:val="false"/>
          <w:caps w:val="false"/>
          <w:smallCaps w:val="false"/>
          <w:sz w:val="20"/>
        </w:rPr>
        <w:t xml:space="preserve">8.4625, representing </w:t>
      </w:r>
      <w:bookmarkStart w:id="370" w:name="xdx_901_eus-gaap--DebtInstrumentConverti"/>
      <w:bookmarkEnd w:id="370"/>
      <w:r>
        <w:rPr>
          <w:rFonts w:ascii="Times New Roman;Times;Serif" w:hAnsi="Times New Roman;Times;Serif"/>
          <w:b w:val="false"/>
          <w:i w:val="false"/>
          <w:caps w:val="false"/>
          <w:smallCaps w:val="false"/>
          <w:sz w:val="20"/>
        </w:rPr>
        <w:t>125% of the lower of (i) the five-day volume-weighted average price of Company’s common stock as calculated on the day prior to the LSA Closing Date, or (ii) the closing price of Company’s common stock on the date prior to the LSA Closing Date ($</w:t>
      </w:r>
      <w:bookmarkStart w:id="371" w:name="xdx_905_eus-gaap--SharePrice_iI_pid_c202"/>
      <w:bookmarkEnd w:id="371"/>
      <w:r>
        <w:rPr>
          <w:rFonts w:ascii="Times New Roman;Times;Serif" w:hAnsi="Times New Roman;Times;Serif"/>
          <w:b w:val="false"/>
          <w:i w:val="false"/>
          <w:caps w:val="false"/>
          <w:smallCaps w:val="false"/>
          <w:sz w:val="20"/>
        </w:rPr>
        <w:t>6.77). Therefore, the Company recorded the borrowings under Tranche 1 as Non-Convertible and Convertible Notes Payable, respectively. In the event the Company elects to prepay the Term Loans in full, the Company shall provide no less than five business days’ prior written notice to Avenue; provided, however, if Avenue has not yet exercised the Conversion Right, the Company shall provide written notice of prepayment at least 10 days in advance of the proposed prepayment date and Avenue shall have the option, with respect to the Conversion Right, to exercise the Conversion Right by delivering written notice to the Company at least two business days in advance of the proposed prepayment date.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balance of the Term Loans bears interest at a variable rate per annum equal to the greater of (i) the sum of</w:t>
      </w:r>
      <w:bookmarkStart w:id="372" w:name="xdx_90C_eus-gaap--DebtInstrumentInterest"/>
      <w:bookmarkEnd w:id="372"/>
      <w:r>
        <w:rPr>
          <w:rFonts w:ascii="Times New Roman;Times;Serif" w:hAnsi="Times New Roman;Times;Serif"/>
          <w:b w:val="false"/>
          <w:i w:val="false"/>
          <w:caps w:val="false"/>
          <w:smallCaps w:val="false"/>
          <w:sz w:val="20"/>
        </w:rPr>
        <w:t xml:space="preserve"> 5.0% and the prime rate as reported in </w:t>
      </w:r>
      <w:r>
        <w:rPr>
          <w:rFonts w:ascii="Times New Roman;Times;Serif" w:hAnsi="Times New Roman;Times;Serif"/>
          <w:b w:val="false"/>
          <w:i/>
          <w:caps w:val="false"/>
          <w:smallCaps w:val="false"/>
          <w:sz w:val="20"/>
        </w:rPr>
        <w:t>The Wall Street Journal</w:t>
      </w:r>
      <w:r>
        <w:rPr>
          <w:rFonts w:ascii="Times New Roman;Times;Serif" w:hAnsi="Times New Roman;Times;Serif"/>
          <w:b w:val="false"/>
          <w:i w:val="false"/>
          <w:caps w:val="false"/>
          <w:smallCaps w:val="false"/>
          <w:sz w:val="20"/>
        </w:rPr>
        <w:t>, provided that, in the event such prime rate of interest is less than zero, such rate shall be deemed to be zero, and (ii) twelve and one-half percent (</w:t>
      </w:r>
      <w:bookmarkStart w:id="373" w:name="xdx_907_eus-gaap--DebtInstrumentInterest"/>
      <w:bookmarkEnd w:id="373"/>
      <w:r>
        <w:rPr>
          <w:rFonts w:ascii="Times New Roman;Times;Serif" w:hAnsi="Times New Roman;Times;Serif"/>
          <w:b w:val="false"/>
          <w:i w:val="false"/>
          <w:caps w:val="false"/>
          <w:smallCaps w:val="false"/>
          <w:sz w:val="20"/>
        </w:rPr>
        <w:t xml:space="preserve">12.50%) (the “Interest Rate”). Interest only shall be payable at the Interest Rate during the period following the LSA Closing Date and continuing until the first day of the first full calendar month following the 18 month anniversary of the LSA Closing Date, provided, however, that such period shall be extended for six months if as of the 18 month anniversary of the LSA Closing Date, the Company has achieved certain milestones, as provided in the Supplement to the Loan and Security Agreement dated August 4, 2025, by and among the Company, NURO and Avenue (the “Supplement”); provided, further, however, that such interest only period shall not exceed 24 months. Thereafter, principal and interest of the Term Loans shall be fully amortized and paid, in equal, monthly principal installments, plus interest at the Interest Rate for such month, through the Maturity Date, subject to the terms and conditions of the Supplement. The Company will pay final payment at a fee of </w:t>
      </w:r>
      <w:bookmarkStart w:id="374" w:name="xdx_907_ecustom--DebtInstrumentFuturePay"/>
      <w:bookmarkEnd w:id="374"/>
      <w:r>
        <w:rPr>
          <w:rFonts w:ascii="Times New Roman;Times;Serif" w:hAnsi="Times New Roman;Times;Serif"/>
          <w:b w:val="false"/>
          <w:i w:val="false"/>
          <w:caps w:val="false"/>
          <w:smallCaps w:val="false"/>
          <w:sz w:val="20"/>
        </w:rPr>
        <w:t>3.5% of the Loan Amount, due upon the earlier of the Maturity Date or prepayment in full of the Term Loans, which is currently $</w:t>
      </w:r>
      <w:bookmarkStart w:id="375" w:name="xdx_90E_eus-gaap--PaymentsForLoans_c2026"/>
      <w:bookmarkEnd w:id="375"/>
      <w:r>
        <w:rPr>
          <w:rFonts w:ascii="Times New Roman;Times;Serif" w:hAnsi="Times New Roman;Times;Serif"/>
          <w:b w:val="false"/>
          <w:i w:val="false"/>
          <w:caps w:val="false"/>
          <w:smallCaps w:val="false"/>
          <w:sz w:val="20"/>
        </w:rPr>
        <w:t>262,500 based on the borrowing under Tranche 1.</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may, at its option at any time, prepay the Term Loans in their entirety by paying the then outstanding principal balance and all accrued and unpaid interest on the Term Loans, subject to a prepayment fee equal to </w:t>
      </w:r>
      <w:bookmarkStart w:id="376" w:name="xdx_90F_eus-gaap--DebtInstrumentDescript"/>
      <w:bookmarkEnd w:id="376"/>
      <w:r>
        <w:rPr>
          <w:rFonts w:ascii="Times New Roman;Times;Serif" w:hAnsi="Times New Roman;Times;Serif"/>
          <w:b w:val="false"/>
          <w:i w:val="false"/>
          <w:caps w:val="false"/>
          <w:smallCaps w:val="false"/>
          <w:sz w:val="20"/>
        </w:rPr>
        <w:t>(i) 3.0% of the principal amount outstanding if the prepayment occurs on or prior to the first anniversary following the LSA Closing Date, (ii) 2.0% of the principal amount outstanding if the prepayment occurs after the first anniversary following the LSA Closing Date, but on or prior to the second anniversary following the LSA Closing Date, and (iii) 1.0% of the principal amount outstanding if the prepayment occurs after the second anniversary following the LSA Closing Date, but on or prior to the Maturity Date.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incurred borrower commitment and legal fees of $</w:t>
      </w:r>
      <w:bookmarkStart w:id="377" w:name="xdx_90C_eus-gaap--DebtInstrumentUnamorti"/>
      <w:bookmarkEnd w:id="377"/>
      <w:r>
        <w:rPr>
          <w:rFonts w:ascii="Times New Roman;Times;Serif" w:hAnsi="Times New Roman;Times;Serif"/>
          <w:b w:val="false"/>
          <w:i w:val="false"/>
          <w:caps w:val="false"/>
          <w:smallCaps w:val="false"/>
          <w:sz w:val="20"/>
        </w:rPr>
        <w:t>1,290,000, which are presented as debt discounts, of which $</w:t>
      </w:r>
      <w:bookmarkStart w:id="378" w:name="xdx_909_ecustom--DebtIssuanceCostsSettle"/>
      <w:bookmarkEnd w:id="378"/>
      <w:r>
        <w:rPr>
          <w:rFonts w:ascii="Times New Roman;Times;Serif" w:hAnsi="Times New Roman;Times;Serif"/>
          <w:b w:val="false"/>
          <w:i w:val="false"/>
          <w:caps w:val="false"/>
          <w:smallCaps w:val="false"/>
          <w:sz w:val="20"/>
        </w:rPr>
        <w:t>719,996 was settled in the issuance of the Company’s common stock (discussed further below). During the three months ended March 31, 2026, the Company recorded interest expense of $</w:t>
      </w:r>
      <w:bookmarkStart w:id="379" w:name="xdx_904_eus-gaap--InterestExpenseDebt_pn"/>
      <w:bookmarkEnd w:id="379"/>
      <w:r>
        <w:rPr>
          <w:rFonts w:ascii="Times New Roman;Times;Serif" w:hAnsi="Times New Roman;Times;Serif"/>
          <w:b w:val="false"/>
          <w:i w:val="false"/>
          <w:caps w:val="false"/>
          <w:smallCaps w:val="false"/>
          <w:sz w:val="20"/>
        </w:rPr>
        <w:t>318,000, which included amortization of debt discount of $</w:t>
      </w:r>
      <w:bookmarkStart w:id="380" w:name="xdx_909_eus-gaap--AmortizationOfDebtDisc"/>
      <w:bookmarkEnd w:id="380"/>
      <w:r>
        <w:rPr>
          <w:rFonts w:ascii="Times New Roman;Times;Serif" w:hAnsi="Times New Roman;Times;Serif"/>
          <w:b w:val="false"/>
          <w:i w:val="false"/>
          <w:caps w:val="false"/>
          <w:smallCaps w:val="false"/>
          <w:sz w:val="20"/>
        </w:rPr>
        <w:t xml:space="preserve">81,000. As of March 31, 2026, the interest rate on Tranche 1 is </w:t>
      </w:r>
      <w:bookmarkStart w:id="381" w:name="xdx_90E_eus-gaap--DebtInstrumentInterest"/>
      <w:bookmarkEnd w:id="381"/>
      <w:r>
        <w:rPr>
          <w:rFonts w:ascii="Times New Roman;Times;Serif" w:hAnsi="Times New Roman;Times;Serif"/>
          <w:b w:val="false"/>
          <w:i w:val="false"/>
          <w:caps w:val="false"/>
          <w:smallCaps w:val="false"/>
          <w:sz w:val="20"/>
        </w:rPr>
        <w:t>12.5%.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Loan and Security Agreement is collateralized by substantially all of the Company’s assets in which Avenue is granted a senior secured lien. The Company also grants Avenue a negative pledge on the Company’s intellectual property, subject to limited exceptions, pursuant to the Loan and Security Agreement. The Loan and Security Agreement contains customary representations, warranties and covenants, including covenants limiting certain additional indebtedness, liens (including a negative pledge on intellectual property and other assets, subject to limited exceptions), guaranties, substantial asset sales, investments and loans, certain corporate changes, transactions with affiliates and fundamental changes. The financial covenants include a minimum level of revenue and cash and cash equivalents. We were in compliance with these financial covenants as of March 31, 2026.</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ELECTROCORE, INC. AND SUBSIDIARIES</w:t>
      </w:r>
    </w:p>
    <w:p>
      <w:pPr>
        <w:pStyle w:val="TextBody"/>
        <w:bidi w:val="0"/>
        <w:spacing w:before="0" w:after="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Notes to Condensed Consolidated Financial Statements</w:t>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Loan and Security Agreement provides for events of default customary for term loans of this type, including but not limited to non-payment, breaches or defaults in the performance of covenants, insolvency, bankruptcy and the occurrence of a material adverse effect on the Company. After the occurrence of an event of default, Avenue may (i) accelerate payment of all obligations, impose an increased rate of interest, and terminate Avenue commitments under the Loan and Security Agreement and (ii) exercise any other right or remedy provided by contract or applicable law.</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Avenue shall have the right, but not the obligation, to invest up to an aggregate of $</w:t>
      </w:r>
      <w:bookmarkStart w:id="382" w:name="xdx_901_ecustom--PotentialCashInflowsFro"/>
      <w:bookmarkEnd w:id="382"/>
      <w:r>
        <w:rPr>
          <w:rFonts w:ascii="Times New Roman;Times;Serif" w:hAnsi="Times New Roman;Times;Serif"/>
          <w:b w:val="false"/>
          <w:i w:val="false"/>
          <w:caps w:val="false"/>
          <w:smallCaps w:val="false"/>
          <w:sz w:val="20"/>
        </w:rPr>
        <w:t>1 million in equity securities of the Company on the same terms, conditions, and pricing offered by the Company to other investors in connection with any offering of the Company’s equity securities to third party investors for capital raising purposes occurring after the Closing Date, on the terms and conditions set forth in the Supplement.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Avenue Subscription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entry into the Loan and Security Agreement, the Company entered into a Subscription Agreement (the “Subscription Agreement”) between the Company and Avenue, pursuant to which the Company issued </w:t>
      </w:r>
      <w:bookmarkStart w:id="383" w:name="xdx_90E_eus-gaap--StockIssuedDuringPerio"/>
      <w:bookmarkEnd w:id="383"/>
      <w:r>
        <w:rPr>
          <w:rFonts w:ascii="Times New Roman;Times;Serif" w:hAnsi="Times New Roman;Times;Serif"/>
          <w:b w:val="false"/>
          <w:i w:val="false"/>
          <w:caps w:val="false"/>
          <w:smallCaps w:val="false"/>
          <w:sz w:val="20"/>
        </w:rPr>
        <w:t>106,351 shares (the “Subscription Shares”) of the Company’s common stock to Avenue for no additional consideration. The shares were valued at $</w:t>
      </w:r>
      <w:bookmarkStart w:id="384" w:name="xdx_90F_eus-gaap--StockIssuedDuringPerio"/>
      <w:bookmarkEnd w:id="384"/>
      <w:r>
        <w:rPr>
          <w:rFonts w:ascii="Times New Roman;Times;Serif" w:hAnsi="Times New Roman;Times;Serif"/>
          <w:b w:val="false"/>
          <w:i w:val="false"/>
          <w:caps w:val="false"/>
          <w:smallCaps w:val="false"/>
          <w:sz w:val="20"/>
        </w:rPr>
        <w:t>719,996 based on the Company’s stock price on the LSA Closing Date.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the Subscription Shares was made in reliance on the exemption from registration contained in Section 4(a)(2) of the Securities Act of 1933, as amended (the “Securities Act”), and Rule 506 of Regulation D thereunder, because the offer and sale of such securities does not involve a “public offering” as defined in Section 4(a)(2)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Subscription Agreement, the Company filed with the SEC a registration statement on Form S-3 (File No. 333-290713) to cover the resale of the Subscription Shares, and the shares of the Company’s common stock issuable upon the Conversion Right pursuant to the Loan and Security Agreement, which registration statement became effective on October 22, 2025.</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of the Loan and Security Agreement, the Supplement and the Subscription Agreement do not purport to be complete and are qualified in their entirety by reference to the full text of Loan and Security Agreement and the Supplement, which are filed as Exhibits 10.1, 10.2 and 10.3 to the Company’s Quarterly Report on Form 10-Q for the period ended June 30, 2025, and are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385" w:name="xdx_896_eus-gaap--ScheduleOfMaturitiesOf"/>
      <w:bookmarkEnd w:id="385"/>
      <w:r>
        <w:rPr>
          <w:rFonts w:ascii="Times New Roman;Times;Serif" w:hAnsi="Times New Roman;Times;Serif"/>
          <w:b w:val="false"/>
          <w:i w:val="false"/>
          <w:caps w:val="false"/>
          <w:smallCaps w:val="false"/>
          <w:sz w:val="20"/>
        </w:rPr>
        <w:t>Maturities on long-term debt include:</w:t>
      </w:r>
    </w:p>
    <w:p>
      <w:pPr>
        <w:pStyle w:val="TextBody"/>
        <w:bidi w:val="0"/>
        <w:spacing w:before="0" w:after="0"/>
        <w:ind w:left="0" w:right="0" w:hanging="0"/>
        <w:jc w:val="left"/>
        <w:rPr>
          <w:caps w:val="false"/>
          <w:smallCaps w:val="false"/>
        </w:rPr>
      </w:pPr>
      <w:r>
        <w:rPr>
          <w:caps w:val="false"/>
          <w:smallCaps w:val="false"/>
        </w:rPr>
        <w:t> </w:t>
      </w:r>
      <w:bookmarkStart w:id="386" w:name="xdx_8BB_zjpzg3gX3X6g"/>
      <w:bookmarkEnd w:id="386"/>
      <w:r>
        <w:rPr>
          <w:rFonts w:ascii="Times New Roman;Times;Serif" w:hAnsi="Times New Roman;Times;Serif"/>
          <w:b w:val="false"/>
          <w:i w:val="false"/>
          <w:caps w:val="false"/>
          <w:smallCaps w:val="false"/>
          <w:sz w:val="20"/>
        </w:rPr>
        <w:t>Schedule of Maturities of Long-term Debt</w:t>
      </w:r>
    </w:p>
    <w:tbl>
      <w:tblPr>
        <w:tblW w:w="2425" w:type="dxa"/>
        <w:jc w:val="left"/>
        <w:tblInd w:w="0" w:type="dxa"/>
        <w:tblLayout w:type="fixed"/>
        <w:tblCellMar>
          <w:top w:w="0" w:type="dxa"/>
          <w:left w:w="0" w:type="dxa"/>
          <w:bottom w:w="28" w:type="dxa"/>
          <w:right w:w="0" w:type="dxa"/>
        </w:tblCellMar>
      </w:tblPr>
      <w:tblGrid>
        <w:gridCol w:w="1595"/>
        <w:gridCol w:w="60"/>
        <w:gridCol w:w="142"/>
        <w:gridCol w:w="553"/>
        <w:gridCol w:w="75"/>
      </w:tblGrid>
      <w:tr>
        <w:trPr/>
        <w:tc>
          <w:tcPr>
            <w:tcW w:w="159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 thousands)</w:t>
            </w:r>
          </w:p>
        </w:tc>
        <w:tc>
          <w:tcPr>
            <w:tcW w:w="60" w:type="dxa"/>
            <w:tcBorders/>
            <w:tcMar>
              <w:bottom w:w="0" w:type="dxa"/>
            </w:tcMar>
            <w:vAlign w:val="center"/>
          </w:tcPr>
          <w:p>
            <w:pPr>
              <w:pStyle w:val="TableContents"/>
              <w:bidi w:val="0"/>
              <w:spacing w:before="0" w:after="283"/>
              <w:jc w:val="left"/>
              <w:rPr/>
            </w:pPr>
            <w:r>
              <w:rPr/>
              <w:t> </w:t>
            </w:r>
            <w:bookmarkStart w:id="387" w:name="xdx_49D_20260331_zgYJdJeMDz65"/>
            <w:bookmarkEnd w:id="387"/>
          </w:p>
        </w:tc>
        <w:tc>
          <w:tcPr>
            <w:tcW w:w="69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p>
        </w:tc>
        <w:tc>
          <w:tcPr>
            <w:tcW w:w="75" w:type="dxa"/>
            <w:tcBorders/>
            <w:tcMar>
              <w:bottom w:w="0" w:type="dxa"/>
            </w:tcMar>
            <w:vAlign w:val="center"/>
          </w:tcPr>
          <w:p>
            <w:pPr>
              <w:pStyle w:val="TableContents"/>
              <w:bidi w:val="0"/>
              <w:spacing w:before="0" w:after="283"/>
              <w:jc w:val="left"/>
              <w:rPr/>
            </w:pPr>
            <w:r>
              <w:rPr/>
              <w:t> </w:t>
            </w:r>
            <w:bookmarkStart w:id="388" w:name="xdx_406_eus-gaap--LongTermDebtMaturities"/>
            <w:bookmarkEnd w:id="388"/>
          </w:p>
        </w:tc>
      </w:tr>
      <w:tr>
        <w:trPr/>
        <w:tc>
          <w:tcPr>
            <w:tcW w:w="15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Remainder of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5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tcMar>
              <w:bottom w:w="0" w:type="dxa"/>
            </w:tcMar>
            <w:vAlign w:val="center"/>
          </w:tcPr>
          <w:p>
            <w:pPr>
              <w:pStyle w:val="TableContents"/>
              <w:bidi w:val="0"/>
              <w:spacing w:before="0" w:after="283"/>
              <w:jc w:val="left"/>
              <w:rPr/>
            </w:pPr>
            <w:r>
              <w:rPr/>
              <w:t> </w:t>
            </w:r>
            <w:bookmarkStart w:id="389" w:name="xdx_406_eus-gaap--LongTermDebtMaturities"/>
            <w:bookmarkEnd w:id="389"/>
          </w:p>
        </w:tc>
      </w:tr>
      <w:tr>
        <w:trPr/>
        <w:tc>
          <w:tcPr>
            <w:tcW w:w="15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55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2,500</w:t>
            </w:r>
          </w:p>
        </w:tc>
        <w:tc>
          <w:tcPr>
            <w:tcW w:w="75" w:type="dxa"/>
            <w:tcBorders/>
            <w:shd w:fill="FFFFFF" w:val="clear"/>
            <w:tcMar>
              <w:bottom w:w="0" w:type="dxa"/>
            </w:tcMar>
            <w:vAlign w:val="center"/>
          </w:tcPr>
          <w:p>
            <w:pPr>
              <w:pStyle w:val="TableContents"/>
              <w:bidi w:val="0"/>
              <w:spacing w:before="0" w:after="283"/>
              <w:jc w:val="left"/>
              <w:rPr/>
            </w:pPr>
            <w:r>
              <w:rPr/>
              <w:t> </w:t>
            </w:r>
            <w:bookmarkStart w:id="390" w:name="xdx_40E_eus-gaap--LongTermDebtMaturities"/>
            <w:bookmarkEnd w:id="390"/>
          </w:p>
        </w:tc>
      </w:tr>
      <w:tr>
        <w:trPr/>
        <w:tc>
          <w:tcPr>
            <w:tcW w:w="15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55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3,000</w:t>
            </w:r>
          </w:p>
        </w:tc>
        <w:tc>
          <w:tcPr>
            <w:tcW w:w="75" w:type="dxa"/>
            <w:tcBorders/>
            <w:shd w:fill="CCEEFF" w:val="clear"/>
            <w:tcMar>
              <w:bottom w:w="0" w:type="dxa"/>
            </w:tcMar>
            <w:vAlign w:val="center"/>
          </w:tcPr>
          <w:p>
            <w:pPr>
              <w:pStyle w:val="TableContents"/>
              <w:bidi w:val="0"/>
              <w:spacing w:before="0" w:after="283"/>
              <w:jc w:val="left"/>
              <w:rPr/>
            </w:pPr>
            <w:r>
              <w:rPr/>
              <w:t> </w:t>
            </w:r>
            <w:bookmarkStart w:id="391" w:name="xdx_40A_eus-gaap--LongTermDebtMaturities"/>
            <w:bookmarkEnd w:id="391"/>
          </w:p>
        </w:tc>
      </w:tr>
      <w:tr>
        <w:trPr/>
        <w:tc>
          <w:tcPr>
            <w:tcW w:w="15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bottom w:val="single" w:sz="8" w:space="0" w:color="000000"/>
            </w:tcBorders>
            <w:shd w:fill="FFFFFF" w:val="clear"/>
            <w:vAlign w:val="center"/>
          </w:tcPr>
          <w:p>
            <w:pPr>
              <w:pStyle w:val="TableContents"/>
              <w:bidi w:val="0"/>
              <w:spacing w:before="0" w:after="283"/>
              <w:jc w:val="left"/>
              <w:rPr/>
            </w:pPr>
            <w:r>
              <w:rPr/>
              <w:t> </w:t>
            </w:r>
          </w:p>
        </w:tc>
        <w:tc>
          <w:tcPr>
            <w:tcW w:w="553"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2,262</w:t>
            </w:r>
          </w:p>
        </w:tc>
        <w:tc>
          <w:tcPr>
            <w:tcW w:w="75" w:type="dxa"/>
            <w:tcBorders/>
            <w:shd w:fill="FFFFFF" w:val="clear"/>
            <w:tcMar>
              <w:bottom w:w="0" w:type="dxa"/>
            </w:tcMar>
            <w:vAlign w:val="center"/>
          </w:tcPr>
          <w:p>
            <w:pPr>
              <w:pStyle w:val="TableContents"/>
              <w:bidi w:val="0"/>
              <w:spacing w:before="0" w:after="283"/>
              <w:jc w:val="left"/>
              <w:rPr/>
            </w:pPr>
            <w:r>
              <w:rPr/>
              <w:t> </w:t>
            </w:r>
            <w:bookmarkStart w:id="392" w:name="xdx_40C_eus-gaap--LongTermDebt_iTI_pn3n3"/>
            <w:bookmarkEnd w:id="392"/>
          </w:p>
        </w:tc>
      </w:tr>
      <w:tr>
        <w:trPr/>
        <w:tc>
          <w:tcPr>
            <w:tcW w:w="15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53"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7,762</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393" w:name="xdx_8A4_zQ3cCI1s91B"/>
      <w:bookmarkEnd w:id="393"/>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94" w:name="xdx_809_eus-gaap--StockholdersEquityNote"/>
      <w:bookmarkEnd w:id="394"/>
      <w:r>
        <w:rPr>
          <w:rFonts w:ascii="Times New Roman;Times;Serif" w:hAnsi="Times New Roman;Times;Serif"/>
          <w:b/>
          <w:i w:val="false"/>
          <w:caps w:val="false"/>
          <w:smallCaps w:val="false"/>
          <w:sz w:val="20"/>
        </w:rPr>
        <w:t xml:space="preserve">Note 10. </w:t>
      </w:r>
      <w:bookmarkStart w:id="395" w:name="xdx_829_zuQwNqZjHhrl"/>
      <w:bookmarkEnd w:id="395"/>
      <w:r>
        <w:rPr>
          <w:rFonts w:ascii="Times New Roman;Times;Serif" w:hAnsi="Times New Roman;Times;Serif"/>
          <w:b/>
          <w:i w:val="false"/>
          <w:caps w:val="false"/>
          <w:smallCaps w:val="false"/>
          <w:sz w:val="20"/>
        </w:rPr>
        <w:t>Shareholders’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At-the-Market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29, 2024, we entered into the Sales Agreement with Wainwright. Under the Sales Agreement, the Company may offer and sell shares of its common stock from time to time having an aggregate offering price of up to $</w:t>
      </w:r>
      <w:bookmarkStart w:id="396" w:name="xdx_90F_ecustom--CommonStockAggregateOff"/>
      <w:bookmarkEnd w:id="396"/>
      <w:r>
        <w:rPr>
          <w:rFonts w:ascii="Times New Roman;Times;Serif" w:hAnsi="Times New Roman;Times;Serif"/>
          <w:b w:val="false"/>
          <w:i w:val="false"/>
          <w:caps w:val="false"/>
          <w:smallCaps w:val="false"/>
          <w:sz w:val="20"/>
        </w:rPr>
        <w:t xml:space="preserve">20 million during the term of the Sales Agreement through Wainwright, acting as sales agent. The Company intends to use the net proceeds from any offering pursuant to the Sales Agreement to continue to fund sales and marketing, working capital and for other general corporate purposes. No sales were made pursuant to the Sales Agreement during the three months ended March 31, 2026. Subsequent to that date, the Company sold </w:t>
      </w:r>
      <w:bookmarkStart w:id="397" w:name="xdx_901_eus-gaap--SaleOfStockNumberOfSha"/>
      <w:bookmarkEnd w:id="397"/>
      <w:r>
        <w:rPr>
          <w:rFonts w:ascii="Times New Roman;Times;Serif" w:hAnsi="Times New Roman;Times;Serif"/>
          <w:b w:val="false"/>
          <w:i w:val="false"/>
          <w:caps w:val="false"/>
          <w:smallCaps w:val="false"/>
          <w:sz w:val="20"/>
        </w:rPr>
        <w:t>150,357 shares of its common stock at a weighted average price of $</w:t>
      </w:r>
      <w:bookmarkStart w:id="398" w:name="xdx_908_eus-gaap--SaleOfStockPricePerSha"/>
      <w:bookmarkEnd w:id="398"/>
      <w:r>
        <w:rPr>
          <w:rFonts w:ascii="Times New Roman;Times;Serif" w:hAnsi="Times New Roman;Times;Serif"/>
          <w:b w:val="false"/>
          <w:i w:val="false"/>
          <w:caps w:val="false"/>
          <w:smallCaps w:val="false"/>
          <w:sz w:val="20"/>
        </w:rPr>
        <w:t>6.62 per share, net of issuance costs, for $</w:t>
      </w:r>
      <w:bookmarkStart w:id="399" w:name="xdx_901_eus-gaap--ProceedsFromIssuanceOr"/>
      <w:bookmarkEnd w:id="399"/>
      <w:r>
        <w:rPr>
          <w:rFonts w:ascii="Times New Roman;Times;Serif" w:hAnsi="Times New Roman;Times;Serif"/>
          <w:b w:val="false"/>
          <w:i w:val="false"/>
          <w:caps w:val="false"/>
          <w:smallCaps w:val="false"/>
          <w:sz w:val="20"/>
        </w:rPr>
        <w:t>962,000 in net proceeds, pursuant to the Sales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Including purchases in 2025, the Company has sold </w:t>
      </w:r>
      <w:bookmarkStart w:id="400" w:name="xdx_909_eus-gaap--StockIssuedDuringPerio"/>
      <w:bookmarkEnd w:id="400"/>
      <w:r>
        <w:rPr>
          <w:rFonts w:ascii="Times New Roman;Times;Serif" w:hAnsi="Times New Roman;Times;Serif"/>
          <w:b w:val="false"/>
          <w:i w:val="false"/>
          <w:caps w:val="false"/>
          <w:smallCaps w:val="false"/>
          <w:sz w:val="20"/>
        </w:rPr>
        <w:t>164,622 shares of common stock for $</w:t>
      </w:r>
      <w:bookmarkStart w:id="401" w:name="xdx_90F_eus-gaap--StockIssuedDuringPerio"/>
      <w:bookmarkEnd w:id="401"/>
      <w:r>
        <w:rPr>
          <w:rFonts w:ascii="Times New Roman;Times;Serif" w:hAnsi="Times New Roman;Times;Serif"/>
          <w:b w:val="false"/>
          <w:i w:val="false"/>
          <w:caps w:val="false"/>
          <w:smallCaps w:val="false"/>
          <w:sz w:val="20"/>
        </w:rPr>
        <w:t>1,172,000 in proceeds, net of issuance costs, pursuant to the Sales Agreement.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ELECTROCORE, INC. AND SUBSIDIARIES</w:t>
      </w:r>
    </w:p>
    <w:p>
      <w:pPr>
        <w:pStyle w:val="TextBody"/>
        <w:bidi w:val="0"/>
        <w:spacing w:before="0" w:after="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Notes to Condensed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Purchase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02" w:name="xdx_89D_eus-gaap--ScheduleOfStockholders"/>
      <w:bookmarkEnd w:id="402"/>
      <w:r>
        <w:rPr>
          <w:rFonts w:ascii="Times New Roman;Times;Serif" w:hAnsi="Times New Roman;Times;Serif"/>
          <w:b w:val="false"/>
          <w:i w:val="false"/>
          <w:caps w:val="false"/>
          <w:smallCaps w:val="false"/>
          <w:sz w:val="20"/>
        </w:rPr>
        <w:t>The following table presents a summary of stock purchase warrants outstanding as of March 31, 2026:</w:t>
      </w:r>
    </w:p>
    <w:p>
      <w:pPr>
        <w:pStyle w:val="TextBody"/>
        <w:bidi w:val="0"/>
        <w:spacing w:before="0" w:after="0"/>
        <w:ind w:left="0" w:right="0" w:hanging="0"/>
        <w:jc w:val="left"/>
        <w:rPr>
          <w:caps w:val="false"/>
          <w:smallCaps w:val="false"/>
        </w:rPr>
      </w:pPr>
      <w:r>
        <w:rPr>
          <w:caps w:val="false"/>
          <w:smallCaps w:val="false"/>
        </w:rPr>
        <w:t> </w:t>
      </w:r>
      <w:bookmarkStart w:id="403" w:name="xdx_8B8_z0SRcjamAMX5"/>
      <w:bookmarkEnd w:id="403"/>
      <w:r>
        <w:rPr>
          <w:rFonts w:ascii="Times New Roman;Times;Serif" w:hAnsi="Times New Roman;Times;Serif"/>
          <w:b w:val="false"/>
          <w:i w:val="false"/>
          <w:caps w:val="false"/>
          <w:smallCaps w:val="false"/>
          <w:sz w:val="20"/>
        </w:rPr>
        <w:t>Schedule of Stock Purchase Warrants Outstanding</w:t>
      </w:r>
    </w:p>
    <w:tbl>
      <w:tblPr>
        <w:tblW w:w="10205" w:type="dxa"/>
        <w:jc w:val="left"/>
        <w:tblInd w:w="0" w:type="dxa"/>
        <w:tblLayout w:type="fixed"/>
        <w:tblCellMar>
          <w:top w:w="0" w:type="dxa"/>
          <w:left w:w="0" w:type="dxa"/>
          <w:bottom w:w="0" w:type="dxa"/>
          <w:right w:w="0" w:type="dxa"/>
        </w:tblCellMar>
      </w:tblPr>
      <w:tblGrid>
        <w:gridCol w:w="1708"/>
        <w:gridCol w:w="60"/>
        <w:gridCol w:w="203"/>
        <w:gridCol w:w="1657"/>
        <w:gridCol w:w="80"/>
        <w:gridCol w:w="60"/>
        <w:gridCol w:w="439"/>
        <w:gridCol w:w="1342"/>
        <w:gridCol w:w="60"/>
        <w:gridCol w:w="60"/>
        <w:gridCol w:w="380"/>
        <w:gridCol w:w="2424"/>
        <w:gridCol w:w="60"/>
        <w:gridCol w:w="60"/>
        <w:gridCol w:w="313"/>
        <w:gridCol w:w="1221"/>
        <w:gridCol w:w="78"/>
      </w:tblGrid>
      <w:tr>
        <w:trPr/>
        <w:tc>
          <w:tcPr>
            <w:tcW w:w="17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 Warrants (in thousands)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Weighted Average 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Weighted Average Remaining Contractual Term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Aggregate Intrinsic Value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tc>
        <w:tc>
          <w:tcPr>
            <w:tcW w:w="78" w:type="dxa"/>
            <w:tcBorders/>
            <w:vAlign w:val="center"/>
          </w:tcPr>
          <w:p>
            <w:pPr>
              <w:pStyle w:val="TableContents"/>
              <w:bidi w:val="0"/>
              <w:spacing w:before="0" w:after="283"/>
              <w:jc w:val="left"/>
              <w:rPr/>
            </w:pPr>
            <w:r>
              <w:rPr/>
              <w:t> </w:t>
            </w:r>
          </w:p>
        </w:tc>
      </w:tr>
      <w:tr>
        <w:trPr/>
        <w:tc>
          <w:tcPr>
            <w:tcW w:w="17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Outstanding, January 1, 2026</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bookmarkStart w:id="404" w:name="xdx_98D_eus-gaap--ShareBasedCompensation"/>
            <w:bookmarkEnd w:id="404"/>
          </w:p>
        </w:tc>
        <w:tc>
          <w:tcPr>
            <w:tcW w:w="165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05" w:name="xdx_98B_eus-gaap--ShareBasedCompensation"/>
            <w:bookmarkEnd w:id="405"/>
          </w:p>
        </w:tc>
        <w:tc>
          <w:tcPr>
            <w:tcW w:w="134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bookmarkStart w:id="406" w:name="xdx_98D_eus-gaap--ShareBasedCompensation"/>
            <w:bookmarkEnd w:id="406"/>
          </w:p>
        </w:tc>
        <w:tc>
          <w:tcPr>
            <w:tcW w:w="242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07" w:name="xdx_981_eus-gaap--SharebasedCompensation"/>
            <w:bookmarkEnd w:id="407"/>
          </w:p>
        </w:tc>
        <w:tc>
          <w:tcPr>
            <w:tcW w:w="122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121</w:t>
            </w:r>
          </w:p>
        </w:tc>
        <w:tc>
          <w:tcPr>
            <w:tcW w:w="78" w:type="dxa"/>
            <w:tcBorders/>
            <w:shd w:fill="CCEEFF" w:val="clear"/>
            <w:vAlign w:val="center"/>
          </w:tcPr>
          <w:p>
            <w:pPr>
              <w:pStyle w:val="TableContents"/>
              <w:bidi w:val="0"/>
              <w:spacing w:before="0" w:after="283"/>
              <w:jc w:val="left"/>
              <w:rPr/>
            </w:pPr>
            <w:r>
              <w:rPr/>
              <w:t> </w:t>
            </w:r>
          </w:p>
        </w:tc>
      </w:tr>
      <w:tr>
        <w:trPr/>
        <w:tc>
          <w:tcPr>
            <w:tcW w:w="17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 Purchase Warrants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bookmarkStart w:id="408" w:name="xdx_98A_eus-gaap--ShareBasedCompensation"/>
            <w:bookmarkEnd w:id="408"/>
          </w:p>
        </w:tc>
        <w:tc>
          <w:tcPr>
            <w:tcW w:w="165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left"/>
              <w:rPr/>
            </w:pPr>
            <w:r>
              <w:rPr/>
              <w:t> </w:t>
            </w:r>
          </w:p>
        </w:tc>
        <w:tc>
          <w:tcPr>
            <w:tcW w:w="134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242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17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Exercised</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bookmarkStart w:id="409" w:name="xdx_980_eus-gaap--ShareBasedCompensation"/>
            <w:bookmarkEnd w:id="409"/>
          </w:p>
        </w:tc>
        <w:tc>
          <w:tcPr>
            <w:tcW w:w="165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left"/>
              <w:rPr/>
            </w:pPr>
            <w:r>
              <w:rPr/>
              <w:t> </w:t>
            </w:r>
            <w:bookmarkStart w:id="410" w:name="xdx_98A_ecustom--ShareBasedCompensationA"/>
            <w:bookmarkEnd w:id="410"/>
          </w:p>
        </w:tc>
        <w:tc>
          <w:tcPr>
            <w:tcW w:w="134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24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17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Expired</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11" w:name="xdx_98A_ecustom--ShareBasedCompensationA"/>
            <w:bookmarkEnd w:id="411"/>
          </w:p>
        </w:tc>
        <w:tc>
          <w:tcPr>
            <w:tcW w:w="165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42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1"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17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Outstanding, March 31, 2026</w:t>
            </w:r>
          </w:p>
        </w:tc>
        <w:tc>
          <w:tcPr>
            <w:tcW w:w="60" w:type="dxa"/>
            <w:tcBorders/>
            <w:shd w:fill="CCEEFF" w:val="clear"/>
            <w:vAlign w:val="center"/>
          </w:tcPr>
          <w:p>
            <w:pPr>
              <w:pStyle w:val="TableContents"/>
              <w:bidi w:val="0"/>
              <w:spacing w:before="0" w:after="283"/>
              <w:jc w:val="left"/>
              <w:rPr/>
            </w:pPr>
            <w:r>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412" w:name="xdx_986_eus-gaap--ShareBasedCompensation"/>
            <w:bookmarkEnd w:id="412"/>
          </w:p>
        </w:tc>
        <w:tc>
          <w:tcPr>
            <w:tcW w:w="165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13" w:name="xdx_983_eus-gaap--ShareBasedCompensation"/>
            <w:bookmarkEnd w:id="413"/>
          </w:p>
        </w:tc>
        <w:tc>
          <w:tcPr>
            <w:tcW w:w="134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414" w:name="xdx_98C_eus-gaap--ShareBasedCompensation"/>
            <w:bookmarkEnd w:id="414"/>
          </w:p>
        </w:tc>
        <w:tc>
          <w:tcPr>
            <w:tcW w:w="242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15" w:name="xdx_985_eus-gaap--SharebasedCompensation"/>
            <w:bookmarkEnd w:id="415"/>
          </w:p>
        </w:tc>
        <w:tc>
          <w:tcPr>
            <w:tcW w:w="122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1,465</w:t>
            </w:r>
          </w:p>
        </w:tc>
        <w:tc>
          <w:tcPr>
            <w:tcW w:w="78" w:type="dxa"/>
            <w:tcBorders/>
            <w:shd w:fill="CCEEFF" w:val="clear"/>
            <w:vAlign w:val="center"/>
          </w:tcPr>
          <w:p>
            <w:pPr>
              <w:pStyle w:val="TableContents"/>
              <w:bidi w:val="0"/>
              <w:spacing w:before="0" w:after="283"/>
              <w:jc w:val="left"/>
              <w:rPr/>
            </w:pPr>
            <w:r>
              <w:rPr/>
              <w:t> </w:t>
            </w:r>
          </w:p>
        </w:tc>
      </w:tr>
      <w:tr>
        <w:trPr/>
        <w:tc>
          <w:tcPr>
            <w:tcW w:w="17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Exercisable, March 31, 2026</w:t>
            </w:r>
          </w:p>
        </w:tc>
        <w:tc>
          <w:tcPr>
            <w:tcW w:w="60" w:type="dxa"/>
            <w:tcBorders/>
            <w:shd w:fill="FFFFFF" w:val="cle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416" w:name="xdx_981_ecustom--ShareBasedCompensationA"/>
            <w:bookmarkEnd w:id="416"/>
          </w:p>
        </w:tc>
        <w:tc>
          <w:tcPr>
            <w:tcW w:w="165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17" w:name="xdx_985_ecustom--ShareBasedCompensationA"/>
            <w:bookmarkEnd w:id="417"/>
          </w:p>
        </w:tc>
        <w:tc>
          <w:tcPr>
            <w:tcW w:w="134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418" w:name="xdx_98F_eus-gaap--ShareBasedCompensation"/>
            <w:bookmarkEnd w:id="418"/>
          </w:p>
        </w:tc>
        <w:tc>
          <w:tcPr>
            <w:tcW w:w="242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19" w:name="xdx_98A_ecustom--ShareBasedCompensationA"/>
            <w:bookmarkEnd w:id="419"/>
          </w:p>
        </w:tc>
        <w:tc>
          <w:tcPr>
            <w:tcW w:w="122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1,465</w:t>
            </w:r>
          </w:p>
        </w:tc>
        <w:tc>
          <w:tcPr>
            <w:tcW w:w="7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808" w:type="dxa"/>
        <w:jc w:val="left"/>
        <w:tblInd w:w="0" w:type="dxa"/>
        <w:tblLayout w:type="fixed"/>
        <w:tblCellMar>
          <w:top w:w="0" w:type="dxa"/>
          <w:left w:w="0" w:type="dxa"/>
          <w:bottom w:w="0" w:type="dxa"/>
          <w:right w:w="0" w:type="dxa"/>
        </w:tblCellMar>
      </w:tblPr>
      <w:tblGrid>
        <w:gridCol w:w="140"/>
        <w:gridCol w:w="23"/>
        <w:gridCol w:w="5645"/>
      </w:tblGrid>
      <w:tr>
        <w:trPr/>
        <w:tc>
          <w:tcPr>
            <w:tcW w:w="140" w:type="dxa"/>
            <w:tcBorders/>
            <w:vAlign w:val="center"/>
          </w:tcPr>
          <w:p>
            <w:pPr>
              <w:pStyle w:val="TableContents"/>
              <w:bidi w:val="0"/>
              <w:spacing w:before="0" w:after="283"/>
              <w:jc w:val="right"/>
              <w:rPr>
                <w:rFonts w:ascii="Times New Roman;Times;Serif" w:hAnsi="Times New Roman;Times;Serif"/>
                <w:i/>
                <w:sz w:val="20"/>
              </w:rPr>
            </w:pPr>
            <w:bookmarkStart w:id="420" w:name="xdx_F01_z8I0TgtkKnm3"/>
            <w:bookmarkEnd w:id="420"/>
            <w:r>
              <w:rPr>
                <w:rFonts w:ascii="Times New Roman;Times;Serif" w:hAnsi="Times New Roman;Times;Serif"/>
                <w:i/>
                <w:sz w:val="20"/>
              </w:rPr>
              <w:t>*</w:t>
            </w:r>
          </w:p>
        </w:tc>
        <w:tc>
          <w:tcPr>
            <w:tcW w:w="23" w:type="dxa"/>
            <w:tcBorders/>
            <w:vAlign w:val="center"/>
          </w:tcPr>
          <w:p>
            <w:pPr>
              <w:pStyle w:val="TableContents"/>
              <w:bidi w:val="0"/>
              <w:spacing w:before="0" w:after="283"/>
              <w:jc w:val="left"/>
              <w:rPr>
                <w:sz w:val="4"/>
                <w:szCs w:val="4"/>
              </w:rPr>
            </w:pPr>
            <w:r>
              <w:rPr>
                <w:sz w:val="4"/>
                <w:szCs w:val="4"/>
              </w:rPr>
            </w:r>
          </w:p>
        </w:tc>
        <w:tc>
          <w:tcPr>
            <w:tcW w:w="5645" w:type="dxa"/>
            <w:tcBorders/>
            <w:vAlign w:val="center"/>
          </w:tcPr>
          <w:p>
            <w:pPr>
              <w:pStyle w:val="TableContents"/>
              <w:bidi w:val="0"/>
              <w:spacing w:before="0" w:after="283"/>
              <w:jc w:val="both"/>
              <w:rPr>
                <w:rFonts w:ascii="Times New Roman;Times;Serif" w:hAnsi="Times New Roman;Times;Serif"/>
                <w:sz w:val="20"/>
              </w:rPr>
            </w:pPr>
            <w:bookmarkStart w:id="421" w:name="xdx_F12_zjH9eBXpfEYb"/>
            <w:bookmarkEnd w:id="421"/>
            <w:r>
              <w:rPr>
                <w:rFonts w:ascii="Times New Roman;Times;Serif" w:hAnsi="Times New Roman;Times;Serif"/>
                <w:sz w:val="20"/>
              </w:rPr>
              <w:t xml:space="preserve">A total of </w:t>
            </w:r>
            <w:bookmarkStart w:id="422" w:name="xdx_902_eus-gaap--IncrementalCommonShare"/>
            <w:bookmarkEnd w:id="422"/>
            <w:r>
              <w:rPr>
                <w:rFonts w:ascii="Times New Roman;Times;Serif" w:hAnsi="Times New Roman;Times;Serif"/>
                <w:sz w:val="20"/>
              </w:rPr>
              <w:t xml:space="preserve">883,433 </w:t>
            </w:r>
            <w:r>
              <w:rPr>
                <w:rFonts w:ascii="Times New Roman;Times;Serif" w:hAnsi="Times New Roman;Times;Serif"/>
                <w:sz w:val="20"/>
                <w:shd w:fill="FFFFFF" w:val="clear"/>
              </w:rPr>
              <w:t>pre-funded warrants were excluded from this table.</w:t>
            </w:r>
          </w:p>
        </w:tc>
      </w:tr>
    </w:tbl>
    <w:p>
      <w:pPr>
        <w:pStyle w:val="TextBody"/>
        <w:bidi w:val="0"/>
        <w:spacing w:before="0" w:after="0"/>
        <w:ind w:left="0" w:right="0" w:hanging="0"/>
        <w:jc w:val="both"/>
        <w:rPr>
          <w:caps w:val="false"/>
          <w:smallCaps w:val="false"/>
        </w:rPr>
      </w:pPr>
      <w:bookmarkStart w:id="423" w:name="xdx_8AE_zDCHktCLcTyl"/>
      <w:bookmarkEnd w:id="42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Subsequent to March 31, 2026, the </w:t>
      </w:r>
      <w:r>
        <w:rPr>
          <w:rFonts w:ascii="Times New Roman;Times;Serif" w:hAnsi="Times New Roman;Times;Serif"/>
          <w:b w:val="false"/>
          <w:i w:val="false"/>
          <w:caps w:val="false"/>
          <w:smallCaps w:val="false"/>
          <w:sz w:val="20"/>
        </w:rPr>
        <w:t>Company received net proceeds of $</w:t>
      </w:r>
      <w:bookmarkStart w:id="424" w:name="xdx_908_eus-gaap--ProceedsFromWarrantExe"/>
      <w:bookmarkEnd w:id="424"/>
      <w:r>
        <w:rPr>
          <w:rFonts w:ascii="Times New Roman;Times;Serif" w:hAnsi="Times New Roman;Times;Serif"/>
          <w:b w:val="false"/>
          <w:i w:val="false"/>
          <w:caps w:val="false"/>
          <w:smallCaps w:val="false"/>
          <w:sz w:val="20"/>
        </w:rPr>
        <w:t xml:space="preserve">44,000 from the exercise of </w:t>
      </w:r>
      <w:bookmarkStart w:id="425" w:name="xdx_90E_ecustom--WarrantsExercised_pid_c"/>
      <w:bookmarkEnd w:id="425"/>
      <w:r>
        <w:rPr>
          <w:rFonts w:ascii="Times New Roman;Times;Serif" w:hAnsi="Times New Roman;Times;Serif"/>
          <w:b w:val="false"/>
          <w:i w:val="false"/>
          <w:caps w:val="false"/>
          <w:smallCaps w:val="false"/>
          <w:sz w:val="20"/>
        </w:rPr>
        <w:t>11,331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26" w:name="xdx_803_eus-gaap--EarningsPerShareTextBl"/>
      <w:bookmarkEnd w:id="426"/>
      <w:r>
        <w:rPr>
          <w:rFonts w:ascii="Times New Roman;Times;Serif" w:hAnsi="Times New Roman;Times;Serif"/>
          <w:b/>
          <w:i w:val="false"/>
          <w:caps w:val="false"/>
          <w:smallCaps w:val="false"/>
          <w:sz w:val="20"/>
        </w:rPr>
        <w:t xml:space="preserve">Note 11. </w:t>
      </w:r>
      <w:bookmarkStart w:id="427" w:name="xdx_825_znUJIm5OwFC2"/>
      <w:bookmarkEnd w:id="427"/>
      <w:r>
        <w:rPr>
          <w:rFonts w:ascii="Times New Roman;Times;Serif" w:hAnsi="Times New Roman;Times;Serif"/>
          <w:b/>
          <w:i w:val="false"/>
          <w:caps w:val="false"/>
          <w:smallCaps w:val="false"/>
          <w:sz w:val="20"/>
        </w:rPr>
        <w:t xml:space="preserve">Net Loss Per Share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loss per share is computed by dividing net loss by the weighted-average number of shares of common stock outstanding during the period. Diluted loss per share is computed by dividing net loss by the weighted-average number of shares of common stock outstanding adjusted to give effect to potentially dilutive securities. Due to their nominal exercise price of $</w:t>
      </w:r>
      <w:bookmarkStart w:id="428" w:name="xdx_906_eus-gaap--CommonStockParOrStated"/>
      <w:bookmarkStart w:id="429" w:name="xdx_909_eus-gaap--CommonStockParOrStated"/>
      <w:bookmarkEnd w:id="428"/>
      <w:bookmarkEnd w:id="429"/>
      <w:r>
        <w:rPr>
          <w:rFonts w:ascii="Times New Roman;Times;Serif" w:hAnsi="Times New Roman;Times;Serif"/>
          <w:b w:val="false"/>
          <w:i w:val="false"/>
          <w:caps w:val="false"/>
          <w:smallCaps w:val="false"/>
          <w:sz w:val="20"/>
        </w:rPr>
        <w:t xml:space="preserve">0.001 per share, </w:t>
      </w:r>
      <w:bookmarkStart w:id="430" w:name="xdx_906_eus-gaap--IncrementalCommonShare"/>
      <w:bookmarkStart w:id="431" w:name="xdx_908_eus-gaap--IncrementalCommonShare"/>
      <w:bookmarkEnd w:id="430"/>
      <w:bookmarkEnd w:id="431"/>
      <w:r>
        <w:rPr>
          <w:rFonts w:ascii="Times New Roman;Times;Serif" w:hAnsi="Times New Roman;Times;Serif"/>
          <w:b w:val="false"/>
          <w:i w:val="false"/>
          <w:caps w:val="false"/>
          <w:smallCaps w:val="false"/>
          <w:sz w:val="20"/>
        </w:rPr>
        <w:t>883,433 pre-funded warrants are considered common stock equivalents during the three months ended March 31, 2026 and 2025, respectively, and are included in weighted average shares outstanding in the accompanying condensed consolidated statement of operations as of the closing date of the Company’s July 2023 Securities Purchase Agreements. Restricted stock and unit awards, stock options, and warrants (other than the pre-funded warrants) have not been included in the diluted loss per share calculation as their inclusion would have had an anti-dilutive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32" w:name="xdx_893_eus-gaap--ScheduleOfAntidilutive"/>
      <w:bookmarkEnd w:id="432"/>
      <w:r>
        <w:rPr>
          <w:rFonts w:ascii="Times New Roman;Times;Serif" w:hAnsi="Times New Roman;Times;Serif"/>
          <w:b w:val="false"/>
          <w:i w:val="false"/>
          <w:caps w:val="false"/>
          <w:smallCaps w:val="false"/>
          <w:sz w:val="20"/>
        </w:rPr>
        <w:t>The potential common stock equivalents that have been excluded from the computation of diluted loss per share consist of the following:</w:t>
      </w:r>
    </w:p>
    <w:p>
      <w:pPr>
        <w:pStyle w:val="TextBody"/>
        <w:bidi w:val="0"/>
        <w:spacing w:before="0" w:after="0"/>
        <w:ind w:left="0" w:right="0" w:hanging="0"/>
        <w:jc w:val="left"/>
        <w:rPr>
          <w:caps w:val="false"/>
          <w:smallCaps w:val="false"/>
        </w:rPr>
      </w:pPr>
      <w:r>
        <w:rPr>
          <w:caps w:val="false"/>
          <w:smallCaps w:val="false"/>
        </w:rPr>
        <w:t> </w:t>
      </w:r>
      <w:bookmarkStart w:id="433" w:name="xdx_8B1_zRbdU5EyJPpe"/>
      <w:bookmarkEnd w:id="433"/>
      <w:r>
        <w:rPr>
          <w:rFonts w:ascii="Times New Roman;Times;Serif" w:hAnsi="Times New Roman;Times;Serif"/>
          <w:b w:val="false"/>
          <w:i w:val="false"/>
          <w:caps w:val="false"/>
          <w:smallCaps w:val="false"/>
          <w:sz w:val="20"/>
        </w:rPr>
        <w:t>Schedule of Common Stock Equivalent from the Computation of Diluted Loss Per Share</w:t>
      </w:r>
    </w:p>
    <w:tbl>
      <w:tblPr>
        <w:tblW w:w="5529" w:type="dxa"/>
        <w:jc w:val="left"/>
        <w:tblInd w:w="0" w:type="dxa"/>
        <w:tblLayout w:type="fixed"/>
        <w:tblCellMar>
          <w:top w:w="0" w:type="dxa"/>
          <w:left w:w="0" w:type="dxa"/>
          <w:bottom w:w="28" w:type="dxa"/>
          <w:right w:w="0" w:type="dxa"/>
        </w:tblCellMar>
      </w:tblPr>
      <w:tblGrid>
        <w:gridCol w:w="2750"/>
        <w:gridCol w:w="60"/>
        <w:gridCol w:w="131"/>
        <w:gridCol w:w="1060"/>
        <w:gridCol w:w="131"/>
        <w:gridCol w:w="131"/>
        <w:gridCol w:w="131"/>
        <w:gridCol w:w="1060"/>
        <w:gridCol w:w="75"/>
      </w:tblGrid>
      <w:tr>
        <w:trPr/>
        <w:tc>
          <w:tcPr>
            <w:tcW w:w="275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 thousands)</w:t>
            </w:r>
          </w:p>
        </w:tc>
        <w:tc>
          <w:tcPr>
            <w:tcW w:w="60" w:type="dxa"/>
            <w:tcBorders/>
            <w:tcMar>
              <w:bottom w:w="0" w:type="dxa"/>
            </w:tcMar>
            <w:vAlign w:val="center"/>
          </w:tcPr>
          <w:p>
            <w:pPr>
              <w:pStyle w:val="TableContents"/>
              <w:bidi w:val="0"/>
              <w:spacing w:before="0" w:after="283"/>
              <w:jc w:val="left"/>
              <w:rPr/>
            </w:pPr>
            <w:r>
              <w:rPr/>
              <w:t> </w:t>
            </w:r>
            <w:bookmarkStart w:id="434" w:name="xdx_492_20260101__20260331_zQehZOb3iXYi"/>
            <w:bookmarkEnd w:id="434"/>
          </w:p>
        </w:tc>
        <w:tc>
          <w:tcPr>
            <w:tcW w:w="1191"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131" w:type="dxa"/>
            <w:tcBorders/>
            <w:tcMar>
              <w:bottom w:w="0" w:type="dxa"/>
            </w:tcMar>
            <w:vAlign w:val="center"/>
          </w:tcPr>
          <w:p>
            <w:pPr>
              <w:pStyle w:val="TableContents"/>
              <w:bidi w:val="0"/>
              <w:spacing w:before="0" w:after="283"/>
              <w:jc w:val="left"/>
              <w:rPr/>
            </w:pPr>
            <w:r>
              <w:rPr/>
              <w:t> </w:t>
            </w:r>
          </w:p>
        </w:tc>
        <w:tc>
          <w:tcPr>
            <w:tcW w:w="131" w:type="dxa"/>
            <w:tcBorders/>
            <w:tcMar>
              <w:bottom w:w="0" w:type="dxa"/>
            </w:tcMar>
            <w:vAlign w:val="center"/>
          </w:tcPr>
          <w:p>
            <w:pPr>
              <w:pStyle w:val="TableContents"/>
              <w:bidi w:val="0"/>
              <w:spacing w:before="0" w:after="283"/>
              <w:jc w:val="left"/>
              <w:rPr/>
            </w:pPr>
            <w:r>
              <w:rPr/>
              <w:t> </w:t>
            </w:r>
            <w:bookmarkStart w:id="435" w:name="xdx_496_20250101__20250331_zjbFKOqYIqPe"/>
            <w:bookmarkEnd w:id="435"/>
          </w:p>
        </w:tc>
        <w:tc>
          <w:tcPr>
            <w:tcW w:w="1191"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75" w:type="dxa"/>
            <w:tcBorders/>
            <w:tcMar>
              <w:bottom w:w="0" w:type="dxa"/>
            </w:tcMar>
            <w:vAlign w:val="center"/>
          </w:tcPr>
          <w:p>
            <w:pPr>
              <w:pStyle w:val="TableContents"/>
              <w:bidi w:val="0"/>
              <w:spacing w:before="0" w:after="283"/>
              <w:jc w:val="left"/>
              <w:rPr/>
            </w:pPr>
            <w:r>
              <w:rPr/>
              <w:t> </w:t>
            </w:r>
          </w:p>
        </w:tc>
      </w:tr>
      <w:tr>
        <w:trPr/>
        <w:tc>
          <w:tcPr>
            <w:tcW w:w="27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644"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Three months ended March 31,</w:t>
            </w:r>
          </w:p>
        </w:tc>
        <w:tc>
          <w:tcPr>
            <w:tcW w:w="75" w:type="dxa"/>
            <w:tcBorders/>
            <w:tcMar>
              <w:bottom w:w="0" w:type="dxa"/>
            </w:tcMar>
            <w:vAlign w:val="center"/>
          </w:tcPr>
          <w:p>
            <w:pPr>
              <w:pStyle w:val="TableContents"/>
              <w:bidi w:val="0"/>
              <w:spacing w:before="0" w:after="283"/>
              <w:jc w:val="left"/>
              <w:rPr/>
            </w:pPr>
            <w:r>
              <w:rPr/>
              <w:t> </w:t>
            </w:r>
          </w:p>
        </w:tc>
      </w:tr>
      <w:tr>
        <w:trPr/>
        <w:tc>
          <w:tcPr>
            <w:tcW w:w="275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 thousands)</w:t>
            </w:r>
          </w:p>
        </w:tc>
        <w:tc>
          <w:tcPr>
            <w:tcW w:w="60" w:type="dxa"/>
            <w:tcBorders/>
            <w:tcMar>
              <w:bottom w:w="0" w:type="dxa"/>
            </w:tcMar>
            <w:vAlign w:val="center"/>
          </w:tcPr>
          <w:p>
            <w:pPr>
              <w:pStyle w:val="TableContents"/>
              <w:bidi w:val="0"/>
              <w:spacing w:before="0" w:after="283"/>
              <w:jc w:val="left"/>
              <w:rPr/>
            </w:pPr>
            <w:r>
              <w:rPr/>
              <w:t> </w:t>
            </w:r>
          </w:p>
        </w:tc>
        <w:tc>
          <w:tcPr>
            <w:tcW w:w="1191"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131" w:type="dxa"/>
            <w:tcBorders/>
            <w:tcMar>
              <w:bottom w:w="0" w:type="dxa"/>
            </w:tcMar>
            <w:vAlign w:val="center"/>
          </w:tcPr>
          <w:p>
            <w:pPr>
              <w:pStyle w:val="TableContents"/>
              <w:bidi w:val="0"/>
              <w:spacing w:before="0" w:after="283"/>
              <w:jc w:val="left"/>
              <w:rPr/>
            </w:pPr>
            <w:r>
              <w:rPr/>
              <w:t> </w:t>
            </w:r>
          </w:p>
        </w:tc>
        <w:tc>
          <w:tcPr>
            <w:tcW w:w="131" w:type="dxa"/>
            <w:tcBorders/>
            <w:tcMar>
              <w:bottom w:w="0" w:type="dxa"/>
            </w:tcMar>
            <w:vAlign w:val="center"/>
          </w:tcPr>
          <w:p>
            <w:pPr>
              <w:pStyle w:val="TableContents"/>
              <w:bidi w:val="0"/>
              <w:spacing w:before="0" w:after="283"/>
              <w:jc w:val="left"/>
              <w:rPr/>
            </w:pPr>
            <w:r>
              <w:rPr/>
              <w:t> </w:t>
            </w:r>
          </w:p>
        </w:tc>
        <w:tc>
          <w:tcPr>
            <w:tcW w:w="1191"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75" w:type="dxa"/>
            <w:tcBorders/>
            <w:tcMar>
              <w:bottom w:w="0" w:type="dxa"/>
            </w:tcMar>
            <w:vAlign w:val="center"/>
          </w:tcPr>
          <w:p>
            <w:pPr>
              <w:pStyle w:val="TableContents"/>
              <w:bidi w:val="0"/>
              <w:spacing w:before="0" w:after="283"/>
              <w:jc w:val="left"/>
              <w:rPr/>
            </w:pPr>
            <w:r>
              <w:rPr/>
              <w:t> </w:t>
            </w:r>
            <w:bookmarkStart w:id="436" w:name="xdx_406_eus-gaap--AntidilutiveSecurities"/>
            <w:bookmarkEnd w:id="436"/>
          </w:p>
        </w:tc>
      </w:tr>
      <w:tr>
        <w:trPr/>
        <w:tc>
          <w:tcPr>
            <w:tcW w:w="27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Outstanding stock options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pPr>
            <w:r>
              <w:rPr/>
              <w:t> </w:t>
            </w:r>
          </w:p>
        </w:tc>
        <w:tc>
          <w:tcPr>
            <w:tcW w:w="10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516</w:t>
            </w:r>
          </w:p>
        </w:tc>
        <w:tc>
          <w:tcPr>
            <w:tcW w:w="131"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pPr>
            <w:r>
              <w:rPr/>
              <w:t> </w:t>
            </w:r>
          </w:p>
        </w:tc>
        <w:tc>
          <w:tcPr>
            <w:tcW w:w="10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548</w:t>
            </w:r>
          </w:p>
        </w:tc>
        <w:tc>
          <w:tcPr>
            <w:tcW w:w="75" w:type="dxa"/>
            <w:tcBorders/>
            <w:shd w:fill="CCEEFF" w:val="clear"/>
            <w:tcMar>
              <w:bottom w:w="0" w:type="dxa"/>
            </w:tcMar>
            <w:vAlign w:val="center"/>
          </w:tcPr>
          <w:p>
            <w:pPr>
              <w:pStyle w:val="TableContents"/>
              <w:bidi w:val="0"/>
              <w:spacing w:before="0" w:after="283"/>
              <w:jc w:val="left"/>
              <w:rPr/>
            </w:pPr>
            <w:r>
              <w:rPr/>
              <w:t> </w:t>
            </w:r>
            <w:bookmarkStart w:id="437" w:name="xdx_406_eus-gaap--AntidilutiveSecurities"/>
            <w:bookmarkEnd w:id="437"/>
          </w:p>
        </w:tc>
      </w:tr>
      <w:tr>
        <w:trPr/>
        <w:tc>
          <w:tcPr>
            <w:tcW w:w="275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Restricted stock and unit awards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 w:type="dxa"/>
            <w:tcBorders/>
            <w:shd w:fill="FFFFFF" w:val="clear"/>
            <w:tcMar>
              <w:bottom w:w="0" w:type="dxa"/>
            </w:tcMar>
            <w:vAlign w:val="center"/>
          </w:tcPr>
          <w:p>
            <w:pPr>
              <w:pStyle w:val="TableContents"/>
              <w:bidi w:val="0"/>
              <w:spacing w:before="0" w:after="283"/>
              <w:jc w:val="left"/>
              <w:rPr/>
            </w:pPr>
            <w:r>
              <w:rPr/>
              <w:t> </w:t>
            </w:r>
          </w:p>
        </w:tc>
        <w:tc>
          <w:tcPr>
            <w:tcW w:w="106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682</w:t>
            </w:r>
          </w:p>
        </w:tc>
        <w:tc>
          <w:tcPr>
            <w:tcW w:w="131" w:type="dxa"/>
            <w:tcBorders/>
            <w:shd w:fill="FFFFFF" w:val="clear"/>
            <w:tcMar>
              <w:bottom w:w="0" w:type="dxa"/>
            </w:tcMar>
            <w:vAlign w:val="center"/>
          </w:tcPr>
          <w:p>
            <w:pPr>
              <w:pStyle w:val="TableContents"/>
              <w:bidi w:val="0"/>
              <w:spacing w:before="0" w:after="283"/>
              <w:jc w:val="left"/>
              <w:rPr/>
            </w:pPr>
            <w:r>
              <w:rPr/>
              <w:t> </w:t>
            </w:r>
          </w:p>
        </w:tc>
        <w:tc>
          <w:tcPr>
            <w:tcW w:w="131" w:type="dxa"/>
            <w:tcBorders/>
            <w:shd w:fill="FFFFFF" w:val="clear"/>
            <w:tcMar>
              <w:bottom w:w="0" w:type="dxa"/>
            </w:tcMar>
            <w:vAlign w:val="center"/>
          </w:tcPr>
          <w:p>
            <w:pPr>
              <w:pStyle w:val="TableContents"/>
              <w:bidi w:val="0"/>
              <w:spacing w:before="0" w:after="283"/>
              <w:jc w:val="left"/>
              <w:rPr/>
            </w:pPr>
            <w:r>
              <w:rPr/>
              <w:t> </w:t>
            </w:r>
          </w:p>
        </w:tc>
        <w:tc>
          <w:tcPr>
            <w:tcW w:w="131" w:type="dxa"/>
            <w:tcBorders/>
            <w:shd w:fill="FFFFFF" w:val="clear"/>
            <w:tcMar>
              <w:bottom w:w="0" w:type="dxa"/>
            </w:tcMar>
            <w:vAlign w:val="center"/>
          </w:tcPr>
          <w:p>
            <w:pPr>
              <w:pStyle w:val="TableContents"/>
              <w:bidi w:val="0"/>
              <w:spacing w:before="0" w:after="283"/>
              <w:jc w:val="left"/>
              <w:rPr/>
            </w:pPr>
            <w:r>
              <w:rPr/>
              <w:t> </w:t>
            </w:r>
          </w:p>
        </w:tc>
        <w:tc>
          <w:tcPr>
            <w:tcW w:w="106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512</w:t>
            </w:r>
          </w:p>
        </w:tc>
        <w:tc>
          <w:tcPr>
            <w:tcW w:w="75" w:type="dxa"/>
            <w:tcBorders/>
            <w:shd w:fill="FFFFFF" w:val="clear"/>
            <w:tcMar>
              <w:bottom w:w="0" w:type="dxa"/>
            </w:tcMar>
            <w:vAlign w:val="center"/>
          </w:tcPr>
          <w:p>
            <w:pPr>
              <w:pStyle w:val="TableContents"/>
              <w:bidi w:val="0"/>
              <w:spacing w:before="0" w:after="283"/>
              <w:jc w:val="left"/>
              <w:rPr/>
            </w:pPr>
            <w:r>
              <w:rPr/>
              <w:t> </w:t>
            </w:r>
            <w:bookmarkStart w:id="438" w:name="xdx_403_eus-gaap--AntidilutiveSecurities"/>
            <w:bookmarkEnd w:id="438"/>
          </w:p>
        </w:tc>
      </w:tr>
      <w:tr>
        <w:trPr/>
        <w:tc>
          <w:tcPr>
            <w:tcW w:w="27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Debt conversion shares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pPr>
            <w:r>
              <w:rPr/>
              <w:t> </w:t>
            </w:r>
          </w:p>
        </w:tc>
        <w:tc>
          <w:tcPr>
            <w:tcW w:w="10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295</w:t>
            </w:r>
          </w:p>
        </w:tc>
        <w:tc>
          <w:tcPr>
            <w:tcW w:w="131"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pPr>
            <w:r>
              <w:rPr/>
              <w:t> </w:t>
            </w:r>
          </w:p>
        </w:tc>
        <w:tc>
          <w:tcPr>
            <w:tcW w:w="10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tcMar>
              <w:bottom w:w="0" w:type="dxa"/>
            </w:tcMar>
            <w:vAlign w:val="center"/>
          </w:tcPr>
          <w:p>
            <w:pPr>
              <w:pStyle w:val="TableContents"/>
              <w:bidi w:val="0"/>
              <w:spacing w:before="0" w:after="283"/>
              <w:jc w:val="left"/>
              <w:rPr/>
            </w:pPr>
            <w:r>
              <w:rPr/>
              <w:t> </w:t>
            </w:r>
            <w:bookmarkStart w:id="439" w:name="xdx_405_eus-gaap--AntidilutiveSecurities"/>
            <w:bookmarkEnd w:id="439"/>
          </w:p>
        </w:tc>
      </w:tr>
      <w:tr>
        <w:trPr/>
        <w:tc>
          <w:tcPr>
            <w:tcW w:w="275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 purchase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 w:type="dxa"/>
            <w:tcBorders>
              <w:bottom w:val="single" w:sz="8" w:space="0" w:color="000000"/>
            </w:tcBorders>
            <w:shd w:fill="FFFFFF" w:val="clear"/>
            <w:vAlign w:val="center"/>
          </w:tcPr>
          <w:p>
            <w:pPr>
              <w:pStyle w:val="TableContents"/>
              <w:bidi w:val="0"/>
              <w:spacing w:before="0" w:after="283"/>
              <w:jc w:val="left"/>
              <w:rPr/>
            </w:pPr>
            <w:r>
              <w:rPr/>
              <w:t> </w:t>
            </w:r>
          </w:p>
        </w:tc>
        <w:tc>
          <w:tcPr>
            <w:tcW w:w="106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1,454</w:t>
            </w:r>
          </w:p>
        </w:tc>
        <w:tc>
          <w:tcPr>
            <w:tcW w:w="131" w:type="dxa"/>
            <w:tcBorders/>
            <w:shd w:fill="FFFFFF" w:val="clear"/>
            <w:tcMar>
              <w:bottom w:w="0" w:type="dxa"/>
            </w:tcMar>
            <w:vAlign w:val="center"/>
          </w:tcPr>
          <w:p>
            <w:pPr>
              <w:pStyle w:val="TableContents"/>
              <w:bidi w:val="0"/>
              <w:spacing w:before="0" w:after="283"/>
              <w:jc w:val="left"/>
              <w:rPr/>
            </w:pPr>
            <w:r>
              <w:rPr/>
              <w:t> </w:t>
            </w:r>
          </w:p>
        </w:tc>
        <w:tc>
          <w:tcPr>
            <w:tcW w:w="131" w:type="dxa"/>
            <w:tcBorders/>
            <w:shd w:fill="FFFFFF" w:val="clear"/>
            <w:tcMar>
              <w:bottom w:w="0" w:type="dxa"/>
            </w:tcMar>
            <w:vAlign w:val="center"/>
          </w:tcPr>
          <w:p>
            <w:pPr>
              <w:pStyle w:val="TableContents"/>
              <w:bidi w:val="0"/>
              <w:spacing w:before="0" w:after="283"/>
              <w:jc w:val="left"/>
              <w:rPr/>
            </w:pPr>
            <w:r>
              <w:rPr/>
              <w:t> </w:t>
            </w:r>
          </w:p>
        </w:tc>
        <w:tc>
          <w:tcPr>
            <w:tcW w:w="131" w:type="dxa"/>
            <w:tcBorders>
              <w:bottom w:val="single" w:sz="8" w:space="0" w:color="000000"/>
            </w:tcBorders>
            <w:shd w:fill="FFFFFF" w:val="clear"/>
            <w:vAlign w:val="center"/>
          </w:tcPr>
          <w:p>
            <w:pPr>
              <w:pStyle w:val="TableContents"/>
              <w:bidi w:val="0"/>
              <w:spacing w:before="0" w:after="283"/>
              <w:jc w:val="left"/>
              <w:rPr/>
            </w:pPr>
            <w:r>
              <w:rPr/>
              <w:t> </w:t>
            </w:r>
          </w:p>
        </w:tc>
        <w:tc>
          <w:tcPr>
            <w:tcW w:w="106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1,497</w:t>
            </w:r>
          </w:p>
        </w:tc>
        <w:tc>
          <w:tcPr>
            <w:tcW w:w="75" w:type="dxa"/>
            <w:tcBorders/>
            <w:shd w:fill="FFFFFF" w:val="clear"/>
            <w:tcMar>
              <w:bottom w:w="0" w:type="dxa"/>
            </w:tcMar>
            <w:vAlign w:val="center"/>
          </w:tcPr>
          <w:p>
            <w:pPr>
              <w:pStyle w:val="TableContents"/>
              <w:bidi w:val="0"/>
              <w:spacing w:before="0" w:after="283"/>
              <w:jc w:val="left"/>
              <w:rPr/>
            </w:pPr>
            <w:r>
              <w:rPr/>
              <w:t> </w:t>
            </w:r>
            <w:bookmarkStart w:id="440" w:name="xdx_40D_eus-gaap--AntidilutiveSecurities"/>
            <w:bookmarkEnd w:id="440"/>
          </w:p>
        </w:tc>
      </w:tr>
      <w:tr>
        <w:trPr/>
        <w:tc>
          <w:tcPr>
            <w:tcW w:w="2750" w:type="dxa"/>
            <w:tcBorders/>
            <w:shd w:fill="CCEEFF" w:val="clear"/>
            <w:tcMar>
              <w:bottom w:w="0" w:type="dxa"/>
            </w:tcMar>
            <w:vAlign w:val="center"/>
          </w:tcPr>
          <w:p>
            <w:pPr>
              <w:pStyle w:val="TableContents"/>
              <w:bidi w:val="0"/>
              <w:spacing w:before="0" w:after="283"/>
              <w:jc w:val="left"/>
              <w:rPr/>
            </w:pPr>
            <w:r>
              <w:rPr/>
              <w:t> </w:t>
            </w:r>
            <w:r>
              <w:rPr>
                <w:rFonts w:ascii="Times New Roman;Times;Serif" w:hAnsi="Times New Roman;Times;Serif"/>
                <w:sz w:val="20"/>
              </w:rPr>
              <w:t>Total common stock equivalents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 w:type="dxa"/>
            <w:tcBorders>
              <w:bottom w:val="double" w:sz="6" w:space="0" w:color="000000"/>
            </w:tcBorders>
            <w:shd w:fill="CCEEFF" w:val="clear"/>
            <w:vAlign w:val="center"/>
          </w:tcPr>
          <w:p>
            <w:pPr>
              <w:pStyle w:val="TableContents"/>
              <w:bidi w:val="0"/>
              <w:spacing w:before="0" w:after="283"/>
              <w:jc w:val="left"/>
              <w:rPr/>
            </w:pPr>
            <w:r>
              <w:rPr/>
              <w:t> </w:t>
            </w:r>
          </w:p>
        </w:tc>
        <w:tc>
          <w:tcPr>
            <w:tcW w:w="106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2,947</w:t>
            </w:r>
          </w:p>
        </w:tc>
        <w:tc>
          <w:tcPr>
            <w:tcW w:w="131"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pPr>
            <w:r>
              <w:rPr/>
              <w:t> </w:t>
            </w:r>
          </w:p>
        </w:tc>
        <w:tc>
          <w:tcPr>
            <w:tcW w:w="131" w:type="dxa"/>
            <w:tcBorders>
              <w:bottom w:val="double" w:sz="6" w:space="0" w:color="000000"/>
            </w:tcBorders>
            <w:shd w:fill="CCEEFF" w:val="clear"/>
            <w:vAlign w:val="center"/>
          </w:tcPr>
          <w:p>
            <w:pPr>
              <w:pStyle w:val="TableContents"/>
              <w:bidi w:val="0"/>
              <w:spacing w:before="0" w:after="283"/>
              <w:jc w:val="left"/>
              <w:rPr/>
            </w:pPr>
            <w:r>
              <w:rPr/>
              <w:t> </w:t>
            </w:r>
          </w:p>
        </w:tc>
        <w:tc>
          <w:tcPr>
            <w:tcW w:w="106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2,557</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441" w:name="xdx_8A1_zcvioEEPRBkd"/>
      <w:bookmarkEnd w:id="441"/>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42" w:name="xdx_803_eus-gaap--IncomeTaxDisclosureTex"/>
      <w:bookmarkEnd w:id="442"/>
      <w:r>
        <w:rPr>
          <w:rFonts w:ascii="Times New Roman;Times;Serif" w:hAnsi="Times New Roman;Times;Serif"/>
          <w:b/>
          <w:i w:val="false"/>
          <w:caps w:val="false"/>
          <w:smallCaps w:val="false"/>
          <w:sz w:val="20"/>
        </w:rPr>
        <w:t xml:space="preserve">Note 12. </w:t>
      </w:r>
      <w:bookmarkStart w:id="443" w:name="xdx_821_z1oy19G9SZUa"/>
      <w:bookmarkEnd w:id="443"/>
      <w:r>
        <w:rPr>
          <w:rFonts w:ascii="Times New Roman;Times;Serif" w:hAnsi="Times New Roman;Times;Serif"/>
          <w:b/>
          <w:i w:val="false"/>
          <w:caps w:val="false"/>
          <w:smallCaps w:val="false"/>
          <w:sz w:val="20"/>
        </w:rPr>
        <w:t xml:space="preserve">Income Taxes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be eligible, from time to time, to receive cash from the sale of its net operating losses under New Jersey’s Department of the Treasury - Division of Taxation NOL Transfer Program. During the three months ended March 31, 2026 and 2025, the Company sold New Jersey NOL carry forwards, resulting in the receipt of net cash payments of $</w:t>
      </w:r>
      <w:bookmarkStart w:id="444" w:name="xdx_90E_ecustom--ProceedsFromSaleOfState"/>
      <w:bookmarkEnd w:id="444"/>
      <w:r>
        <w:rPr>
          <w:rFonts w:ascii="Times New Roman;Times;Serif" w:hAnsi="Times New Roman;Times;Serif"/>
          <w:b w:val="false"/>
          <w:i w:val="false"/>
          <w:caps w:val="false"/>
          <w:smallCaps w:val="false"/>
          <w:sz w:val="20"/>
        </w:rPr>
        <w:t>321,000 and $</w:t>
      </w:r>
      <w:bookmarkStart w:id="445" w:name="xdx_901_ecustom--ProceedsFromSaleOfState"/>
      <w:bookmarkEnd w:id="445"/>
      <w:r>
        <w:rPr>
          <w:rFonts w:ascii="Times New Roman;Times;Serif" w:hAnsi="Times New Roman;Times;Serif"/>
          <w:b w:val="false"/>
          <w:i w:val="false"/>
          <w:caps w:val="false"/>
          <w:smallCaps w:val="false"/>
          <w:sz w:val="20"/>
        </w:rPr>
        <w:t>48,000, respectively. There can be no assurance as to the continuation or magnitude of this program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46" w:name="xdx_80E_eus-gaap--DisclosureOfCompensati"/>
      <w:bookmarkEnd w:id="446"/>
      <w:r>
        <w:rPr>
          <w:rFonts w:ascii="Times New Roman;Times;Serif" w:hAnsi="Times New Roman;Times;Serif"/>
          <w:b/>
          <w:i w:val="false"/>
          <w:caps w:val="false"/>
          <w:smallCaps w:val="false"/>
          <w:sz w:val="20"/>
        </w:rPr>
        <w:t xml:space="preserve">Note 13. </w:t>
      </w:r>
      <w:bookmarkStart w:id="447" w:name="xdx_82C_zpMwgXt9xrha"/>
      <w:bookmarkEnd w:id="447"/>
      <w:r>
        <w:rPr>
          <w:rFonts w:ascii="Times New Roman;Times;Serif" w:hAnsi="Times New Roman;Times;Serif"/>
          <w:b/>
          <w:i w:val="false"/>
          <w:caps w:val="false"/>
          <w:smallCaps w:val="false"/>
          <w:sz w:val="20"/>
        </w:rPr>
        <w:t>Stock 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grants stock based compensation to certain employees and board of directors under the Company’s 2018 Omnibus Equity Incentive Plan (“Plan”). As of March 31, 2026, approximately </w:t>
      </w:r>
      <w:bookmarkStart w:id="448" w:name="xdx_90F_eus-gaap--CommonStockCapitalShar"/>
      <w:bookmarkEnd w:id="448"/>
      <w:r>
        <w:rPr>
          <w:rFonts w:ascii="Times New Roman;Times;Serif" w:hAnsi="Times New Roman;Times;Serif"/>
          <w:b w:val="false"/>
          <w:i w:val="false"/>
          <w:caps w:val="false"/>
          <w:smallCaps w:val="false"/>
          <w:sz w:val="20"/>
        </w:rPr>
        <w:t>553,000 shares of common stock were reserved for issuance as awards under the Plan. The Company’s policy is to issue new shares of its common stock upon the exercise of stock options, new grants of restricted stock awards, and settlement of restricted stock units. Stock options issued under the plan have a contractual life of 10 years and are generally forfeited upon separation from the Company.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ELECTROCORE, INC.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stock compensation expense recognized by the Company for the three months ended March 31, 2026 and 2025. Total unrecognized compensation cost related to equity awards as of March 31, 2026 was $</w:t>
      </w:r>
      <w:bookmarkStart w:id="449" w:name="xdx_908_eus-gaap--EmployeeServiceShareBa"/>
      <w:bookmarkEnd w:id="449"/>
      <w:r>
        <w:rPr>
          <w:rFonts w:ascii="Times New Roman;Times;Serif" w:hAnsi="Times New Roman;Times;Serif"/>
          <w:b w:val="false"/>
          <w:i w:val="false"/>
          <w:caps w:val="false"/>
          <w:smallCaps w:val="false"/>
          <w:sz w:val="20"/>
        </w:rPr>
        <w:t xml:space="preserve">2.2 million and is expected to be recognized over the next </w:t>
      </w:r>
      <w:bookmarkStart w:id="450" w:name="xdx_905_eus-gaap--EmployeeServiceShareBa"/>
      <w:bookmarkEnd w:id="450"/>
      <w:r>
        <w:rPr>
          <w:rFonts w:ascii="Times New Roman;Times;Serif" w:hAnsi="Times New Roman;Times;Serif"/>
          <w:b w:val="false"/>
          <w:i w:val="false"/>
          <w:caps w:val="false"/>
          <w:smallCaps w:val="false"/>
          <w:sz w:val="20"/>
        </w:rPr>
        <w:t>2.1 years.</w:t>
      </w:r>
    </w:p>
    <w:p>
      <w:pPr>
        <w:pStyle w:val="TextBody"/>
        <w:bidi w:val="0"/>
        <w:spacing w:before="0" w:after="0"/>
        <w:jc w:val="center"/>
        <w:rPr>
          <w:caps w:val="false"/>
          <w:smallCaps w:val="false"/>
        </w:rPr>
      </w:pPr>
      <w:bookmarkStart w:id="451" w:name="xdx_893_eus-gaap--ScheduleOfEmployeeServ"/>
      <w:bookmarkEnd w:id="451"/>
      <w:r>
        <w:rPr>
          <w:caps w:val="false"/>
          <w:smallCaps w:val="false"/>
        </w:rPr>
        <w:t> </w:t>
      </w:r>
      <w:bookmarkStart w:id="452" w:name="xdx_8BD_z71mVHvu5Gve"/>
      <w:bookmarkEnd w:id="452"/>
      <w:r>
        <w:rPr>
          <w:rFonts w:ascii="Times New Roman;Times;Serif" w:hAnsi="Times New Roman;Times;Serif"/>
          <w:b w:val="false"/>
          <w:i w:val="false"/>
          <w:caps w:val="false"/>
          <w:smallCaps w:val="false"/>
          <w:sz w:val="20"/>
        </w:rPr>
        <w:t>Schedule of Stock Compensation Expenses</w:t>
      </w:r>
    </w:p>
    <w:tbl>
      <w:tblPr>
        <w:tblW w:w="6651" w:type="dxa"/>
        <w:jc w:val="left"/>
        <w:tblInd w:w="0" w:type="dxa"/>
        <w:tblLayout w:type="fixed"/>
        <w:tblCellMar>
          <w:top w:w="0" w:type="dxa"/>
          <w:left w:w="0" w:type="dxa"/>
          <w:bottom w:w="28" w:type="dxa"/>
          <w:right w:w="0" w:type="dxa"/>
        </w:tblCellMar>
      </w:tblPr>
      <w:tblGrid>
        <w:gridCol w:w="3290"/>
        <w:gridCol w:w="60"/>
        <w:gridCol w:w="337"/>
        <w:gridCol w:w="1349"/>
        <w:gridCol w:w="144"/>
        <w:gridCol w:w="144"/>
        <w:gridCol w:w="337"/>
        <w:gridCol w:w="915"/>
        <w:gridCol w:w="75"/>
      </w:tblGrid>
      <w:tr>
        <w:trPr/>
        <w:tc>
          <w:tcPr>
            <w:tcW w:w="3290" w:type="dxa"/>
            <w:tcBorders>
              <w:bottom w:val="single" w:sz="8" w:space="0" w:color="000000"/>
            </w:tcBorders>
            <w:vAlign w:val="center"/>
          </w:tcPr>
          <w:p>
            <w:pPr>
              <w:pStyle w:val="TableContents"/>
              <w:bidi w:val="0"/>
              <w:spacing w:before="0" w:after="283"/>
              <w:jc w:val="left"/>
              <w:rPr>
                <w:b/>
              </w:rPr>
            </w:pPr>
            <w:r>
              <w:rPr>
                <w:b/>
              </w:rPr>
              <w:t>(in thousands)</w:t>
            </w:r>
          </w:p>
        </w:tc>
        <w:tc>
          <w:tcPr>
            <w:tcW w:w="60" w:type="dxa"/>
            <w:tcBorders/>
            <w:tcMar>
              <w:bottom w:w="0" w:type="dxa"/>
            </w:tcMar>
            <w:vAlign w:val="center"/>
          </w:tcPr>
          <w:p>
            <w:pPr>
              <w:pStyle w:val="TableContents"/>
              <w:bidi w:val="0"/>
              <w:spacing w:before="0" w:after="283"/>
              <w:jc w:val="left"/>
              <w:rPr/>
            </w:pPr>
            <w:r>
              <w:rPr/>
              <w:t> </w:t>
            </w:r>
            <w:bookmarkStart w:id="453" w:name="xdx_499_20260101__20260331_z345GtutFSD4"/>
            <w:bookmarkEnd w:id="453"/>
          </w:p>
        </w:tc>
        <w:tc>
          <w:tcPr>
            <w:tcW w:w="1686" w:type="dxa"/>
            <w:gridSpan w:val="2"/>
            <w:tcBorders>
              <w:bottom w:val="single" w:sz="8" w:space="0" w:color="000000"/>
            </w:tcBorders>
            <w:vAlign w:val="center"/>
          </w:tcPr>
          <w:p>
            <w:pPr>
              <w:pStyle w:val="TableContents"/>
              <w:bidi w:val="0"/>
              <w:spacing w:before="0" w:after="283"/>
              <w:jc w:val="center"/>
              <w:rPr>
                <w:b/>
              </w:rPr>
            </w:pPr>
            <w:r>
              <w:rPr>
                <w:b/>
              </w:rPr>
              <w:t>2026</w:t>
            </w:r>
          </w:p>
        </w:tc>
        <w:tc>
          <w:tcPr>
            <w:tcW w:w="144" w:type="dxa"/>
            <w:tcBorders/>
            <w:tcMar>
              <w:bottom w:w="0" w:type="dxa"/>
            </w:tcMar>
            <w:vAlign w:val="center"/>
          </w:tcPr>
          <w:p>
            <w:pPr>
              <w:pStyle w:val="TableContents"/>
              <w:bidi w:val="0"/>
              <w:spacing w:before="0" w:after="283"/>
              <w:jc w:val="left"/>
              <w:rPr/>
            </w:pPr>
            <w:r>
              <w:rPr/>
              <w:t> </w:t>
            </w:r>
          </w:p>
        </w:tc>
        <w:tc>
          <w:tcPr>
            <w:tcW w:w="144" w:type="dxa"/>
            <w:tcBorders/>
            <w:tcMar>
              <w:bottom w:w="0" w:type="dxa"/>
            </w:tcMar>
            <w:vAlign w:val="center"/>
          </w:tcPr>
          <w:p>
            <w:pPr>
              <w:pStyle w:val="TableContents"/>
              <w:bidi w:val="0"/>
              <w:spacing w:before="0" w:after="283"/>
              <w:jc w:val="left"/>
              <w:rPr/>
            </w:pPr>
            <w:r>
              <w:rPr/>
              <w:t> </w:t>
            </w:r>
            <w:bookmarkStart w:id="454" w:name="xdx_49A_20250101__20250331_zMxDhoT5J39d"/>
            <w:bookmarkEnd w:id="454"/>
          </w:p>
        </w:tc>
        <w:tc>
          <w:tcPr>
            <w:tcW w:w="1252" w:type="dxa"/>
            <w:gridSpan w:val="2"/>
            <w:tcBorders>
              <w:bottom w:val="single" w:sz="8" w:space="0" w:color="000000"/>
            </w:tcBorders>
            <w:vAlign w:val="center"/>
          </w:tcPr>
          <w:p>
            <w:pPr>
              <w:pStyle w:val="TableContents"/>
              <w:bidi w:val="0"/>
              <w:spacing w:before="0" w:after="283"/>
              <w:jc w:val="center"/>
              <w:rPr>
                <w:b/>
              </w:rPr>
            </w:pPr>
            <w:r>
              <w:rPr>
                <w:b/>
              </w:rPr>
              <w:t>2025</w:t>
            </w:r>
          </w:p>
        </w:tc>
        <w:tc>
          <w:tcPr>
            <w:tcW w:w="75" w:type="dxa"/>
            <w:tcBorders/>
            <w:tcMar>
              <w:bottom w:w="0" w:type="dxa"/>
            </w:tcMar>
            <w:vAlign w:val="center"/>
          </w:tcPr>
          <w:p>
            <w:pPr>
              <w:pStyle w:val="TableContents"/>
              <w:bidi w:val="0"/>
              <w:spacing w:before="0" w:after="283"/>
              <w:jc w:val="left"/>
              <w:rPr/>
            </w:pPr>
            <w:r>
              <w:rPr/>
              <w:t> </w:t>
            </w:r>
          </w:p>
        </w:tc>
      </w:tr>
      <w:tr>
        <w:trPr/>
        <w:tc>
          <w:tcPr>
            <w:tcW w:w="3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226" w:type="dxa"/>
            <w:gridSpan w:val="6"/>
            <w:tcBorders>
              <w:bottom w:val="single" w:sz="8" w:space="0" w:color="000000"/>
            </w:tcBorders>
            <w:vAlign w:val="center"/>
          </w:tcPr>
          <w:p>
            <w:pPr>
              <w:pStyle w:val="TableContents"/>
              <w:bidi w:val="0"/>
              <w:spacing w:before="0" w:after="283"/>
              <w:jc w:val="center"/>
              <w:rPr>
                <w:b/>
              </w:rPr>
            </w:pPr>
            <w:r>
              <w:rPr>
                <w:b/>
              </w:rPr>
              <w:t>Three months ended March 31,</w:t>
            </w:r>
          </w:p>
        </w:tc>
        <w:tc>
          <w:tcPr>
            <w:tcW w:w="75" w:type="dxa"/>
            <w:tcBorders/>
            <w:tcMar>
              <w:bottom w:w="0" w:type="dxa"/>
            </w:tcMar>
            <w:vAlign w:val="center"/>
          </w:tcPr>
          <w:p>
            <w:pPr>
              <w:pStyle w:val="TableContents"/>
              <w:bidi w:val="0"/>
              <w:spacing w:before="0" w:after="283"/>
              <w:jc w:val="left"/>
              <w:rPr/>
            </w:pPr>
            <w:r>
              <w:rPr/>
              <w:t> </w:t>
            </w:r>
          </w:p>
        </w:tc>
      </w:tr>
      <w:tr>
        <w:trPr/>
        <w:tc>
          <w:tcPr>
            <w:tcW w:w="3290" w:type="dxa"/>
            <w:tcBorders>
              <w:bottom w:val="single" w:sz="8" w:space="0" w:color="000000"/>
            </w:tcBorders>
            <w:vAlign w:val="center"/>
          </w:tcPr>
          <w:p>
            <w:pPr>
              <w:pStyle w:val="TableContents"/>
              <w:bidi w:val="0"/>
              <w:spacing w:before="0" w:after="283"/>
              <w:jc w:val="left"/>
              <w:rPr>
                <w:b/>
              </w:rPr>
            </w:pPr>
            <w:r>
              <w:rPr>
                <w:b/>
              </w:rPr>
              <w:t>(in thousands)</w:t>
            </w:r>
          </w:p>
        </w:tc>
        <w:tc>
          <w:tcPr>
            <w:tcW w:w="60" w:type="dxa"/>
            <w:tcBorders/>
            <w:tcMar>
              <w:bottom w:w="0" w:type="dxa"/>
            </w:tcMar>
            <w:vAlign w:val="center"/>
          </w:tcPr>
          <w:p>
            <w:pPr>
              <w:pStyle w:val="TableContents"/>
              <w:bidi w:val="0"/>
              <w:spacing w:before="0" w:after="283"/>
              <w:jc w:val="left"/>
              <w:rPr/>
            </w:pPr>
            <w:r>
              <w:rPr/>
              <w:t> </w:t>
            </w:r>
          </w:p>
        </w:tc>
        <w:tc>
          <w:tcPr>
            <w:tcW w:w="1686" w:type="dxa"/>
            <w:gridSpan w:val="2"/>
            <w:tcBorders>
              <w:bottom w:val="single" w:sz="8" w:space="0" w:color="000000"/>
            </w:tcBorders>
            <w:vAlign w:val="center"/>
          </w:tcPr>
          <w:p>
            <w:pPr>
              <w:pStyle w:val="TableContents"/>
              <w:bidi w:val="0"/>
              <w:spacing w:before="0" w:after="283"/>
              <w:jc w:val="center"/>
              <w:rPr>
                <w:b/>
              </w:rPr>
            </w:pPr>
            <w:r>
              <w:rPr>
                <w:b/>
              </w:rPr>
              <w:t>2026</w:t>
            </w:r>
          </w:p>
        </w:tc>
        <w:tc>
          <w:tcPr>
            <w:tcW w:w="144" w:type="dxa"/>
            <w:tcBorders/>
            <w:tcMar>
              <w:bottom w:w="0" w:type="dxa"/>
            </w:tcMar>
            <w:vAlign w:val="center"/>
          </w:tcPr>
          <w:p>
            <w:pPr>
              <w:pStyle w:val="TableContents"/>
              <w:bidi w:val="0"/>
              <w:spacing w:before="0" w:after="283"/>
              <w:jc w:val="left"/>
              <w:rPr/>
            </w:pPr>
            <w:r>
              <w:rPr/>
              <w:t> </w:t>
            </w:r>
          </w:p>
        </w:tc>
        <w:tc>
          <w:tcPr>
            <w:tcW w:w="144" w:type="dxa"/>
            <w:tcBorders/>
            <w:tcMar>
              <w:bottom w:w="0" w:type="dxa"/>
            </w:tcMar>
            <w:vAlign w:val="center"/>
          </w:tcPr>
          <w:p>
            <w:pPr>
              <w:pStyle w:val="TableContents"/>
              <w:bidi w:val="0"/>
              <w:spacing w:before="0" w:after="283"/>
              <w:jc w:val="left"/>
              <w:rPr/>
            </w:pPr>
            <w:r>
              <w:rPr/>
              <w:t> </w:t>
            </w:r>
          </w:p>
        </w:tc>
        <w:tc>
          <w:tcPr>
            <w:tcW w:w="1252" w:type="dxa"/>
            <w:gridSpan w:val="2"/>
            <w:tcBorders>
              <w:bottom w:val="single" w:sz="8" w:space="0" w:color="000000"/>
            </w:tcBorders>
            <w:vAlign w:val="center"/>
          </w:tcPr>
          <w:p>
            <w:pPr>
              <w:pStyle w:val="TableContents"/>
              <w:bidi w:val="0"/>
              <w:spacing w:before="0" w:after="283"/>
              <w:jc w:val="center"/>
              <w:rPr>
                <w:b/>
              </w:rPr>
            </w:pPr>
            <w:r>
              <w:rPr>
                <w:b/>
              </w:rPr>
              <w:t>2025</w:t>
            </w:r>
          </w:p>
        </w:tc>
        <w:tc>
          <w:tcPr>
            <w:tcW w:w="75" w:type="dxa"/>
            <w:tcBorders/>
            <w:tcMar>
              <w:bottom w:w="0" w:type="dxa"/>
            </w:tcMar>
            <w:vAlign w:val="center"/>
          </w:tcPr>
          <w:p>
            <w:pPr>
              <w:pStyle w:val="TableContents"/>
              <w:bidi w:val="0"/>
              <w:spacing w:before="0" w:after="283"/>
              <w:jc w:val="left"/>
              <w:rPr/>
            </w:pPr>
            <w:r>
              <w:rPr/>
              <w:t> </w:t>
            </w:r>
            <w:bookmarkStart w:id="455" w:name="xdx_407_eus-gaap--ShareBasedCompensation"/>
            <w:bookmarkEnd w:id="455"/>
          </w:p>
        </w:tc>
      </w:tr>
      <w:tr>
        <w:trPr/>
        <w:tc>
          <w:tcPr>
            <w:tcW w:w="3290" w:type="dxa"/>
            <w:tcBorders/>
            <w:shd w:fill="CCEEFF" w:val="clear"/>
            <w:tcMar>
              <w:bottom w:w="0" w:type="dxa"/>
            </w:tcMar>
            <w:vAlign w:val="center"/>
          </w:tcPr>
          <w:p>
            <w:pPr>
              <w:pStyle w:val="TableContents"/>
              <w:bidi w:val="0"/>
              <w:spacing w:before="0" w:after="283"/>
              <w:jc w:val="left"/>
              <w:rPr/>
            </w:pPr>
            <w:r>
              <w:rPr/>
              <w:t>Selling, general and administrative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7" w:type="dxa"/>
            <w:tcBorders/>
            <w:shd w:fill="CCEEFF" w:val="clear"/>
            <w:tcMar>
              <w:bottom w:w="0" w:type="dxa"/>
            </w:tcMar>
            <w:vAlign w:val="center"/>
          </w:tcPr>
          <w:p>
            <w:pPr>
              <w:pStyle w:val="TableContents"/>
              <w:bidi w:val="0"/>
              <w:spacing w:before="0" w:after="283"/>
              <w:jc w:val="left"/>
              <w:rPr/>
            </w:pPr>
            <w:r>
              <w:rPr/>
              <w:t>$</w:t>
            </w:r>
          </w:p>
        </w:tc>
        <w:tc>
          <w:tcPr>
            <w:tcW w:w="1349" w:type="dxa"/>
            <w:tcBorders/>
            <w:shd w:fill="CCEEFF" w:val="clear"/>
            <w:tcMar>
              <w:bottom w:w="0" w:type="dxa"/>
            </w:tcMar>
            <w:vAlign w:val="center"/>
          </w:tcPr>
          <w:p>
            <w:pPr>
              <w:pStyle w:val="TableContents"/>
              <w:bidi w:val="0"/>
              <w:spacing w:before="0" w:after="283"/>
              <w:jc w:val="right"/>
              <w:rPr/>
            </w:pPr>
            <w:r>
              <w:rPr/>
              <w:t>985</w:t>
            </w:r>
          </w:p>
        </w:tc>
        <w:tc>
          <w:tcPr>
            <w:tcW w:w="144"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 </w:t>
            </w:r>
          </w:p>
        </w:tc>
        <w:tc>
          <w:tcPr>
            <w:tcW w:w="337" w:type="dxa"/>
            <w:tcBorders/>
            <w:shd w:fill="CCEEFF" w:val="clear"/>
            <w:tcMar>
              <w:bottom w:w="0" w:type="dxa"/>
            </w:tcMar>
            <w:vAlign w:val="center"/>
          </w:tcPr>
          <w:p>
            <w:pPr>
              <w:pStyle w:val="TableContents"/>
              <w:bidi w:val="0"/>
              <w:spacing w:before="0" w:after="283"/>
              <w:jc w:val="left"/>
              <w:rPr/>
            </w:pPr>
            <w:r>
              <w:rPr/>
              <w:t>$</w:t>
            </w:r>
          </w:p>
        </w:tc>
        <w:tc>
          <w:tcPr>
            <w:tcW w:w="915" w:type="dxa"/>
            <w:tcBorders/>
            <w:shd w:fill="CCEEFF" w:val="clear"/>
            <w:tcMar>
              <w:bottom w:w="0" w:type="dxa"/>
            </w:tcMar>
            <w:vAlign w:val="center"/>
          </w:tcPr>
          <w:p>
            <w:pPr>
              <w:pStyle w:val="TableContents"/>
              <w:bidi w:val="0"/>
              <w:spacing w:before="0" w:after="283"/>
              <w:jc w:val="right"/>
              <w:rPr/>
            </w:pPr>
            <w:r>
              <w:rPr/>
              <w:t>500</w:t>
            </w:r>
          </w:p>
        </w:tc>
        <w:tc>
          <w:tcPr>
            <w:tcW w:w="75" w:type="dxa"/>
            <w:tcBorders/>
            <w:shd w:fill="CCEEFF" w:val="clear"/>
            <w:tcMar>
              <w:bottom w:w="0" w:type="dxa"/>
            </w:tcMar>
            <w:vAlign w:val="center"/>
          </w:tcPr>
          <w:p>
            <w:pPr>
              <w:pStyle w:val="TableContents"/>
              <w:bidi w:val="0"/>
              <w:spacing w:before="0" w:after="283"/>
              <w:jc w:val="left"/>
              <w:rPr/>
            </w:pPr>
            <w:r>
              <w:rPr/>
              <w:t> </w:t>
            </w:r>
            <w:bookmarkStart w:id="456" w:name="xdx_405_eus-gaap--ShareBasedCompensation"/>
            <w:bookmarkEnd w:id="456"/>
          </w:p>
        </w:tc>
      </w:tr>
      <w:tr>
        <w:trPr/>
        <w:tc>
          <w:tcPr>
            <w:tcW w:w="3290" w:type="dxa"/>
            <w:tcBorders/>
            <w:shd w:fill="FFFFFF" w:val="clear"/>
            <w:tcMar>
              <w:bottom w:w="0" w:type="dxa"/>
            </w:tcMar>
            <w:vAlign w:val="center"/>
          </w:tcPr>
          <w:p>
            <w:pPr>
              <w:pStyle w:val="TableContents"/>
              <w:bidi w:val="0"/>
              <w:spacing w:before="0" w:after="283"/>
              <w:jc w:val="left"/>
              <w:rPr/>
            </w:pPr>
            <w:r>
              <w:rPr/>
              <w:t>Research and development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7" w:type="dxa"/>
            <w:tcBorders/>
            <w:shd w:fill="FFFFFF" w:val="clear"/>
            <w:tcMar>
              <w:bottom w:w="0" w:type="dxa"/>
            </w:tcMar>
            <w:vAlign w:val="center"/>
          </w:tcPr>
          <w:p>
            <w:pPr>
              <w:pStyle w:val="TableContents"/>
              <w:bidi w:val="0"/>
              <w:spacing w:before="0" w:after="283"/>
              <w:jc w:val="left"/>
              <w:rPr/>
            </w:pPr>
            <w:r>
              <w:rPr/>
              <w:t> </w:t>
            </w:r>
          </w:p>
        </w:tc>
        <w:tc>
          <w:tcPr>
            <w:tcW w:w="1349" w:type="dxa"/>
            <w:tcBorders/>
            <w:shd w:fill="FFFFFF" w:val="clear"/>
            <w:tcMar>
              <w:bottom w:w="0" w:type="dxa"/>
            </w:tcMar>
            <w:vAlign w:val="center"/>
          </w:tcPr>
          <w:p>
            <w:pPr>
              <w:pStyle w:val="TableContents"/>
              <w:bidi w:val="0"/>
              <w:spacing w:before="0" w:after="283"/>
              <w:jc w:val="right"/>
              <w:rPr/>
            </w:pPr>
            <w:r>
              <w:rPr/>
              <w:t>8</w:t>
            </w:r>
          </w:p>
        </w:tc>
        <w:tc>
          <w:tcPr>
            <w:tcW w:w="144"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jc w:val="left"/>
              <w:rPr/>
            </w:pPr>
            <w:r>
              <w:rPr/>
              <w:t> </w:t>
            </w:r>
          </w:p>
        </w:tc>
        <w:tc>
          <w:tcPr>
            <w:tcW w:w="337" w:type="dxa"/>
            <w:tcBorders/>
            <w:shd w:fill="FFFFFF" w:val="clear"/>
            <w:tcMar>
              <w:bottom w:w="0" w:type="dxa"/>
            </w:tcMar>
            <w:vAlign w:val="center"/>
          </w:tcPr>
          <w:p>
            <w:pPr>
              <w:pStyle w:val="TableContents"/>
              <w:bidi w:val="0"/>
              <w:spacing w:before="0" w:after="283"/>
              <w:jc w:val="left"/>
              <w:rPr/>
            </w:pPr>
            <w:r>
              <w:rPr/>
              <w:t> </w:t>
            </w:r>
          </w:p>
        </w:tc>
        <w:tc>
          <w:tcPr>
            <w:tcW w:w="915" w:type="dxa"/>
            <w:tcBorders/>
            <w:shd w:fill="FFFFFF" w:val="clear"/>
            <w:tcMar>
              <w:bottom w:w="0" w:type="dxa"/>
            </w:tcMar>
            <w:vAlign w:val="center"/>
          </w:tcPr>
          <w:p>
            <w:pPr>
              <w:pStyle w:val="TableContents"/>
              <w:bidi w:val="0"/>
              <w:spacing w:before="0" w:after="283"/>
              <w:jc w:val="right"/>
              <w:rPr/>
            </w:pPr>
            <w:r>
              <w:rPr/>
              <w:t>24</w:t>
            </w:r>
          </w:p>
        </w:tc>
        <w:tc>
          <w:tcPr>
            <w:tcW w:w="75" w:type="dxa"/>
            <w:tcBorders/>
            <w:shd w:fill="FFFFFF" w:val="clear"/>
            <w:tcMar>
              <w:bottom w:w="0" w:type="dxa"/>
            </w:tcMar>
            <w:vAlign w:val="center"/>
          </w:tcPr>
          <w:p>
            <w:pPr>
              <w:pStyle w:val="TableContents"/>
              <w:bidi w:val="0"/>
              <w:spacing w:before="0" w:after="283"/>
              <w:jc w:val="left"/>
              <w:rPr/>
            </w:pPr>
            <w:r>
              <w:rPr/>
              <w:t> </w:t>
            </w:r>
            <w:bookmarkStart w:id="457" w:name="xdx_40B_eus-gaap--ShareBasedCompensation"/>
            <w:bookmarkEnd w:id="457"/>
          </w:p>
        </w:tc>
      </w:tr>
      <w:tr>
        <w:trPr/>
        <w:tc>
          <w:tcPr>
            <w:tcW w:w="3290" w:type="dxa"/>
            <w:tcBorders/>
            <w:shd w:fill="CCEEFF" w:val="clear"/>
            <w:tcMar>
              <w:bottom w:w="0" w:type="dxa"/>
            </w:tcMar>
            <w:vAlign w:val="center"/>
          </w:tcPr>
          <w:p>
            <w:pPr>
              <w:pStyle w:val="TableContents"/>
              <w:bidi w:val="0"/>
              <w:spacing w:before="0" w:after="283"/>
              <w:jc w:val="left"/>
              <w:rPr/>
            </w:pPr>
            <w:r>
              <w:rPr/>
              <w:t>Cost of goods sold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7" w:type="dxa"/>
            <w:tcBorders>
              <w:bottom w:val="single" w:sz="8" w:space="0" w:color="000000"/>
            </w:tcBorders>
            <w:shd w:fill="CCEEFF" w:val="clear"/>
            <w:vAlign w:val="center"/>
          </w:tcPr>
          <w:p>
            <w:pPr>
              <w:pStyle w:val="TableContents"/>
              <w:bidi w:val="0"/>
              <w:spacing w:before="0" w:after="283"/>
              <w:jc w:val="left"/>
              <w:rPr/>
            </w:pPr>
            <w:r>
              <w:rPr/>
              <w:t> </w:t>
            </w:r>
          </w:p>
        </w:tc>
        <w:tc>
          <w:tcPr>
            <w:tcW w:w="1349" w:type="dxa"/>
            <w:tcBorders>
              <w:bottom w:val="single" w:sz="8" w:space="0" w:color="000000"/>
            </w:tcBorders>
            <w:shd w:fill="CCEEFF" w:val="clear"/>
            <w:vAlign w:val="center"/>
          </w:tcPr>
          <w:p>
            <w:pPr>
              <w:pStyle w:val="TableContents"/>
              <w:bidi w:val="0"/>
              <w:spacing w:before="0" w:after="283"/>
              <w:jc w:val="right"/>
              <w:rPr/>
            </w:pPr>
            <w:r>
              <w:rPr/>
              <w:t>43</w:t>
            </w:r>
          </w:p>
        </w:tc>
        <w:tc>
          <w:tcPr>
            <w:tcW w:w="144"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 </w:t>
            </w:r>
          </w:p>
        </w:tc>
        <w:tc>
          <w:tcPr>
            <w:tcW w:w="337" w:type="dxa"/>
            <w:tcBorders>
              <w:bottom w:val="single" w:sz="8" w:space="0" w:color="000000"/>
            </w:tcBorders>
            <w:shd w:fill="CCEEFF" w:val="clear"/>
            <w:vAlign w:val="center"/>
          </w:tcPr>
          <w:p>
            <w:pPr>
              <w:pStyle w:val="TableContents"/>
              <w:bidi w:val="0"/>
              <w:spacing w:before="0" w:after="283"/>
              <w:jc w:val="left"/>
              <w:rPr/>
            </w:pPr>
            <w:r>
              <w:rPr/>
              <w:t> </w:t>
            </w:r>
          </w:p>
        </w:tc>
        <w:tc>
          <w:tcPr>
            <w:tcW w:w="915" w:type="dxa"/>
            <w:tcBorders>
              <w:bottom w:val="single" w:sz="8" w:space="0" w:color="000000"/>
            </w:tcBorders>
            <w:shd w:fill="CCEEFF" w:val="clear"/>
            <w:vAlign w:val="center"/>
          </w:tcPr>
          <w:p>
            <w:pPr>
              <w:pStyle w:val="TableContents"/>
              <w:bidi w:val="0"/>
              <w:spacing w:before="0" w:after="283"/>
              <w:jc w:val="right"/>
              <w:rPr/>
            </w:pPr>
            <w:r>
              <w:rPr/>
              <w:t>16</w:t>
            </w:r>
          </w:p>
        </w:tc>
        <w:tc>
          <w:tcPr>
            <w:tcW w:w="75" w:type="dxa"/>
            <w:tcBorders/>
            <w:shd w:fill="CCEEFF" w:val="clear"/>
            <w:tcMar>
              <w:bottom w:w="0" w:type="dxa"/>
            </w:tcMar>
            <w:vAlign w:val="center"/>
          </w:tcPr>
          <w:p>
            <w:pPr>
              <w:pStyle w:val="TableContents"/>
              <w:bidi w:val="0"/>
              <w:spacing w:before="0" w:after="283"/>
              <w:jc w:val="left"/>
              <w:rPr/>
            </w:pPr>
            <w:r>
              <w:rPr/>
              <w:t> </w:t>
            </w:r>
            <w:bookmarkStart w:id="458" w:name="xdx_403_eus-gaap--ShareBasedCompensation"/>
            <w:bookmarkEnd w:id="458"/>
          </w:p>
        </w:tc>
      </w:tr>
      <w:tr>
        <w:trPr/>
        <w:tc>
          <w:tcPr>
            <w:tcW w:w="3290" w:type="dxa"/>
            <w:tcBorders/>
            <w:shd w:fill="FFFFFF" w:val="clear"/>
            <w:tcMar>
              <w:bottom w:w="0" w:type="dxa"/>
            </w:tcMar>
            <w:vAlign w:val="center"/>
          </w:tcPr>
          <w:p>
            <w:pPr>
              <w:pStyle w:val="TableContents"/>
              <w:bidi w:val="0"/>
              <w:spacing w:before="0" w:after="283"/>
              <w:jc w:val="left"/>
              <w:rPr/>
            </w:pPr>
            <w:r>
              <w:rPr/>
              <w:t>Total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7" w:type="dxa"/>
            <w:tcBorders>
              <w:bottom w:val="double" w:sz="6" w:space="0" w:color="000000"/>
            </w:tcBorders>
            <w:shd w:fill="FFFFFF" w:val="clear"/>
            <w:vAlign w:val="center"/>
          </w:tcPr>
          <w:p>
            <w:pPr>
              <w:pStyle w:val="TableContents"/>
              <w:bidi w:val="0"/>
              <w:spacing w:before="0" w:after="283"/>
              <w:jc w:val="left"/>
              <w:rPr/>
            </w:pPr>
            <w:r>
              <w:rPr/>
              <w:t>$</w:t>
            </w:r>
          </w:p>
        </w:tc>
        <w:tc>
          <w:tcPr>
            <w:tcW w:w="1349" w:type="dxa"/>
            <w:tcBorders>
              <w:bottom w:val="double" w:sz="6" w:space="0" w:color="000000"/>
            </w:tcBorders>
            <w:shd w:fill="FFFFFF" w:val="clear"/>
            <w:vAlign w:val="center"/>
          </w:tcPr>
          <w:p>
            <w:pPr>
              <w:pStyle w:val="TableContents"/>
              <w:bidi w:val="0"/>
              <w:spacing w:before="0" w:after="283"/>
              <w:jc w:val="right"/>
              <w:rPr/>
            </w:pPr>
            <w:r>
              <w:rPr/>
              <w:t>1,036</w:t>
            </w:r>
          </w:p>
        </w:tc>
        <w:tc>
          <w:tcPr>
            <w:tcW w:w="144"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jc w:val="left"/>
              <w:rPr/>
            </w:pPr>
            <w:r>
              <w:rPr/>
              <w:t> </w:t>
            </w:r>
          </w:p>
        </w:tc>
        <w:tc>
          <w:tcPr>
            <w:tcW w:w="337" w:type="dxa"/>
            <w:tcBorders>
              <w:bottom w:val="double" w:sz="6" w:space="0" w:color="000000"/>
            </w:tcBorders>
            <w:shd w:fill="FFFFFF" w:val="clear"/>
            <w:vAlign w:val="center"/>
          </w:tcPr>
          <w:p>
            <w:pPr>
              <w:pStyle w:val="TableContents"/>
              <w:bidi w:val="0"/>
              <w:spacing w:before="0" w:after="283"/>
              <w:jc w:val="left"/>
              <w:rPr/>
            </w:pPr>
            <w:r>
              <w:rPr/>
              <w:t>$</w:t>
            </w:r>
          </w:p>
        </w:tc>
        <w:tc>
          <w:tcPr>
            <w:tcW w:w="915" w:type="dxa"/>
            <w:tcBorders>
              <w:bottom w:val="double" w:sz="6" w:space="0" w:color="000000"/>
            </w:tcBorders>
            <w:shd w:fill="FFFFFF" w:val="clear"/>
            <w:vAlign w:val="center"/>
          </w:tcPr>
          <w:p>
            <w:pPr>
              <w:pStyle w:val="TableContents"/>
              <w:bidi w:val="0"/>
              <w:spacing w:before="0" w:after="283"/>
              <w:jc w:val="right"/>
              <w:rPr/>
            </w:pPr>
            <w:r>
              <w:rPr/>
              <w:t>540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459" w:name="xdx_8A8_zTkx6xkEd468"/>
      <w:bookmarkEnd w:id="459"/>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460" w:name="xdx_89E_eus-gaap--ScheduleOfShareBasedCo"/>
      <w:bookmarkEnd w:id="460"/>
      <w:r>
        <w:rPr>
          <w:rFonts w:ascii="Times New Roman;Times;Serif" w:hAnsi="Times New Roman;Times;Serif"/>
          <w:b w:val="false"/>
          <w:i w:val="false"/>
          <w:caps w:val="false"/>
          <w:smallCaps w:val="false"/>
          <w:sz w:val="20"/>
        </w:rPr>
        <w:t>The following table presents a summary of stock option award activity during the three months ended March 31, 2026:</w:t>
      </w:r>
    </w:p>
    <w:p>
      <w:pPr>
        <w:pStyle w:val="TextBody"/>
        <w:bidi w:val="0"/>
        <w:spacing w:before="0" w:after="0"/>
        <w:ind w:left="0" w:right="0" w:hanging="0"/>
        <w:jc w:val="left"/>
        <w:rPr>
          <w:caps w:val="false"/>
          <w:smallCaps w:val="false"/>
        </w:rPr>
      </w:pPr>
      <w:r>
        <w:rPr>
          <w:caps w:val="false"/>
          <w:smallCaps w:val="false"/>
        </w:rPr>
        <w:t> </w:t>
      </w:r>
      <w:bookmarkStart w:id="461" w:name="xdx_8B0_z2lJhHnmJXy1"/>
      <w:bookmarkEnd w:id="461"/>
      <w:r>
        <w:rPr>
          <w:rFonts w:ascii="Times New Roman;Times;Serif" w:hAnsi="Times New Roman;Times;Serif"/>
          <w:b w:val="false"/>
          <w:i w:val="false"/>
          <w:caps w:val="false"/>
          <w:smallCaps w:val="false"/>
          <w:sz w:val="20"/>
        </w:rPr>
        <w:t>Schedule of Outstanding Stock Options</w:t>
      </w:r>
    </w:p>
    <w:tbl>
      <w:tblPr>
        <w:tblW w:w="10205" w:type="dxa"/>
        <w:jc w:val="left"/>
        <w:tblInd w:w="0" w:type="dxa"/>
        <w:tblLayout w:type="fixed"/>
        <w:tblCellMar>
          <w:top w:w="0" w:type="dxa"/>
          <w:left w:w="0" w:type="dxa"/>
          <w:bottom w:w="0" w:type="dxa"/>
          <w:right w:w="0" w:type="dxa"/>
        </w:tblCellMar>
      </w:tblPr>
      <w:tblGrid>
        <w:gridCol w:w="1704"/>
        <w:gridCol w:w="60"/>
        <w:gridCol w:w="237"/>
        <w:gridCol w:w="1517"/>
        <w:gridCol w:w="95"/>
        <w:gridCol w:w="60"/>
        <w:gridCol w:w="338"/>
        <w:gridCol w:w="1353"/>
        <w:gridCol w:w="60"/>
        <w:gridCol w:w="60"/>
        <w:gridCol w:w="404"/>
        <w:gridCol w:w="2161"/>
        <w:gridCol w:w="60"/>
        <w:gridCol w:w="60"/>
        <w:gridCol w:w="526"/>
        <w:gridCol w:w="1430"/>
        <w:gridCol w:w="80"/>
      </w:tblGrid>
      <w:tr>
        <w:trPr/>
        <w:tc>
          <w:tcPr>
            <w:tcW w:w="17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Options (in thousands)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 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 Remaining Contractual Term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Aggregate Intrinsic Value (in thousands)</w:t>
            </w:r>
          </w:p>
        </w:tc>
        <w:tc>
          <w:tcPr>
            <w:tcW w:w="80" w:type="dxa"/>
            <w:tcBorders/>
            <w:vAlign w:val="center"/>
          </w:tcPr>
          <w:p>
            <w:pPr>
              <w:pStyle w:val="TableContents"/>
              <w:bidi w:val="0"/>
              <w:spacing w:before="0" w:after="283"/>
              <w:jc w:val="left"/>
              <w:rPr/>
            </w:pPr>
            <w:r>
              <w:rPr/>
              <w:t> </w:t>
            </w:r>
          </w:p>
        </w:tc>
      </w:tr>
      <w:tr>
        <w:trPr/>
        <w:tc>
          <w:tcPr>
            <w:tcW w:w="1704" w:type="dxa"/>
            <w:tcBorders/>
            <w:shd w:fill="CCEEFF" w:val="clear"/>
            <w:vAlign w:val="center"/>
          </w:tcPr>
          <w:p>
            <w:pPr>
              <w:pStyle w:val="TableContents"/>
              <w:bidi w:val="0"/>
              <w:spacing w:before="0" w:after="283"/>
              <w:jc w:val="left"/>
              <w:rPr/>
            </w:pPr>
            <w:r>
              <w:rPr/>
              <w:t>Outstanding, January 1, 2026</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bookmarkStart w:id="462" w:name="xdx_983_eus-gaap--ShareBasedCompensation"/>
            <w:bookmarkEnd w:id="462"/>
          </w:p>
        </w:tc>
        <w:tc>
          <w:tcPr>
            <w:tcW w:w="1517" w:type="dxa"/>
            <w:tcBorders/>
            <w:shd w:fill="CCEEFF" w:val="clear"/>
            <w:vAlign w:val="center"/>
          </w:tcPr>
          <w:p>
            <w:pPr>
              <w:pStyle w:val="TableContents"/>
              <w:bidi w:val="0"/>
              <w:spacing w:before="0" w:after="283"/>
              <w:jc w:val="right"/>
              <w:rPr/>
            </w:pPr>
            <w:r>
              <w:rPr/>
              <w:t>518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w:t>
            </w:r>
            <w:bookmarkStart w:id="463" w:name="xdx_987_eus-gaap--ShareBasedCompensation"/>
            <w:bookmarkEnd w:id="463"/>
          </w:p>
        </w:tc>
        <w:tc>
          <w:tcPr>
            <w:tcW w:w="1353" w:type="dxa"/>
            <w:tcBorders/>
            <w:shd w:fill="CCEEFF" w:val="clear"/>
            <w:vAlign w:val="center"/>
          </w:tcPr>
          <w:p>
            <w:pPr>
              <w:pStyle w:val="TableContents"/>
              <w:bidi w:val="0"/>
              <w:spacing w:before="0" w:after="283"/>
              <w:jc w:val="right"/>
              <w:rPr/>
            </w:pPr>
            <w:r>
              <w:rPr/>
              <w:t>32.56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left"/>
              <w:rPr/>
            </w:pPr>
            <w:r>
              <w:rPr/>
              <w:t> </w:t>
            </w:r>
          </w:p>
        </w:tc>
        <w:tc>
          <w:tcPr>
            <w:tcW w:w="2161" w:type="dxa"/>
            <w:tcBorders/>
            <w:shd w:fill="CCEEFF" w:val="clear"/>
            <w:vAlign w:val="center"/>
          </w:tcPr>
          <w:p>
            <w:pPr>
              <w:pStyle w:val="TableContents"/>
              <w:bidi w:val="0"/>
              <w:spacing w:before="0" w:after="283"/>
              <w:jc w:val="right"/>
              <w:rPr/>
            </w:pPr>
            <w:bookmarkStart w:id="464" w:name="xdx_90E_eus-gaap--SharebasedCompensation"/>
            <w:bookmarkEnd w:id="464"/>
            <w:r>
              <w:rPr/>
              <w:t>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pPr>
            <w:r>
              <w:rPr/>
              <w:t>$</w:t>
            </w:r>
            <w:bookmarkStart w:id="465" w:name="xdx_98C_eus-gaap--ShareBasedCompensation"/>
            <w:bookmarkEnd w:id="465"/>
          </w:p>
        </w:tc>
        <w:tc>
          <w:tcPr>
            <w:tcW w:w="1430" w:type="dxa"/>
            <w:tcBorders/>
            <w:shd w:fill="CCEEFF" w:val="clear"/>
            <w:vAlign w:val="center"/>
          </w:tcPr>
          <w:p>
            <w:pPr>
              <w:pStyle w:val="TableContents"/>
              <w:bidi w:val="0"/>
              <w:spacing w:before="0" w:after="283"/>
              <w:jc w:val="right"/>
              <w:rPr/>
            </w:pPr>
            <w:r>
              <w:rPr/>
              <w:t>1</w:t>
            </w:r>
          </w:p>
        </w:tc>
        <w:tc>
          <w:tcPr>
            <w:tcW w:w="80" w:type="dxa"/>
            <w:tcBorders/>
            <w:shd w:fill="CCEEFF" w:val="clear"/>
            <w:vAlign w:val="center"/>
          </w:tcPr>
          <w:p>
            <w:pPr>
              <w:pStyle w:val="TableContents"/>
              <w:bidi w:val="0"/>
              <w:spacing w:before="0" w:after="283"/>
              <w:jc w:val="left"/>
              <w:rPr/>
            </w:pPr>
            <w:r>
              <w:rPr/>
              <w:t> </w:t>
            </w:r>
          </w:p>
        </w:tc>
      </w:tr>
      <w:tr>
        <w:trPr/>
        <w:tc>
          <w:tcPr>
            <w:tcW w:w="1704"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bookmarkStart w:id="466" w:name="xdx_984_eus-gaap--ShareBasedCompensation"/>
            <w:bookmarkEnd w:id="466"/>
          </w:p>
        </w:tc>
        <w:tc>
          <w:tcPr>
            <w:tcW w:w="151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35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216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1704"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bookmarkStart w:id="467" w:name="xdx_981_eus-gaap--StockIssuedDuringPerio"/>
            <w:bookmarkEnd w:id="467"/>
          </w:p>
        </w:tc>
        <w:tc>
          <w:tcPr>
            <w:tcW w:w="1517" w:type="dxa"/>
            <w:tcBorders/>
            <w:shd w:fill="CCEEFF" w:val="cle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left"/>
              <w:rPr/>
            </w:pPr>
            <w:r>
              <w:rPr/>
              <w:t> </w:t>
            </w:r>
            <w:bookmarkStart w:id="468" w:name="xdx_988_eus-gaap--ShareBasedCompensation"/>
            <w:bookmarkEnd w:id="468"/>
          </w:p>
        </w:tc>
        <w:tc>
          <w:tcPr>
            <w:tcW w:w="1353" w:type="dxa"/>
            <w:tcBorders/>
            <w:shd w:fill="CCEEFF" w:val="clear"/>
            <w:vAlign w:val="center"/>
          </w:tcPr>
          <w:p>
            <w:pPr>
              <w:pStyle w:val="TableContents"/>
              <w:bidi w:val="0"/>
              <w:spacing w:before="0" w:after="283"/>
              <w:jc w:val="right"/>
              <w:rPr/>
            </w:pPr>
            <w:r>
              <w:rPr/>
              <w:t>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left"/>
              <w:rPr/>
            </w:pPr>
            <w:r>
              <w:rPr/>
              <w:t> </w:t>
            </w:r>
          </w:p>
        </w:tc>
        <w:tc>
          <w:tcPr>
            <w:tcW w:w="216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6"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1704" w:type="dxa"/>
            <w:tcBorders/>
            <w:shd w:fill="FFFFFF" w:val="clear"/>
            <w:vAlign w:val="center"/>
          </w:tcPr>
          <w:p>
            <w:pPr>
              <w:pStyle w:val="TableContents"/>
              <w:bidi w:val="0"/>
              <w:spacing w:before="0" w:after="283"/>
              <w:jc w:val="left"/>
              <w:rPr/>
            </w:pPr>
            <w:r>
              <w:rPr/>
              <w:t>Cancelled</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bookmarkStart w:id="469" w:name="xdx_98D_eus-gaap--ShareBasedCompensation"/>
            <w:bookmarkEnd w:id="469"/>
          </w:p>
        </w:tc>
        <w:tc>
          <w:tcPr>
            <w:tcW w:w="151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35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216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1704" w:type="dxa"/>
            <w:tcBorders/>
            <w:shd w:fill="CCEEFF" w:val="clear"/>
            <w:vAlign w:val="center"/>
          </w:tcPr>
          <w:p>
            <w:pPr>
              <w:pStyle w:val="TableContents"/>
              <w:bidi w:val="0"/>
              <w:spacing w:before="0" w:after="283"/>
              <w:jc w:val="left"/>
              <w:rPr/>
            </w:pPr>
            <w:r>
              <w:rPr/>
              <w:t>Expired</w:t>
            </w:r>
          </w:p>
        </w:tc>
        <w:tc>
          <w:tcPr>
            <w:tcW w:w="60" w:type="dxa"/>
            <w:tcBorders/>
            <w:shd w:fill="CCEEFF" w:val="clear"/>
            <w:vAlign w:val="center"/>
          </w:tcPr>
          <w:p>
            <w:pPr>
              <w:pStyle w:val="TableContents"/>
              <w:bidi w:val="0"/>
              <w:spacing w:before="0" w:after="283"/>
              <w:jc w:val="left"/>
              <w:rPr/>
            </w:pPr>
            <w:r>
              <w:rPr/>
              <w:t> </w:t>
            </w:r>
          </w:p>
        </w:tc>
        <w:tc>
          <w:tcPr>
            <w:tcW w:w="23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70" w:name="xdx_983_eus-gaap--ShareBasedCompensation"/>
            <w:bookmarkEnd w:id="470"/>
          </w:p>
        </w:tc>
        <w:tc>
          <w:tcPr>
            <w:tcW w:w="151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53"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161"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1704" w:type="dxa"/>
            <w:tcBorders/>
            <w:shd w:fill="FFFFFF" w:val="clear"/>
            <w:vAlign w:val="center"/>
          </w:tcPr>
          <w:p>
            <w:pPr>
              <w:pStyle w:val="TableContents"/>
              <w:bidi w:val="0"/>
              <w:spacing w:before="0" w:after="283"/>
              <w:jc w:val="left"/>
              <w:rPr/>
            </w:pPr>
            <w:r>
              <w:rPr/>
              <w:t>Outstanding, March 31, 2026</w:t>
            </w:r>
          </w:p>
        </w:tc>
        <w:tc>
          <w:tcPr>
            <w:tcW w:w="60" w:type="dxa"/>
            <w:tcBorders/>
            <w:shd w:fill="FFFFFF" w:val="cle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471" w:name="xdx_98D_eus-gaap--ShareBasedCompensation"/>
            <w:bookmarkEnd w:id="471"/>
          </w:p>
        </w:tc>
        <w:tc>
          <w:tcPr>
            <w:tcW w:w="1517" w:type="dxa"/>
            <w:tcBorders>
              <w:bottom w:val="double" w:sz="6" w:space="0" w:color="000000"/>
            </w:tcBorders>
            <w:shd w:fill="FFFFFF" w:val="clear"/>
            <w:tcMar>
              <w:bottom w:w="28" w:type="dxa"/>
            </w:tcMar>
            <w:vAlign w:val="center"/>
          </w:tcPr>
          <w:p>
            <w:pPr>
              <w:pStyle w:val="TableContents"/>
              <w:bidi w:val="0"/>
              <w:spacing w:before="0" w:after="283"/>
              <w:jc w:val="right"/>
              <w:rPr/>
            </w:pPr>
            <w:r>
              <w:rPr/>
              <w:t>516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72" w:name="xdx_98E_eus-gaap--ShareBasedCompensation"/>
            <w:bookmarkEnd w:id="472"/>
          </w:p>
        </w:tc>
        <w:tc>
          <w:tcPr>
            <w:tcW w:w="1353" w:type="dxa"/>
            <w:tcBorders>
              <w:bottom w:val="double" w:sz="6" w:space="0" w:color="000000"/>
            </w:tcBorders>
            <w:shd w:fill="FFFFFF" w:val="clear"/>
            <w:tcMar>
              <w:bottom w:w="28" w:type="dxa"/>
            </w:tcMar>
            <w:vAlign w:val="center"/>
          </w:tcPr>
          <w:p>
            <w:pPr>
              <w:pStyle w:val="TableContents"/>
              <w:bidi w:val="0"/>
              <w:spacing w:before="0" w:after="283"/>
              <w:jc w:val="right"/>
              <w:rPr/>
            </w:pPr>
            <w:r>
              <w:rPr/>
              <w:t>32.65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161"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473" w:name="xdx_901_eus-gaap--SharebasedCompensation"/>
            <w:bookmarkEnd w:id="473"/>
            <w:r>
              <w:rPr/>
              <w:t>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74" w:name="xdx_983_eus-gaap--ShareBasedCompensation"/>
            <w:bookmarkEnd w:id="474"/>
          </w:p>
        </w:tc>
        <w:tc>
          <w:tcPr>
            <w:tcW w:w="1430" w:type="dxa"/>
            <w:tcBorders>
              <w:bottom w:val="double" w:sz="6" w:space="0" w:color="000000"/>
            </w:tcBorders>
            <w:shd w:fill="FFFFFF" w:val="clear"/>
            <w:tcMar>
              <w:bottom w:w="28" w:type="dxa"/>
            </w:tcMar>
            <w:vAlign w:val="center"/>
          </w:tcPr>
          <w:p>
            <w:pPr>
              <w:pStyle w:val="TableContents"/>
              <w:bidi w:val="0"/>
              <w:spacing w:before="0" w:after="283"/>
              <w:jc w:val="right"/>
              <w:rPr/>
            </w:pPr>
            <w:r>
              <w:rPr/>
              <w:t>281</w:t>
            </w:r>
          </w:p>
        </w:tc>
        <w:tc>
          <w:tcPr>
            <w:tcW w:w="80" w:type="dxa"/>
            <w:tcBorders/>
            <w:shd w:fill="FFFFFF" w:val="clear"/>
            <w:vAlign w:val="center"/>
          </w:tcPr>
          <w:p>
            <w:pPr>
              <w:pStyle w:val="TableContents"/>
              <w:bidi w:val="0"/>
              <w:spacing w:before="0" w:after="283"/>
              <w:jc w:val="left"/>
              <w:rPr/>
            </w:pPr>
            <w:r>
              <w:rPr/>
              <w:t> </w:t>
            </w:r>
          </w:p>
        </w:tc>
      </w:tr>
      <w:tr>
        <w:trPr/>
        <w:tc>
          <w:tcPr>
            <w:tcW w:w="1704" w:type="dxa"/>
            <w:tcBorders/>
            <w:shd w:fill="CCEEFF" w:val="clear"/>
            <w:vAlign w:val="center"/>
          </w:tcPr>
          <w:p>
            <w:pPr>
              <w:pStyle w:val="TableContents"/>
              <w:bidi w:val="0"/>
              <w:spacing w:before="0" w:after="283"/>
              <w:jc w:val="left"/>
              <w:rPr/>
            </w:pPr>
            <w:r>
              <w:rPr/>
              <w:t>Exercisable, March 31, 2026</w:t>
            </w:r>
          </w:p>
        </w:tc>
        <w:tc>
          <w:tcPr>
            <w:tcW w:w="60" w:type="dxa"/>
            <w:tcBorders/>
            <w:shd w:fill="CCEEFF" w:val="clear"/>
            <w:vAlign w:val="center"/>
          </w:tcPr>
          <w:p>
            <w:pPr>
              <w:pStyle w:val="TableContents"/>
              <w:bidi w:val="0"/>
              <w:spacing w:before="0" w:after="283"/>
              <w:jc w:val="left"/>
              <w:rPr/>
            </w:pPr>
            <w:r>
              <w:rPr/>
              <w:t> </w:t>
            </w:r>
          </w:p>
        </w:tc>
        <w:tc>
          <w:tcPr>
            <w:tcW w:w="23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475" w:name="xdx_986_eus-gaap--ShareBasedCompensation"/>
            <w:bookmarkEnd w:id="475"/>
          </w:p>
        </w:tc>
        <w:tc>
          <w:tcPr>
            <w:tcW w:w="1517" w:type="dxa"/>
            <w:tcBorders>
              <w:bottom w:val="double" w:sz="6" w:space="0" w:color="000000"/>
            </w:tcBorders>
            <w:shd w:fill="CCEEFF" w:val="clear"/>
            <w:tcMar>
              <w:bottom w:w="28" w:type="dxa"/>
            </w:tcMar>
            <w:vAlign w:val="center"/>
          </w:tcPr>
          <w:p>
            <w:pPr>
              <w:pStyle w:val="TableContents"/>
              <w:bidi w:val="0"/>
              <w:spacing w:before="0" w:after="283"/>
              <w:jc w:val="right"/>
              <w:rPr/>
            </w:pPr>
            <w:r>
              <w:rPr/>
              <w:t>475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476" w:name="xdx_980_eus-gaap--ShareBasedCompensation"/>
            <w:bookmarkEnd w:id="476"/>
          </w:p>
        </w:tc>
        <w:tc>
          <w:tcPr>
            <w:tcW w:w="1353" w:type="dxa"/>
            <w:tcBorders>
              <w:bottom w:val="double" w:sz="6" w:space="0" w:color="000000"/>
            </w:tcBorders>
            <w:shd w:fill="CCEEFF" w:val="clear"/>
            <w:tcMar>
              <w:bottom w:w="28" w:type="dxa"/>
            </w:tcMar>
            <w:vAlign w:val="center"/>
          </w:tcPr>
          <w:p>
            <w:pPr>
              <w:pStyle w:val="TableContents"/>
              <w:bidi w:val="0"/>
              <w:spacing w:before="0" w:after="283"/>
              <w:jc w:val="right"/>
              <w:rPr/>
            </w:pPr>
            <w:r>
              <w:rPr/>
              <w:t>35.12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161"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477" w:name="xdx_908_eus-gaap--SharebasedCompensation"/>
            <w:bookmarkEnd w:id="477"/>
            <w:r>
              <w:rPr/>
              <w:t>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478" w:name="xdx_987_eus-gaap--SharebasedCompensation"/>
            <w:bookmarkEnd w:id="478"/>
          </w:p>
        </w:tc>
        <w:tc>
          <w:tcPr>
            <w:tcW w:w="1430" w:type="dxa"/>
            <w:tcBorders>
              <w:bottom w:val="double" w:sz="6" w:space="0" w:color="000000"/>
            </w:tcBorders>
            <w:shd w:fill="CCEEFF" w:val="clear"/>
            <w:tcMar>
              <w:bottom w:w="28" w:type="dxa"/>
            </w:tcMar>
            <w:vAlign w:val="center"/>
          </w:tcPr>
          <w:p>
            <w:pPr>
              <w:pStyle w:val="TableContents"/>
              <w:bidi w:val="0"/>
              <w:spacing w:before="0" w:after="283"/>
              <w:jc w:val="right"/>
              <w:rPr/>
            </w:pPr>
            <w:r>
              <w:rPr/>
              <w:t>218</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79" w:name="xdx_8A3_zeD8Dq80pNv6"/>
      <w:bookmarkEnd w:id="47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intrinsic value is calculated as the difference between the fair market value at March 31, 2026 and the exercise price per share of the stock option. The options granted to employees generally vest over a </w:t>
      </w:r>
      <w:bookmarkStart w:id="480" w:name="xdx_90F_eus-gaap--ShareBasedCompensation"/>
      <w:bookmarkEnd w:id="480"/>
      <w:r>
        <w:rPr>
          <w:rFonts w:ascii="Times New Roman;Times;Serif" w:hAnsi="Times New Roman;Times;Serif"/>
          <w:b w:val="false"/>
          <w:i w:val="false"/>
          <w:caps w:val="false"/>
          <w:smallCaps w:val="false"/>
          <w:sz w:val="22"/>
        </w:rPr>
        <w:t>3</w:t>
      </w:r>
      <w:r>
        <w:rPr>
          <w:rFonts w:ascii="Times New Roman;Times;Serif" w:hAnsi="Times New Roman;Times;Serif"/>
          <w:b w:val="false"/>
          <w:i w:val="false"/>
          <w:caps w:val="false"/>
          <w:smallCaps w:val="false"/>
          <w:sz w:val="20"/>
        </w:rPr>
        <w:t>three-year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81" w:name="xdx_89B_eus-gaap--ScheduleOfShareBasedCo"/>
      <w:bookmarkEnd w:id="481"/>
      <w:r>
        <w:rPr>
          <w:rFonts w:ascii="Times New Roman;Times;Serif" w:hAnsi="Times New Roman;Times;Serif"/>
          <w:b w:val="false"/>
          <w:i w:val="false"/>
          <w:caps w:val="false"/>
          <w:smallCaps w:val="false"/>
          <w:sz w:val="20"/>
        </w:rPr>
        <w:t>The following table provides additional information about stock options that are outstanding and exercisable at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bookmarkStart w:id="482" w:name="xdx_8B8_zZ3WHpgscNNa"/>
      <w:bookmarkEnd w:id="482"/>
      <w:r>
        <w:rPr>
          <w:rFonts w:ascii="Times New Roman;Times;Serif" w:hAnsi="Times New Roman;Times;Serif"/>
          <w:b w:val="false"/>
          <w:i w:val="false"/>
          <w:caps w:val="false"/>
          <w:smallCaps w:val="false"/>
          <w:sz w:val="20"/>
        </w:rPr>
        <w:t>Schedule of Stock Options Outstanding and Exercisable</w:t>
      </w:r>
    </w:p>
    <w:tbl>
      <w:tblPr>
        <w:tblW w:w="10205" w:type="dxa"/>
        <w:jc w:val="left"/>
        <w:tblInd w:w="0" w:type="dxa"/>
        <w:tblLayout w:type="fixed"/>
        <w:tblCellMar>
          <w:top w:w="0" w:type="dxa"/>
          <w:left w:w="0" w:type="dxa"/>
          <w:bottom w:w="28" w:type="dxa"/>
          <w:right w:w="0" w:type="dxa"/>
        </w:tblCellMar>
      </w:tblPr>
      <w:tblGrid>
        <w:gridCol w:w="1265"/>
        <w:gridCol w:w="60"/>
        <w:gridCol w:w="314"/>
        <w:gridCol w:w="1998"/>
        <w:gridCol w:w="60"/>
        <w:gridCol w:w="60"/>
        <w:gridCol w:w="4148"/>
        <w:gridCol w:w="60"/>
        <w:gridCol w:w="2240"/>
      </w:tblGrid>
      <w:tr>
        <w:trPr/>
        <w:tc>
          <w:tcPr>
            <w:tcW w:w="1265" w:type="dxa"/>
            <w:tcBorders>
              <w:bottom w:val="single" w:sz="8" w:space="0" w:color="000000"/>
            </w:tcBorders>
            <w:vAlign w:val="center"/>
          </w:tcPr>
          <w:p>
            <w:pPr>
              <w:pStyle w:val="TableContents"/>
              <w:bidi w:val="0"/>
              <w:spacing w:before="0" w:after="283"/>
              <w:jc w:val="center"/>
              <w:rPr>
                <w:b/>
              </w:rPr>
            </w:pPr>
            <w:r>
              <w:rPr>
                <w:b/>
              </w:rPr>
              <w:t>Exercise Price</w:t>
            </w:r>
          </w:p>
        </w:tc>
        <w:tc>
          <w:tcPr>
            <w:tcW w:w="60" w:type="dxa"/>
            <w:tcBorders/>
            <w:tcMar>
              <w:bottom w:w="0" w:type="dxa"/>
            </w:tcMar>
            <w:vAlign w:val="center"/>
          </w:tcPr>
          <w:p>
            <w:pPr>
              <w:pStyle w:val="TableContents"/>
              <w:bidi w:val="0"/>
              <w:spacing w:before="0" w:after="283"/>
              <w:jc w:val="left"/>
              <w:rPr/>
            </w:pPr>
            <w:r>
              <w:rPr/>
              <w:t> </w:t>
            </w:r>
          </w:p>
        </w:tc>
        <w:tc>
          <w:tcPr>
            <w:tcW w:w="2312" w:type="dxa"/>
            <w:gridSpan w:val="2"/>
            <w:tcBorders>
              <w:bottom w:val="single" w:sz="8" w:space="0" w:color="000000"/>
            </w:tcBorders>
            <w:vAlign w:val="center"/>
          </w:tcPr>
          <w:p>
            <w:pPr>
              <w:pStyle w:val="TableContents"/>
              <w:bidi w:val="0"/>
              <w:spacing w:before="0" w:after="283"/>
              <w:jc w:val="center"/>
              <w:rPr>
                <w:b/>
              </w:rPr>
            </w:pPr>
            <w:r>
              <w:rPr>
                <w:b/>
              </w:rPr>
              <w:t>Options Outstanding (in thousands)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148" w:type="dxa"/>
            <w:tcBorders>
              <w:bottom w:val="single" w:sz="8" w:space="0" w:color="000000"/>
            </w:tcBorders>
            <w:vAlign w:val="center"/>
          </w:tcPr>
          <w:p>
            <w:pPr>
              <w:pStyle w:val="TableContents"/>
              <w:bidi w:val="0"/>
              <w:spacing w:before="0" w:after="283"/>
              <w:jc w:val="center"/>
              <w:rPr>
                <w:b/>
              </w:rPr>
            </w:pPr>
            <w:r>
              <w:rPr>
                <w:b/>
              </w:rPr>
              <w:t>Options Outstanding Weighted Average Remaining Contractual Life (Years)</w:t>
            </w:r>
          </w:p>
        </w:tc>
        <w:tc>
          <w:tcPr>
            <w:tcW w:w="60" w:type="dxa"/>
            <w:tcBorders/>
            <w:tcMar>
              <w:bottom w:w="0" w:type="dxa"/>
            </w:tcMar>
            <w:vAlign w:val="center"/>
          </w:tcPr>
          <w:p>
            <w:pPr>
              <w:pStyle w:val="TableContents"/>
              <w:bidi w:val="0"/>
              <w:spacing w:before="0" w:after="283"/>
              <w:jc w:val="left"/>
              <w:rPr/>
            </w:pPr>
            <w:r>
              <w:rPr/>
              <w:t> </w:t>
            </w:r>
          </w:p>
        </w:tc>
        <w:tc>
          <w:tcPr>
            <w:tcW w:w="2240" w:type="dxa"/>
            <w:tcBorders>
              <w:bottom w:val="single" w:sz="8" w:space="0" w:color="000000"/>
            </w:tcBorders>
            <w:vAlign w:val="center"/>
          </w:tcPr>
          <w:p>
            <w:pPr>
              <w:pStyle w:val="TableContents"/>
              <w:bidi w:val="0"/>
              <w:spacing w:before="0" w:after="283"/>
              <w:jc w:val="center"/>
              <w:rPr>
                <w:b/>
              </w:rPr>
            </w:pPr>
            <w:r>
              <w:rPr>
                <w:b/>
              </w:rPr>
              <w:t>Options Exercisable (in thousands)</w:t>
            </w:r>
          </w:p>
        </w:tc>
      </w:tr>
      <w:tr>
        <w:trPr/>
        <w:tc>
          <w:tcPr>
            <w:tcW w:w="1265" w:type="dxa"/>
            <w:tcBorders/>
            <w:shd w:fill="CCEEFF" w:val="clear"/>
            <w:tcMar>
              <w:bottom w:w="0" w:type="dxa"/>
            </w:tcMar>
            <w:vAlign w:val="center"/>
          </w:tcPr>
          <w:p>
            <w:pPr>
              <w:pStyle w:val="TableContents"/>
              <w:bidi w:val="0"/>
              <w:spacing w:before="0" w:after="283"/>
              <w:jc w:val="center"/>
              <w:rPr/>
            </w:pPr>
            <w:r>
              <w:rPr/>
              <w:t>$</w:t>
            </w:r>
            <w:bookmarkStart w:id="483" w:name="xdx_90F_eus-gaap--ShareBasedCompensation"/>
            <w:bookmarkEnd w:id="483"/>
            <w:r>
              <w:rPr/>
              <w:t>4.05 - $</w:t>
            </w:r>
            <w:bookmarkStart w:id="484" w:name="xdx_904_eus-gaap--ShareBasedCompensation"/>
            <w:bookmarkEnd w:id="484"/>
            <w:r>
              <w:rPr/>
              <w:t>4.85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4" w:type="dxa"/>
            <w:tcBorders/>
            <w:shd w:fill="CCEEFF" w:val="clear"/>
            <w:tcMar>
              <w:bottom w:w="0" w:type="dxa"/>
            </w:tcMar>
            <w:vAlign w:val="center"/>
          </w:tcPr>
          <w:p>
            <w:pPr>
              <w:pStyle w:val="TableContents"/>
              <w:bidi w:val="0"/>
              <w:spacing w:before="0" w:after="283"/>
              <w:jc w:val="left"/>
              <w:rPr/>
            </w:pPr>
            <w:r>
              <w:rPr/>
              <w:t> </w:t>
            </w:r>
          </w:p>
        </w:tc>
        <w:tc>
          <w:tcPr>
            <w:tcW w:w="1998" w:type="dxa"/>
            <w:tcBorders/>
            <w:shd w:fill="CCEEFF" w:val="clear"/>
            <w:tcMar>
              <w:bottom w:w="0" w:type="dxa"/>
            </w:tcMar>
            <w:vAlign w:val="center"/>
          </w:tcPr>
          <w:p>
            <w:pPr>
              <w:pStyle w:val="TableContents"/>
              <w:bidi w:val="0"/>
              <w:spacing w:before="0" w:after="283"/>
              <w:jc w:val="right"/>
              <w:rPr/>
            </w:pPr>
            <w:bookmarkStart w:id="485" w:name="xdx_901_eus-gaap--ShareBasedCompensation"/>
            <w:bookmarkEnd w:id="485"/>
            <w:r>
              <w:rPr/>
              <w:t>177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48" w:type="dxa"/>
            <w:tcBorders/>
            <w:shd w:fill="CCEEFF" w:val="clear"/>
            <w:tcMar>
              <w:bottom w:w="0" w:type="dxa"/>
            </w:tcMar>
            <w:vAlign w:val="center"/>
          </w:tcPr>
          <w:p>
            <w:pPr>
              <w:pStyle w:val="TableContents"/>
              <w:bidi w:val="0"/>
              <w:spacing w:before="0" w:after="283"/>
              <w:jc w:val="center"/>
              <w:rPr/>
            </w:pPr>
            <w:bookmarkStart w:id="486" w:name="xdx_902_eus-gaap--SharebasedCompensation"/>
            <w:bookmarkEnd w:id="486"/>
            <w:r>
              <w:rPr/>
              <w:t>7.33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40" w:type="dxa"/>
            <w:tcBorders/>
            <w:shd w:fill="CCEEFF" w:val="clear"/>
            <w:tcMar>
              <w:bottom w:w="0" w:type="dxa"/>
            </w:tcMar>
            <w:vAlign w:val="center"/>
          </w:tcPr>
          <w:p>
            <w:pPr>
              <w:pStyle w:val="TableContents"/>
              <w:bidi w:val="0"/>
              <w:spacing w:before="0" w:after="283"/>
              <w:jc w:val="center"/>
              <w:rPr/>
            </w:pPr>
            <w:bookmarkStart w:id="487" w:name="xdx_906_eus-gaap--ShareBasedCompensation"/>
            <w:bookmarkEnd w:id="487"/>
            <w:r>
              <w:rPr/>
              <w:t>136</w:t>
            </w:r>
          </w:p>
        </w:tc>
      </w:tr>
      <w:tr>
        <w:trPr/>
        <w:tc>
          <w:tcPr>
            <w:tcW w:w="1265" w:type="dxa"/>
            <w:tcBorders/>
            <w:shd w:fill="FFFFFF" w:val="clear"/>
            <w:tcMar>
              <w:bottom w:w="0" w:type="dxa"/>
            </w:tcMar>
            <w:vAlign w:val="center"/>
          </w:tcPr>
          <w:p>
            <w:pPr>
              <w:pStyle w:val="TableContents"/>
              <w:bidi w:val="0"/>
              <w:spacing w:before="0" w:after="283"/>
              <w:jc w:val="center"/>
              <w:rPr/>
            </w:pPr>
            <w:r>
              <w:rPr/>
              <w:t>$</w:t>
            </w:r>
            <w:bookmarkStart w:id="488" w:name="xdx_905_eus-gaap--ShareBasedCompensation"/>
            <w:bookmarkEnd w:id="488"/>
            <w:r>
              <w:rPr/>
              <w:t>4.86 - $</w:t>
            </w:r>
            <w:bookmarkStart w:id="489" w:name="xdx_900_eus-gaap--ShareBasedCompensation"/>
            <w:bookmarkEnd w:id="489"/>
            <w:r>
              <w:rPr/>
              <w:t>12.98</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4" w:type="dxa"/>
            <w:tcBorders/>
            <w:shd w:fill="FFFFFF" w:val="clear"/>
            <w:tcMar>
              <w:bottom w:w="0" w:type="dxa"/>
            </w:tcMar>
            <w:vAlign w:val="center"/>
          </w:tcPr>
          <w:p>
            <w:pPr>
              <w:pStyle w:val="TableContents"/>
              <w:bidi w:val="0"/>
              <w:spacing w:before="0" w:after="283"/>
              <w:jc w:val="left"/>
              <w:rPr/>
            </w:pPr>
            <w:r>
              <w:rPr/>
              <w:t> </w:t>
            </w:r>
          </w:p>
        </w:tc>
        <w:tc>
          <w:tcPr>
            <w:tcW w:w="1998" w:type="dxa"/>
            <w:tcBorders/>
            <w:shd w:fill="FFFFFF" w:val="clear"/>
            <w:tcMar>
              <w:bottom w:w="0" w:type="dxa"/>
            </w:tcMar>
            <w:vAlign w:val="center"/>
          </w:tcPr>
          <w:p>
            <w:pPr>
              <w:pStyle w:val="TableContents"/>
              <w:bidi w:val="0"/>
              <w:spacing w:before="0" w:after="283"/>
              <w:jc w:val="right"/>
              <w:rPr/>
            </w:pPr>
            <w:bookmarkStart w:id="490" w:name="xdx_90C_eus-gaap--ShareBasedCompensation"/>
            <w:bookmarkEnd w:id="490"/>
            <w:r>
              <w:rPr/>
              <w:t>184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148" w:type="dxa"/>
            <w:tcBorders/>
            <w:shd w:fill="FFFFFF" w:val="clear"/>
            <w:tcMar>
              <w:bottom w:w="0" w:type="dxa"/>
            </w:tcMar>
            <w:vAlign w:val="center"/>
          </w:tcPr>
          <w:p>
            <w:pPr>
              <w:pStyle w:val="TableContents"/>
              <w:bidi w:val="0"/>
              <w:spacing w:before="0" w:after="283"/>
              <w:jc w:val="center"/>
              <w:rPr/>
            </w:pPr>
            <w:bookmarkStart w:id="491" w:name="xdx_908_eus-gaap--SharebasedCompensation"/>
            <w:bookmarkEnd w:id="491"/>
            <w:r>
              <w:rPr/>
              <w:t>5.80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40" w:type="dxa"/>
            <w:tcBorders/>
            <w:shd w:fill="FFFFFF" w:val="clear"/>
            <w:tcMar>
              <w:bottom w:w="0" w:type="dxa"/>
            </w:tcMar>
            <w:vAlign w:val="center"/>
          </w:tcPr>
          <w:p>
            <w:pPr>
              <w:pStyle w:val="TableContents"/>
              <w:bidi w:val="0"/>
              <w:spacing w:before="0" w:after="283"/>
              <w:jc w:val="center"/>
              <w:rPr/>
            </w:pPr>
            <w:bookmarkStart w:id="492" w:name="xdx_908_eus-gaap--ShareBasedCompensation"/>
            <w:bookmarkEnd w:id="492"/>
            <w:r>
              <w:rPr/>
              <w:t>184</w:t>
            </w:r>
          </w:p>
        </w:tc>
      </w:tr>
      <w:tr>
        <w:trPr/>
        <w:tc>
          <w:tcPr>
            <w:tcW w:w="1265" w:type="dxa"/>
            <w:tcBorders/>
            <w:shd w:fill="CCEEFF" w:val="clear"/>
            <w:tcMar>
              <w:bottom w:w="0" w:type="dxa"/>
            </w:tcMar>
            <w:vAlign w:val="center"/>
          </w:tcPr>
          <w:p>
            <w:pPr>
              <w:pStyle w:val="TableContents"/>
              <w:bidi w:val="0"/>
              <w:spacing w:before="0" w:after="283"/>
              <w:jc w:val="center"/>
              <w:rPr/>
            </w:pPr>
            <w:r>
              <w:rPr/>
              <w:t>$</w:t>
            </w:r>
            <w:bookmarkStart w:id="493" w:name="xdx_900_eus-gaap--ShareBasedCompensation"/>
            <w:bookmarkEnd w:id="493"/>
            <w:r>
              <w:rPr/>
              <w:t>12.99 - $</w:t>
            </w:r>
            <w:bookmarkStart w:id="494" w:name="xdx_909_eus-gaap--ShareBasedCompensation"/>
            <w:bookmarkEnd w:id="494"/>
            <w:r>
              <w:rPr/>
              <w:t>225.00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4" w:type="dxa"/>
            <w:tcBorders/>
            <w:shd w:fill="CCEEFF" w:val="clear"/>
            <w:tcMar>
              <w:bottom w:w="0" w:type="dxa"/>
            </w:tcMar>
            <w:vAlign w:val="center"/>
          </w:tcPr>
          <w:p>
            <w:pPr>
              <w:pStyle w:val="TableContents"/>
              <w:bidi w:val="0"/>
              <w:spacing w:before="0" w:after="283"/>
              <w:jc w:val="left"/>
              <w:rPr/>
            </w:pPr>
            <w:r>
              <w:rPr/>
              <w:t> </w:t>
            </w:r>
          </w:p>
        </w:tc>
        <w:tc>
          <w:tcPr>
            <w:tcW w:w="1998" w:type="dxa"/>
            <w:tcBorders/>
            <w:shd w:fill="CCEEFF" w:val="clear"/>
            <w:tcMar>
              <w:bottom w:w="0" w:type="dxa"/>
            </w:tcMar>
            <w:vAlign w:val="center"/>
          </w:tcPr>
          <w:p>
            <w:pPr>
              <w:pStyle w:val="TableContents"/>
              <w:bidi w:val="0"/>
              <w:spacing w:before="0" w:after="283"/>
              <w:jc w:val="right"/>
              <w:rPr/>
            </w:pPr>
            <w:bookmarkStart w:id="495" w:name="xdx_90B_eus-gaap--ShareBasedCompensation"/>
            <w:bookmarkEnd w:id="495"/>
            <w:r>
              <w:rPr/>
              <w:t>155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48" w:type="dxa"/>
            <w:tcBorders/>
            <w:shd w:fill="CCEEFF" w:val="clear"/>
            <w:tcMar>
              <w:bottom w:w="0" w:type="dxa"/>
            </w:tcMar>
            <w:vAlign w:val="center"/>
          </w:tcPr>
          <w:p>
            <w:pPr>
              <w:pStyle w:val="TableContents"/>
              <w:bidi w:val="0"/>
              <w:spacing w:before="0" w:after="283"/>
              <w:jc w:val="center"/>
              <w:rPr/>
            </w:pPr>
            <w:bookmarkStart w:id="496" w:name="xdx_90A_eus-gaap--SharebasedCompensation"/>
            <w:bookmarkEnd w:id="496"/>
            <w:r>
              <w:rPr/>
              <w:t>3.59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40" w:type="dxa"/>
            <w:tcBorders/>
            <w:shd w:fill="CCEEFF" w:val="clear"/>
            <w:tcMar>
              <w:bottom w:w="0" w:type="dxa"/>
            </w:tcMar>
            <w:vAlign w:val="center"/>
          </w:tcPr>
          <w:p>
            <w:pPr>
              <w:pStyle w:val="TableContents"/>
              <w:bidi w:val="0"/>
              <w:spacing w:before="0" w:after="283"/>
              <w:jc w:val="center"/>
              <w:rPr/>
            </w:pPr>
            <w:bookmarkStart w:id="497" w:name="xdx_90C_eus-gaap--ShareBasedCompensation"/>
            <w:bookmarkEnd w:id="497"/>
            <w:r>
              <w:rPr/>
              <w:t>155</w:t>
            </w:r>
          </w:p>
        </w:tc>
      </w:tr>
    </w:tbl>
    <w:p>
      <w:pPr>
        <w:pStyle w:val="TextBody"/>
        <w:bidi w:val="0"/>
        <w:spacing w:before="0" w:after="0"/>
        <w:ind w:left="0" w:right="0" w:hanging="0"/>
        <w:jc w:val="both"/>
        <w:rPr>
          <w:caps w:val="false"/>
          <w:smallCaps w:val="false"/>
        </w:rPr>
      </w:pPr>
      <w:bookmarkStart w:id="498" w:name="xdx_8AF_zovqEdO2Pqkb"/>
      <w:bookmarkEnd w:id="49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99" w:name="xdx_89A_eus-gaap--ScheduleOfSharebasedCo"/>
      <w:bookmarkEnd w:id="499"/>
      <w:r>
        <w:rPr>
          <w:rFonts w:ascii="Times New Roman;Times;Serif" w:hAnsi="Times New Roman;Times;Serif"/>
          <w:b w:val="false"/>
          <w:i w:val="false"/>
          <w:caps w:val="false"/>
          <w:smallCaps w:val="false"/>
          <w:sz w:val="20"/>
        </w:rPr>
        <w:t>The following table presents a summary of restricted and deferred stock unit (“Unit” or “Units”) activity during the three months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500" w:name="xdx_8B9_zCB4OvU1Dz77"/>
      <w:bookmarkEnd w:id="500"/>
      <w:r>
        <w:rPr>
          <w:rFonts w:ascii="Times New Roman;Times;Serif" w:hAnsi="Times New Roman;Times;Serif"/>
          <w:b w:val="false"/>
          <w:i w:val="false"/>
          <w:caps w:val="false"/>
          <w:smallCaps w:val="false"/>
          <w:sz w:val="20"/>
        </w:rPr>
        <w:t>Schedule of Restricted and Deferred Stock Unit</w:t>
      </w:r>
    </w:p>
    <w:tbl>
      <w:tblPr>
        <w:tblW w:w="10205" w:type="dxa"/>
        <w:jc w:val="left"/>
        <w:tblInd w:w="0" w:type="dxa"/>
        <w:tblLayout w:type="fixed"/>
        <w:tblCellMar>
          <w:top w:w="0" w:type="dxa"/>
          <w:left w:w="0" w:type="dxa"/>
          <w:bottom w:w="0" w:type="dxa"/>
          <w:right w:w="0" w:type="dxa"/>
        </w:tblCellMar>
      </w:tblPr>
      <w:tblGrid>
        <w:gridCol w:w="2595"/>
        <w:gridCol w:w="60"/>
        <w:gridCol w:w="439"/>
        <w:gridCol w:w="2799"/>
        <w:gridCol w:w="95"/>
        <w:gridCol w:w="60"/>
        <w:gridCol w:w="984"/>
        <w:gridCol w:w="3096"/>
        <w:gridCol w:w="77"/>
      </w:tblGrid>
      <w:tr>
        <w:trPr/>
        <w:tc>
          <w:tcPr>
            <w:tcW w:w="2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3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Shares (in thousands)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 Grant Date Fair Value</w:t>
            </w:r>
          </w:p>
        </w:tc>
        <w:tc>
          <w:tcPr>
            <w:tcW w:w="77" w:type="dxa"/>
            <w:tcBorders/>
            <w:vAlign w:val="center"/>
          </w:tcPr>
          <w:p>
            <w:pPr>
              <w:pStyle w:val="TableContents"/>
              <w:bidi w:val="0"/>
              <w:spacing w:before="0" w:after="283"/>
              <w:jc w:val="left"/>
              <w:rPr/>
            </w:pPr>
            <w:r>
              <w:rPr/>
              <w:t> </w:t>
            </w:r>
          </w:p>
        </w:tc>
      </w:tr>
      <w:tr>
        <w:trPr/>
        <w:tc>
          <w:tcPr>
            <w:tcW w:w="2595" w:type="dxa"/>
            <w:tcBorders/>
            <w:shd w:fill="CCEEFF" w:val="clear"/>
            <w:vAlign w:val="center"/>
          </w:tcPr>
          <w:p>
            <w:pPr>
              <w:pStyle w:val="TableContents"/>
              <w:bidi w:val="0"/>
              <w:spacing w:before="0" w:after="283"/>
              <w:jc w:val="left"/>
              <w:rPr/>
            </w:pPr>
            <w:r>
              <w:rPr/>
              <w:t>Nonvested, January 1, 2026</w:t>
            </w:r>
          </w:p>
        </w:tc>
        <w:tc>
          <w:tcPr>
            <w:tcW w:w="6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left"/>
              <w:rPr/>
            </w:pPr>
            <w:r>
              <w:rPr/>
              <w:t> </w:t>
            </w:r>
            <w:bookmarkStart w:id="501" w:name="xdx_982_eus-gaap--ShareBasedCompensation"/>
            <w:bookmarkEnd w:id="501"/>
          </w:p>
        </w:tc>
        <w:tc>
          <w:tcPr>
            <w:tcW w:w="2799" w:type="dxa"/>
            <w:tcBorders/>
            <w:shd w:fill="CCEEFF" w:val="clear"/>
            <w:vAlign w:val="center"/>
          </w:tcPr>
          <w:p>
            <w:pPr>
              <w:pStyle w:val="TableContents"/>
              <w:bidi w:val="0"/>
              <w:spacing w:before="0" w:after="283"/>
              <w:jc w:val="right"/>
              <w:rPr/>
            </w:pPr>
            <w:r>
              <w:rPr/>
              <w:t>575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left"/>
              <w:rPr/>
            </w:pPr>
            <w:r>
              <w:rPr/>
              <w:t>$</w:t>
            </w:r>
            <w:bookmarkStart w:id="502" w:name="xdx_982_eus-gaap--ShareBasedCompensation"/>
            <w:bookmarkEnd w:id="502"/>
          </w:p>
        </w:tc>
        <w:tc>
          <w:tcPr>
            <w:tcW w:w="3096" w:type="dxa"/>
            <w:tcBorders/>
            <w:shd w:fill="CCEEFF" w:val="clear"/>
            <w:vAlign w:val="center"/>
          </w:tcPr>
          <w:p>
            <w:pPr>
              <w:pStyle w:val="TableContents"/>
              <w:bidi w:val="0"/>
              <w:spacing w:before="0" w:after="283"/>
              <w:jc w:val="right"/>
              <w:rPr/>
            </w:pPr>
            <w:r>
              <w:rPr/>
              <w:t>7.73</w:t>
            </w:r>
          </w:p>
        </w:tc>
        <w:tc>
          <w:tcPr>
            <w:tcW w:w="77" w:type="dxa"/>
            <w:tcBorders/>
            <w:shd w:fill="CCEEFF" w:val="clear"/>
            <w:vAlign w:val="center"/>
          </w:tcPr>
          <w:p>
            <w:pPr>
              <w:pStyle w:val="TableContents"/>
              <w:bidi w:val="0"/>
              <w:spacing w:before="0" w:after="283"/>
              <w:jc w:val="left"/>
              <w:rPr/>
            </w:pPr>
            <w:r>
              <w:rPr/>
              <w:t> </w:t>
            </w:r>
          </w:p>
        </w:tc>
      </w:tr>
      <w:tr>
        <w:trPr/>
        <w:tc>
          <w:tcPr>
            <w:tcW w:w="259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left"/>
              <w:rPr/>
            </w:pPr>
            <w:r>
              <w:rPr/>
              <w:t> </w:t>
            </w:r>
            <w:bookmarkStart w:id="503" w:name="xdx_982_eus-gaap--ShareBasedCompensation"/>
            <w:bookmarkEnd w:id="503"/>
          </w:p>
        </w:tc>
        <w:tc>
          <w:tcPr>
            <w:tcW w:w="2799" w:type="dxa"/>
            <w:tcBorders/>
            <w:shd w:fill="FFFFFF" w:val="clear"/>
            <w:vAlign w:val="center"/>
          </w:tcPr>
          <w:p>
            <w:pPr>
              <w:pStyle w:val="TableContents"/>
              <w:bidi w:val="0"/>
              <w:spacing w:before="0" w:after="283"/>
              <w:jc w:val="right"/>
              <w:rPr/>
            </w:pPr>
            <w:r>
              <w:rPr/>
              <w:t>161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left"/>
              <w:rPr/>
            </w:pPr>
            <w:r>
              <w:rPr/>
              <w:t> </w:t>
            </w:r>
            <w:bookmarkStart w:id="504" w:name="xdx_986_eus-gaap--ShareBasedCompensation"/>
            <w:bookmarkEnd w:id="504"/>
          </w:p>
        </w:tc>
        <w:tc>
          <w:tcPr>
            <w:tcW w:w="3096" w:type="dxa"/>
            <w:tcBorders/>
            <w:shd w:fill="FFFFFF" w:val="clear"/>
            <w:vAlign w:val="center"/>
          </w:tcPr>
          <w:p>
            <w:pPr>
              <w:pStyle w:val="TableContents"/>
              <w:bidi w:val="0"/>
              <w:spacing w:before="0" w:after="283"/>
              <w:jc w:val="right"/>
              <w:rPr/>
            </w:pPr>
            <w:r>
              <w:rPr/>
              <w:t>8.05</w:t>
            </w:r>
          </w:p>
        </w:tc>
        <w:tc>
          <w:tcPr>
            <w:tcW w:w="77" w:type="dxa"/>
            <w:tcBorders/>
            <w:shd w:fill="FFFFFF" w:val="clear"/>
            <w:vAlign w:val="center"/>
          </w:tcPr>
          <w:p>
            <w:pPr>
              <w:pStyle w:val="TableContents"/>
              <w:bidi w:val="0"/>
              <w:spacing w:before="0" w:after="283"/>
              <w:jc w:val="left"/>
              <w:rPr/>
            </w:pPr>
            <w:r>
              <w:rPr/>
              <w:t> </w:t>
            </w:r>
          </w:p>
        </w:tc>
      </w:tr>
      <w:tr>
        <w:trPr/>
        <w:tc>
          <w:tcPr>
            <w:tcW w:w="2595" w:type="dxa"/>
            <w:tcBorders/>
            <w:shd w:fill="CCEEFF" w:val="clear"/>
            <w:vAlign w:val="center"/>
          </w:tcPr>
          <w:p>
            <w:pPr>
              <w:pStyle w:val="TableContents"/>
              <w:bidi w:val="0"/>
              <w:spacing w:before="0" w:after="283"/>
              <w:jc w:val="left"/>
              <w:rPr/>
            </w:pPr>
            <w:r>
              <w:rPr/>
              <w:t>Vested</w:t>
            </w:r>
          </w:p>
        </w:tc>
        <w:tc>
          <w:tcPr>
            <w:tcW w:w="6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left"/>
              <w:rPr/>
            </w:pPr>
            <w:r>
              <w:rPr/>
              <w:t> </w:t>
            </w:r>
            <w:bookmarkStart w:id="505" w:name="xdx_988_eus-gaap--ShareBasedCompensation"/>
            <w:bookmarkEnd w:id="505"/>
          </w:p>
        </w:tc>
        <w:tc>
          <w:tcPr>
            <w:tcW w:w="2799" w:type="dxa"/>
            <w:tcBorders/>
            <w:shd w:fill="CCEEFF" w:val="clear"/>
            <w:vAlign w:val="center"/>
          </w:tcPr>
          <w:p>
            <w:pPr>
              <w:pStyle w:val="TableContents"/>
              <w:bidi w:val="0"/>
              <w:spacing w:before="0" w:after="283"/>
              <w:jc w:val="right"/>
              <w:rPr/>
            </w:pPr>
            <w:r>
              <w:rPr/>
              <w:t>(54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left"/>
              <w:rPr/>
            </w:pPr>
            <w:r>
              <w:rPr/>
              <w:t> </w:t>
            </w:r>
            <w:bookmarkStart w:id="506" w:name="xdx_98D_eus-gaap--ShareBasedCompensation"/>
            <w:bookmarkEnd w:id="506"/>
          </w:p>
        </w:tc>
        <w:tc>
          <w:tcPr>
            <w:tcW w:w="3096" w:type="dxa"/>
            <w:tcBorders/>
            <w:shd w:fill="CCEEFF" w:val="clear"/>
            <w:vAlign w:val="center"/>
          </w:tcPr>
          <w:p>
            <w:pPr>
              <w:pStyle w:val="TableContents"/>
              <w:bidi w:val="0"/>
              <w:spacing w:before="0" w:after="283"/>
              <w:jc w:val="right"/>
              <w:rPr/>
            </w:pPr>
            <w:r>
              <w:rPr/>
              <w:t>8.97</w:t>
            </w:r>
          </w:p>
        </w:tc>
        <w:tc>
          <w:tcPr>
            <w:tcW w:w="77" w:type="dxa"/>
            <w:tcBorders/>
            <w:shd w:fill="CCEEFF" w:val="clear"/>
            <w:vAlign w:val="center"/>
          </w:tcPr>
          <w:p>
            <w:pPr>
              <w:pStyle w:val="TableContents"/>
              <w:bidi w:val="0"/>
              <w:spacing w:before="0" w:after="283"/>
              <w:jc w:val="left"/>
              <w:rPr/>
            </w:pPr>
            <w:r>
              <w:rPr/>
              <w:t> </w:t>
            </w:r>
          </w:p>
        </w:tc>
      </w:tr>
      <w:tr>
        <w:trPr/>
        <w:tc>
          <w:tcPr>
            <w:tcW w:w="2595" w:type="dxa"/>
            <w:tcBorders/>
            <w:shd w:fill="FFFFFF" w:val="clear"/>
            <w:vAlign w:val="center"/>
          </w:tcPr>
          <w:p>
            <w:pPr>
              <w:pStyle w:val="TableContents"/>
              <w:bidi w:val="0"/>
              <w:spacing w:before="0" w:after="283"/>
              <w:jc w:val="left"/>
              <w:rPr/>
            </w:pPr>
            <w:r>
              <w:rPr/>
              <w:t>Cancelled</w:t>
            </w:r>
          </w:p>
        </w:tc>
        <w:tc>
          <w:tcPr>
            <w:tcW w:w="60" w:type="dxa"/>
            <w:tcBorders/>
            <w:shd w:fill="FFFFFF" w:val="clear"/>
            <w:vAlign w:val="center"/>
          </w:tcPr>
          <w:p>
            <w:pPr>
              <w:pStyle w:val="TableContents"/>
              <w:bidi w:val="0"/>
              <w:spacing w:before="0" w:after="283"/>
              <w:jc w:val="left"/>
              <w:rPr/>
            </w:pPr>
            <w:r>
              <w:rPr/>
              <w:t> </w:t>
            </w:r>
          </w:p>
        </w:tc>
        <w:tc>
          <w:tcPr>
            <w:tcW w:w="43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07" w:name="xdx_984_eus-gaap--ShareBasedCompensation"/>
            <w:bookmarkEnd w:id="507"/>
          </w:p>
        </w:tc>
        <w:tc>
          <w:tcPr>
            <w:tcW w:w="279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08" w:name="xdx_985_eus-gaap--ShareBasedCompensation"/>
            <w:bookmarkEnd w:id="508"/>
          </w:p>
        </w:tc>
        <w:tc>
          <w:tcPr>
            <w:tcW w:w="309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r>
      <w:tr>
        <w:trPr/>
        <w:tc>
          <w:tcPr>
            <w:tcW w:w="2595" w:type="dxa"/>
            <w:tcBorders/>
            <w:shd w:fill="CCEEFF" w:val="clear"/>
            <w:vAlign w:val="center"/>
          </w:tcPr>
          <w:p>
            <w:pPr>
              <w:pStyle w:val="TableContents"/>
              <w:bidi w:val="0"/>
              <w:spacing w:before="0" w:after="283"/>
              <w:jc w:val="left"/>
              <w:rPr/>
            </w:pPr>
            <w:r>
              <w:rPr/>
              <w:t>Nonvested, March 31, 2026</w:t>
            </w:r>
          </w:p>
        </w:tc>
        <w:tc>
          <w:tcPr>
            <w:tcW w:w="60" w:type="dxa"/>
            <w:tcBorders/>
            <w:shd w:fill="CCEEFF" w:val="clear"/>
            <w:vAlign w:val="center"/>
          </w:tcPr>
          <w:p>
            <w:pPr>
              <w:pStyle w:val="TableContents"/>
              <w:bidi w:val="0"/>
              <w:spacing w:before="0" w:after="283"/>
              <w:jc w:val="left"/>
              <w:rPr/>
            </w:pPr>
            <w:r>
              <w:rPr/>
              <w:t> </w:t>
            </w:r>
          </w:p>
        </w:tc>
        <w:tc>
          <w:tcPr>
            <w:tcW w:w="43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09" w:name="xdx_98E_eus-gaap--ShareBasedCompensation"/>
            <w:bookmarkEnd w:id="509"/>
          </w:p>
        </w:tc>
        <w:tc>
          <w:tcPr>
            <w:tcW w:w="2799" w:type="dxa"/>
            <w:tcBorders>
              <w:bottom w:val="double" w:sz="6" w:space="0" w:color="000000"/>
            </w:tcBorders>
            <w:shd w:fill="CCEEFF" w:val="clear"/>
            <w:tcMar>
              <w:bottom w:w="28" w:type="dxa"/>
            </w:tcMar>
            <w:vAlign w:val="center"/>
          </w:tcPr>
          <w:p>
            <w:pPr>
              <w:pStyle w:val="TableContents"/>
              <w:bidi w:val="0"/>
              <w:spacing w:before="0" w:after="283"/>
              <w:jc w:val="right"/>
              <w:rPr/>
            </w:pPr>
            <w:r>
              <w:rPr/>
              <w:t>682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10" w:name="xdx_986_eus-gaap--ShareBasedCompensation"/>
            <w:bookmarkEnd w:id="510"/>
          </w:p>
        </w:tc>
        <w:tc>
          <w:tcPr>
            <w:tcW w:w="3096" w:type="dxa"/>
            <w:tcBorders>
              <w:bottom w:val="double" w:sz="6" w:space="0" w:color="000000"/>
            </w:tcBorders>
            <w:shd w:fill="CCEEFF" w:val="clear"/>
            <w:tcMar>
              <w:bottom w:w="28" w:type="dxa"/>
            </w:tcMar>
            <w:vAlign w:val="center"/>
          </w:tcPr>
          <w:p>
            <w:pPr>
              <w:pStyle w:val="TableContents"/>
              <w:bidi w:val="0"/>
              <w:spacing w:before="0" w:after="283"/>
              <w:jc w:val="right"/>
              <w:rPr/>
            </w:pPr>
            <w:r>
              <w:rPr/>
              <w:t>7.71</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11" w:name="xdx_8A4_zFn0EuD5P8F3"/>
      <w:bookmarkEnd w:id="51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general, Units granted to employees vest over </w:t>
      </w:r>
      <w:bookmarkStart w:id="512" w:name="xdx_90F_eus-gaap--ShareBasedCompensation"/>
      <w:bookmarkEnd w:id="512"/>
      <w:r>
        <w:rPr>
          <w:rFonts w:ascii="Times New Roman;Times;Serif" w:hAnsi="Times New Roman;Times;Serif"/>
          <w:b w:val="false"/>
          <w:i w:val="false"/>
          <w:caps w:val="false"/>
          <w:smallCaps w:val="false"/>
          <w:sz w:val="22"/>
        </w:rPr>
        <w:t>2</w:t>
      </w:r>
      <w:r>
        <w:rPr>
          <w:rFonts w:ascii="Times New Roman;Times;Serif" w:hAnsi="Times New Roman;Times;Serif"/>
          <w:b w:val="false"/>
          <w:i w:val="false"/>
          <w:caps w:val="false"/>
          <w:smallCaps w:val="false"/>
          <w:sz w:val="20"/>
        </w:rPr>
        <w:t xml:space="preserve">two to </w:t>
      </w:r>
      <w:bookmarkStart w:id="513" w:name="xdx_905_eus-gaap--ShareBasedCompensation"/>
      <w:bookmarkEnd w:id="513"/>
      <w:r>
        <w:rPr>
          <w:rFonts w:ascii="Times New Roman;Times;Serif" w:hAnsi="Times New Roman;Times;Serif"/>
          <w:b w:val="false"/>
          <w:i w:val="false"/>
          <w:caps w:val="false"/>
          <w:smallCaps w:val="false"/>
          <w:sz w:val="22"/>
        </w:rPr>
        <w:t>4</w:t>
      </w:r>
      <w:r>
        <w:rPr>
          <w:rFonts w:ascii="Times New Roman;Times;Serif" w:hAnsi="Times New Roman;Times;Serif"/>
          <w:b w:val="false"/>
          <w:i w:val="false"/>
          <w:caps w:val="false"/>
          <w:smallCaps w:val="false"/>
          <w:sz w:val="20"/>
        </w:rPr>
        <w:t>four-year periods.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ELECTROCORE, INC.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Immediately following the Company’s annual meeting of stockholders, the Company generally grants each non-employee director an equity award that vests over a </w:t>
      </w:r>
      <w:bookmarkStart w:id="514" w:name="xdx_903_eus-gaap--ShareBasedCompensation"/>
      <w:bookmarkEnd w:id="514"/>
      <w:r>
        <w:rPr>
          <w:rFonts w:ascii="Times New Roman;Times;Serif" w:hAnsi="Times New Roman;Times;Serif"/>
          <w:b w:val="false"/>
          <w:i w:val="false"/>
          <w:caps w:val="false"/>
          <w:smallCaps w:val="false"/>
          <w:sz w:val="20"/>
        </w:rPr>
        <w:t xml:space="preserve">12-month period. Upon a non-employee director’s initial appointment or election to the board of directors, the Company grants such non-employee director an equity award subject to vesting over a </w:t>
      </w:r>
      <w:bookmarkStart w:id="515" w:name="xdx_90A_eus-gaap--ShareBasedCompensation"/>
      <w:bookmarkEnd w:id="515"/>
      <w:r>
        <w:rPr>
          <w:rFonts w:ascii="Times New Roman;Times;Serif" w:hAnsi="Times New Roman;Times;Serif"/>
          <w:b w:val="false"/>
          <w:i w:val="false"/>
          <w:caps w:val="false"/>
          <w:smallCaps w:val="false"/>
          <w:sz w:val="20"/>
        </w:rPr>
        <w:t>36-month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Valuation Information for 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grant any stock options during the three months ended March 31, 2026 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Modification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17, 2026, Daniel S. Goldberger, the Company’s former Chief Executive Officer, notified the Company of his intention to retire as Chief Executive Officer effective April 1, 2026 (the “Separation Date”). Mr. Goldberger also resigned as a member of the Company’s Board effective March 17, 2026. Pursuant to and subject to the terms and conditions of Mr. Goldberger’s separation agreement effective as of March 17, 2026 (the “Goldberger Separation Agreement”), </w:t>
      </w:r>
      <w:bookmarkStart w:id="516" w:name="xdx_903_ecustom--StockModifiedDuringPeri"/>
      <w:bookmarkEnd w:id="516"/>
      <w:r>
        <w:rPr>
          <w:rFonts w:ascii="Times New Roman;Times;Serif" w:hAnsi="Times New Roman;Times;Serif"/>
          <w:b w:val="false"/>
          <w:i w:val="false"/>
          <w:caps w:val="false"/>
          <w:smallCaps w:val="false"/>
          <w:sz w:val="20"/>
        </w:rPr>
        <w:t>62,937 of Mr. Goldberger’s outstanding restricted stock units were modified to either vest on April 1, 2026 or vest during a twelve-month consulting period following April 1, 2026, which would otherwise have been forfeited. The service period required for vesting during the consulting period is considered substantially less than the service period prior to retirement. As a result, the Company recorded incremental stock compensation expense of $</w:t>
      </w:r>
      <w:bookmarkStart w:id="517" w:name="xdx_906_ecustom--IncrementalStockCompens"/>
      <w:bookmarkEnd w:id="517"/>
      <w:r>
        <w:rPr>
          <w:rFonts w:ascii="Times New Roman;Times;Serif" w:hAnsi="Times New Roman;Times;Serif"/>
          <w:b w:val="false"/>
          <w:i w:val="false"/>
          <w:caps w:val="false"/>
          <w:smallCaps w:val="false"/>
          <w:sz w:val="20"/>
        </w:rPr>
        <w:t>0.5 million due to the acceleration in vesting.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18" w:name="xdx_80D_eus-gaap--SegmentReportingDisclo"/>
      <w:bookmarkEnd w:id="518"/>
      <w:r>
        <w:rPr>
          <w:rFonts w:ascii="Times New Roman;Times;Serif" w:hAnsi="Times New Roman;Times;Serif"/>
          <w:b/>
          <w:i w:val="false"/>
          <w:caps w:val="false"/>
          <w:smallCaps w:val="false"/>
          <w:sz w:val="20"/>
        </w:rPr>
        <w:t xml:space="preserve">Note 14. </w:t>
      </w:r>
      <w:bookmarkStart w:id="519" w:name="xdx_823_z2zYc4XH7Ak6"/>
      <w:bookmarkEnd w:id="519"/>
      <w:r>
        <w:rPr>
          <w:rFonts w:ascii="Times New Roman;Times;Serif" w:hAnsi="Times New Roman;Times;Serif"/>
          <w:b/>
          <w:i w:val="false"/>
          <w:caps w:val="false"/>
          <w:smallCaps w:val="false"/>
          <w:sz w:val="20"/>
        </w:rPr>
        <w:t xml:space="preserve">Segment Reporting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views its operations and manages its business as </w:t>
      </w:r>
      <w:bookmarkStart w:id="520" w:name="xdx_90B_eus-gaap--NumberOfReportableSegm"/>
      <w:bookmarkEnd w:id="520"/>
      <w:r>
        <w:rPr>
          <w:rFonts w:ascii="Times New Roman;Times;Serif" w:hAnsi="Times New Roman;Times;Serif"/>
          <w:b w:val="false"/>
          <w:i w:val="false"/>
          <w:caps w:val="false"/>
          <w:smallCaps w:val="false"/>
          <w:sz w:val="20"/>
        </w:rPr>
        <w:t>one operating segment: Bioelectronic Innovations. Our CODM is our Interim President and Chief Financial Officer. The CODM uses loss from operations, as reported on our Consolidated Statements of Operations, including the breakdown of expenses presented below, in evaluating the performance of the Bioelectronic Innovations segment and in determining how to allocate resources to the Company as a whole. The CODM does not review assets in evaluating the results of the Bioelectronic Innovations segment, and therefore, such information is not presented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21" w:name="xdx_897_eus-gaap--ScheduleOfSegmentRepor"/>
      <w:bookmarkEnd w:id="521"/>
      <w:r>
        <w:rPr>
          <w:rFonts w:ascii="Times New Roman;Times;Serif" w:hAnsi="Times New Roman;Times;Serif"/>
          <w:b w:val="false"/>
          <w:i w:val="false"/>
          <w:caps w:val="false"/>
          <w:smallCaps w:val="false"/>
          <w:sz w:val="20"/>
        </w:rPr>
        <w:t>The following table provides the GAAP operating financial results of the Bioelectronic Innovations segment:</w:t>
      </w:r>
    </w:p>
    <w:p>
      <w:pPr>
        <w:pStyle w:val="TextBody"/>
        <w:bidi w:val="0"/>
        <w:spacing w:before="0" w:after="0"/>
        <w:ind w:left="0" w:right="0" w:hanging="0"/>
        <w:jc w:val="left"/>
        <w:rPr>
          <w:caps w:val="false"/>
          <w:smallCaps w:val="false"/>
        </w:rPr>
      </w:pPr>
      <w:r>
        <w:rPr>
          <w:caps w:val="false"/>
          <w:smallCaps w:val="false"/>
        </w:rPr>
        <w:t> </w:t>
      </w:r>
      <w:bookmarkStart w:id="522" w:name="xdx_8B1_zTQDzCiXkD6e"/>
      <w:bookmarkEnd w:id="522"/>
      <w:r>
        <w:rPr>
          <w:rFonts w:ascii="Times New Roman;Times;Serif" w:hAnsi="Times New Roman;Times;Serif"/>
          <w:b w:val="false"/>
          <w:i w:val="false"/>
          <w:caps w:val="false"/>
          <w:smallCaps w:val="false"/>
          <w:sz w:val="20"/>
        </w:rPr>
        <w:t>Schedule of Operating Financial Segment</w:t>
      </w:r>
    </w:p>
    <w:tbl>
      <w:tblPr>
        <w:tblW w:w="6163" w:type="dxa"/>
        <w:jc w:val="left"/>
        <w:tblInd w:w="0" w:type="dxa"/>
        <w:tblLayout w:type="fixed"/>
        <w:tblCellMar>
          <w:top w:w="0" w:type="dxa"/>
          <w:left w:w="0" w:type="dxa"/>
          <w:bottom w:w="0" w:type="dxa"/>
          <w:right w:w="0" w:type="dxa"/>
        </w:tblCellMar>
      </w:tblPr>
      <w:tblGrid>
        <w:gridCol w:w="2765"/>
        <w:gridCol w:w="60"/>
        <w:gridCol w:w="258"/>
        <w:gridCol w:w="1255"/>
        <w:gridCol w:w="175"/>
        <w:gridCol w:w="110"/>
        <w:gridCol w:w="258"/>
        <w:gridCol w:w="1172"/>
        <w:gridCol w:w="110"/>
      </w:tblGrid>
      <w:tr>
        <w:trPr/>
        <w:tc>
          <w:tcPr>
            <w:tcW w:w="27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523" w:name="xdx_493_20260101__20260331_z3GhTLUG4aQd"/>
            <w:bookmarkEnd w:id="523"/>
          </w:p>
        </w:tc>
        <w:tc>
          <w:tcPr>
            <w:tcW w:w="151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 </w:t>
            </w:r>
            <w:bookmarkStart w:id="524" w:name="xdx_496_20250101__20250331_zvEGnJ7O8bS1"/>
            <w:bookmarkEnd w:id="524"/>
          </w:p>
        </w:tc>
        <w:tc>
          <w:tcPr>
            <w:tcW w:w="14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2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110"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bookmarkStart w:id="525" w:name="xdx_404_eus-gaap--RevenueFromContractWit"/>
            <w:bookmarkEnd w:id="525"/>
          </w:p>
        </w:tc>
      </w:tr>
      <w:tr>
        <w:trPr/>
        <w:tc>
          <w:tcPr>
            <w:tcW w:w="2765" w:type="dxa"/>
            <w:tcBorders/>
            <w:shd w:fill="CCEEFF" w:val="clear"/>
            <w:vAlign w:val="center"/>
          </w:tcPr>
          <w:p>
            <w:pPr>
              <w:pStyle w:val="TableContents"/>
              <w:bidi w:val="0"/>
              <w:spacing w:before="0" w:after="283"/>
              <w:jc w:val="left"/>
              <w:rPr/>
            </w:pPr>
            <w:r>
              <w:rPr/>
              <w:t>Net sales</w:t>
            </w:r>
            <w:bookmarkStart w:id="526" w:name="xdx_F4F_z1FGiWGbXIla"/>
            <w:bookmarkEnd w:id="526"/>
            <w:r>
              <w:rPr/>
              <w:t>*</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p>
        </w:tc>
        <w:tc>
          <w:tcPr>
            <w:tcW w:w="1255" w:type="dxa"/>
            <w:tcBorders/>
            <w:shd w:fill="CCEEFF" w:val="clear"/>
            <w:vAlign w:val="center"/>
          </w:tcPr>
          <w:p>
            <w:pPr>
              <w:pStyle w:val="TableContents"/>
              <w:bidi w:val="0"/>
              <w:spacing w:before="0" w:after="283"/>
              <w:jc w:val="right"/>
              <w:rPr/>
            </w:pPr>
            <w:r>
              <w:rPr/>
              <w:t>9,584</w:t>
            </w:r>
          </w:p>
        </w:tc>
        <w:tc>
          <w:tcPr>
            <w:tcW w:w="175"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p>
        </w:tc>
        <w:tc>
          <w:tcPr>
            <w:tcW w:w="1172" w:type="dxa"/>
            <w:tcBorders/>
            <w:shd w:fill="CCEEFF" w:val="clear"/>
            <w:vAlign w:val="center"/>
          </w:tcPr>
          <w:p>
            <w:pPr>
              <w:pStyle w:val="TableContents"/>
              <w:bidi w:val="0"/>
              <w:spacing w:before="0" w:after="283"/>
              <w:jc w:val="right"/>
              <w:rPr/>
            </w:pPr>
            <w:r>
              <w:rPr/>
              <w:t>6,719</w:t>
            </w:r>
          </w:p>
        </w:tc>
        <w:tc>
          <w:tcPr>
            <w:tcW w:w="110" w:type="dxa"/>
            <w:tcBorders/>
            <w:shd w:fill="CCEEFF" w:val="clear"/>
            <w:vAlign w:val="center"/>
          </w:tcPr>
          <w:p>
            <w:pPr>
              <w:pStyle w:val="TableContents"/>
              <w:bidi w:val="0"/>
              <w:spacing w:before="0" w:after="283"/>
              <w:jc w:val="left"/>
              <w:rPr/>
            </w:pPr>
            <w:r>
              <w:rPr/>
              <w:t> </w:t>
            </w:r>
            <w:bookmarkStart w:id="527" w:name="xdx_40A_eus-gaap--CostOfGoodsAndServices"/>
            <w:bookmarkEnd w:id="527"/>
          </w:p>
        </w:tc>
      </w:tr>
      <w:tr>
        <w:trPr/>
        <w:tc>
          <w:tcPr>
            <w:tcW w:w="2765" w:type="dxa"/>
            <w:tcBorders/>
            <w:shd w:fill="FFFFFF" w:val="clear"/>
            <w:vAlign w:val="center"/>
          </w:tcPr>
          <w:p>
            <w:pPr>
              <w:pStyle w:val="TableContents"/>
              <w:bidi w:val="0"/>
              <w:spacing w:before="0" w:after="283"/>
              <w:jc w:val="left"/>
              <w:rPr/>
            </w:pPr>
            <w:r>
              <w:rPr/>
              <w:t>Cost of goods sold</w:t>
            </w:r>
          </w:p>
        </w:tc>
        <w:tc>
          <w:tcPr>
            <w:tcW w:w="60" w:type="dxa"/>
            <w:tcBorders/>
            <w:shd w:fill="FFFFFF" w:val="clear"/>
            <w:vAlign w:val="center"/>
          </w:tcPr>
          <w:p>
            <w:pPr>
              <w:pStyle w:val="TableContents"/>
              <w:bidi w:val="0"/>
              <w:spacing w:before="0" w:after="283"/>
              <w:jc w:val="left"/>
              <w:rPr/>
            </w:pPr>
            <w:r>
              <w:rPr/>
              <w:t> </w:t>
            </w:r>
          </w:p>
        </w:tc>
        <w:tc>
          <w:tcPr>
            <w:tcW w:w="2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5" w:type="dxa"/>
            <w:tcBorders>
              <w:bottom w:val="single" w:sz="8" w:space="0" w:color="000000"/>
            </w:tcBorders>
            <w:shd w:fill="FFFFFF" w:val="clear"/>
            <w:tcMar>
              <w:bottom w:w="28" w:type="dxa"/>
            </w:tcMar>
            <w:vAlign w:val="center"/>
          </w:tcPr>
          <w:p>
            <w:pPr>
              <w:pStyle w:val="TableContents"/>
              <w:bidi w:val="0"/>
              <w:spacing w:before="0" w:after="283"/>
              <w:jc w:val="right"/>
              <w:rPr/>
            </w:pPr>
            <w:r>
              <w:rPr/>
              <w:t>1,220</w:t>
            </w:r>
          </w:p>
        </w:tc>
        <w:tc>
          <w:tcPr>
            <w:tcW w:w="1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2" w:type="dxa"/>
            <w:tcBorders>
              <w:bottom w:val="single" w:sz="8" w:space="0" w:color="000000"/>
            </w:tcBorders>
            <w:shd w:fill="FFFFFF" w:val="clear"/>
            <w:tcMar>
              <w:bottom w:w="28" w:type="dxa"/>
            </w:tcMar>
            <w:vAlign w:val="center"/>
          </w:tcPr>
          <w:p>
            <w:pPr>
              <w:pStyle w:val="TableContents"/>
              <w:bidi w:val="0"/>
              <w:spacing w:before="0" w:after="283"/>
              <w:jc w:val="right"/>
              <w:rPr/>
            </w:pPr>
            <w:r>
              <w:rPr/>
              <w:t>1,013</w:t>
            </w:r>
          </w:p>
        </w:tc>
        <w:tc>
          <w:tcPr>
            <w:tcW w:w="110" w:type="dxa"/>
            <w:tcBorders/>
            <w:shd w:fill="FFFFFF" w:val="clear"/>
            <w:vAlign w:val="center"/>
          </w:tcPr>
          <w:p>
            <w:pPr>
              <w:pStyle w:val="TableContents"/>
              <w:bidi w:val="0"/>
              <w:spacing w:before="0" w:after="283"/>
              <w:jc w:val="left"/>
              <w:rPr/>
            </w:pPr>
            <w:r>
              <w:rPr/>
              <w:t> </w:t>
            </w:r>
            <w:bookmarkStart w:id="528" w:name="xdx_407_eus-gaap--GrossProfit_pn3n3_hus-"/>
            <w:bookmarkEnd w:id="528"/>
          </w:p>
        </w:tc>
      </w:tr>
      <w:tr>
        <w:trPr/>
        <w:tc>
          <w:tcPr>
            <w:tcW w:w="2765"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right"/>
              <w:rPr/>
            </w:pPr>
            <w:r>
              <w:rPr/>
              <w:t>8,364</w:t>
            </w:r>
          </w:p>
        </w:tc>
        <w:tc>
          <w:tcPr>
            <w:tcW w:w="175"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5,706</w:t>
            </w:r>
          </w:p>
        </w:tc>
        <w:tc>
          <w:tcPr>
            <w:tcW w:w="110" w:type="dxa"/>
            <w:tcBorders/>
            <w:shd w:fill="CCEEFF" w:val="clear"/>
            <w:vAlign w:val="center"/>
          </w:tcPr>
          <w:p>
            <w:pPr>
              <w:pStyle w:val="TableContents"/>
              <w:bidi w:val="0"/>
              <w:spacing w:before="0" w:after="283"/>
              <w:jc w:val="left"/>
              <w:rPr/>
            </w:pPr>
            <w:r>
              <w:rPr/>
              <w:t> </w:t>
            </w:r>
            <w:bookmarkStart w:id="529" w:name="xdx_403_eus-gaap--OperatingExpensesAbstr"/>
            <w:bookmarkEnd w:id="529"/>
          </w:p>
        </w:tc>
      </w:tr>
      <w:tr>
        <w:trPr/>
        <w:tc>
          <w:tcPr>
            <w:tcW w:w="2765"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255" w:type="dxa"/>
            <w:tcBorders/>
            <w:shd w:fill="FFFFFF" w:val="clear"/>
            <w:vAlign w:val="center"/>
          </w:tcPr>
          <w:p>
            <w:pPr>
              <w:pStyle w:val="TableContents"/>
              <w:bidi w:val="0"/>
              <w:spacing w:before="0" w:after="283"/>
              <w:jc w:val="right"/>
              <w:rPr/>
            </w:pPr>
            <w:r>
              <w:rPr/>
              <w:t> </w:t>
            </w:r>
          </w:p>
        </w:tc>
        <w:tc>
          <w:tcPr>
            <w:tcW w:w="1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530" w:name="xdx_405_eus-gaap--ResearchAndDevelopment"/>
            <w:bookmarkEnd w:id="530"/>
          </w:p>
        </w:tc>
      </w:tr>
      <w:tr>
        <w:trPr/>
        <w:tc>
          <w:tcPr>
            <w:tcW w:w="276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right"/>
              <w:rPr/>
            </w:pPr>
            <w:r>
              <w:rPr/>
              <w:t>740</w:t>
            </w:r>
          </w:p>
        </w:tc>
        <w:tc>
          <w:tcPr>
            <w:tcW w:w="175"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642</w:t>
            </w:r>
          </w:p>
        </w:tc>
        <w:tc>
          <w:tcPr>
            <w:tcW w:w="110" w:type="dxa"/>
            <w:tcBorders/>
            <w:shd w:fill="CCEEFF" w:val="clear"/>
            <w:vAlign w:val="center"/>
          </w:tcPr>
          <w:p>
            <w:pPr>
              <w:pStyle w:val="TableContents"/>
              <w:bidi w:val="0"/>
              <w:spacing w:before="0" w:after="283"/>
              <w:jc w:val="left"/>
              <w:rPr/>
            </w:pPr>
            <w:r>
              <w:rPr/>
              <w:t> </w:t>
            </w:r>
            <w:bookmarkStart w:id="531" w:name="xdx_404_eus-gaap--SellingAndMarketingExp"/>
            <w:bookmarkEnd w:id="531"/>
          </w:p>
        </w:tc>
      </w:tr>
      <w:tr>
        <w:trPr/>
        <w:tc>
          <w:tcPr>
            <w:tcW w:w="2765" w:type="dxa"/>
            <w:tcBorders/>
            <w:shd w:fill="FFFFFF" w:val="clear"/>
            <w:vAlign w:val="center"/>
          </w:tcPr>
          <w:p>
            <w:pPr>
              <w:pStyle w:val="TableContents"/>
              <w:bidi w:val="0"/>
              <w:spacing w:before="0" w:after="283"/>
              <w:jc w:val="left"/>
              <w:rPr/>
            </w:pPr>
            <w:r>
              <w:rPr/>
              <w:t>Variable sales and marketing</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255" w:type="dxa"/>
            <w:tcBorders/>
            <w:shd w:fill="FFFFFF" w:val="clear"/>
            <w:vAlign w:val="center"/>
          </w:tcPr>
          <w:p>
            <w:pPr>
              <w:pStyle w:val="TableContents"/>
              <w:bidi w:val="0"/>
              <w:spacing w:before="0" w:after="283"/>
              <w:jc w:val="right"/>
              <w:rPr/>
            </w:pPr>
            <w:r>
              <w:rPr/>
              <w:t>3,771</w:t>
            </w:r>
          </w:p>
        </w:tc>
        <w:tc>
          <w:tcPr>
            <w:tcW w:w="1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jc w:val="right"/>
              <w:rPr/>
            </w:pPr>
            <w:r>
              <w:rPr/>
              <w:t>2,148</w:t>
            </w:r>
          </w:p>
        </w:tc>
        <w:tc>
          <w:tcPr>
            <w:tcW w:w="110" w:type="dxa"/>
            <w:tcBorders/>
            <w:shd w:fill="FFFFFF" w:val="clear"/>
            <w:vAlign w:val="center"/>
          </w:tcPr>
          <w:p>
            <w:pPr>
              <w:pStyle w:val="TableContents"/>
              <w:bidi w:val="0"/>
              <w:spacing w:before="0" w:after="283"/>
              <w:jc w:val="left"/>
              <w:rPr/>
            </w:pPr>
            <w:r>
              <w:rPr/>
              <w:t> </w:t>
            </w:r>
            <w:bookmarkStart w:id="532" w:name="xdx_406_ecustom--FixedSalesAndMarketing_"/>
            <w:bookmarkEnd w:id="532"/>
          </w:p>
        </w:tc>
      </w:tr>
      <w:tr>
        <w:trPr/>
        <w:tc>
          <w:tcPr>
            <w:tcW w:w="2765" w:type="dxa"/>
            <w:tcBorders/>
            <w:shd w:fill="CCEEFF" w:val="clear"/>
            <w:vAlign w:val="center"/>
          </w:tcPr>
          <w:p>
            <w:pPr>
              <w:pStyle w:val="TableContents"/>
              <w:bidi w:val="0"/>
              <w:spacing w:before="0" w:after="283"/>
              <w:jc w:val="left"/>
              <w:rPr/>
            </w:pPr>
            <w:r>
              <w:rPr/>
              <w:t>Fixed sales and marketing</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right"/>
              <w:rPr/>
            </w:pPr>
            <w:r>
              <w:rPr/>
              <w:t>2,576</w:t>
            </w:r>
          </w:p>
        </w:tc>
        <w:tc>
          <w:tcPr>
            <w:tcW w:w="175"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2,404</w:t>
            </w:r>
          </w:p>
        </w:tc>
        <w:tc>
          <w:tcPr>
            <w:tcW w:w="110" w:type="dxa"/>
            <w:tcBorders/>
            <w:shd w:fill="CCEEFF" w:val="clear"/>
            <w:vAlign w:val="center"/>
          </w:tcPr>
          <w:p>
            <w:pPr>
              <w:pStyle w:val="TableContents"/>
              <w:bidi w:val="0"/>
              <w:spacing w:before="0" w:after="283"/>
              <w:jc w:val="left"/>
              <w:rPr/>
            </w:pPr>
            <w:r>
              <w:rPr/>
              <w:t> </w:t>
            </w:r>
            <w:bookmarkStart w:id="533" w:name="xdx_40C_eus-gaap--GeneralAndAdministrati"/>
            <w:bookmarkEnd w:id="533"/>
          </w:p>
        </w:tc>
      </w:tr>
      <w:tr>
        <w:trPr/>
        <w:tc>
          <w:tcPr>
            <w:tcW w:w="2765"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2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5" w:type="dxa"/>
            <w:tcBorders>
              <w:bottom w:val="single" w:sz="8" w:space="0" w:color="000000"/>
            </w:tcBorders>
            <w:shd w:fill="FFFFFF" w:val="clear"/>
            <w:tcMar>
              <w:bottom w:w="28" w:type="dxa"/>
            </w:tcMar>
            <w:vAlign w:val="center"/>
          </w:tcPr>
          <w:p>
            <w:pPr>
              <w:pStyle w:val="TableContents"/>
              <w:bidi w:val="0"/>
              <w:spacing w:before="0" w:after="283"/>
              <w:jc w:val="right"/>
              <w:rPr/>
            </w:pPr>
            <w:r>
              <w:rPr/>
              <w:t>6,593</w:t>
            </w:r>
          </w:p>
        </w:tc>
        <w:tc>
          <w:tcPr>
            <w:tcW w:w="1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2" w:type="dxa"/>
            <w:tcBorders>
              <w:bottom w:val="single" w:sz="8" w:space="0" w:color="000000"/>
            </w:tcBorders>
            <w:shd w:fill="FFFFFF" w:val="clear"/>
            <w:tcMar>
              <w:bottom w:w="28" w:type="dxa"/>
            </w:tcMar>
            <w:vAlign w:val="center"/>
          </w:tcPr>
          <w:p>
            <w:pPr>
              <w:pStyle w:val="TableContents"/>
              <w:bidi w:val="0"/>
              <w:spacing w:before="0" w:after="283"/>
              <w:jc w:val="right"/>
              <w:rPr/>
            </w:pPr>
            <w:r>
              <w:rPr/>
              <w:t>4,334</w:t>
            </w:r>
          </w:p>
        </w:tc>
        <w:tc>
          <w:tcPr>
            <w:tcW w:w="110" w:type="dxa"/>
            <w:tcBorders/>
            <w:shd w:fill="FFFFFF" w:val="clear"/>
            <w:vAlign w:val="center"/>
          </w:tcPr>
          <w:p>
            <w:pPr>
              <w:pStyle w:val="TableContents"/>
              <w:bidi w:val="0"/>
              <w:spacing w:before="0" w:after="283"/>
              <w:jc w:val="left"/>
              <w:rPr/>
            </w:pPr>
            <w:r>
              <w:rPr/>
              <w:t> </w:t>
            </w:r>
            <w:bookmarkStart w:id="534" w:name="xdx_409_eus-gaap--OperatingExpenses_pn3n"/>
            <w:bookmarkEnd w:id="534"/>
          </w:p>
        </w:tc>
      </w:tr>
      <w:tr>
        <w:trPr/>
        <w:tc>
          <w:tcPr>
            <w:tcW w:w="2765"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2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5" w:type="dxa"/>
            <w:tcBorders>
              <w:bottom w:val="single" w:sz="8" w:space="0" w:color="000000"/>
            </w:tcBorders>
            <w:shd w:fill="CCEEFF" w:val="clear"/>
            <w:tcMar>
              <w:bottom w:w="28" w:type="dxa"/>
            </w:tcMar>
            <w:vAlign w:val="center"/>
          </w:tcPr>
          <w:p>
            <w:pPr>
              <w:pStyle w:val="TableContents"/>
              <w:bidi w:val="0"/>
              <w:spacing w:before="0" w:after="283"/>
              <w:jc w:val="right"/>
              <w:rPr/>
            </w:pPr>
            <w:r>
              <w:rPr/>
              <w:t>13,680</w:t>
            </w:r>
          </w:p>
        </w:tc>
        <w:tc>
          <w:tcPr>
            <w:tcW w:w="175"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2" w:type="dxa"/>
            <w:tcBorders>
              <w:bottom w:val="single" w:sz="8" w:space="0" w:color="000000"/>
            </w:tcBorders>
            <w:shd w:fill="CCEEFF" w:val="clear"/>
            <w:tcMar>
              <w:bottom w:w="28" w:type="dxa"/>
            </w:tcMar>
            <w:vAlign w:val="center"/>
          </w:tcPr>
          <w:p>
            <w:pPr>
              <w:pStyle w:val="TableContents"/>
              <w:bidi w:val="0"/>
              <w:spacing w:before="0" w:after="283"/>
              <w:jc w:val="right"/>
              <w:rPr/>
            </w:pPr>
            <w:r>
              <w:rPr/>
              <w:t>9,528</w:t>
            </w:r>
          </w:p>
        </w:tc>
        <w:tc>
          <w:tcPr>
            <w:tcW w:w="110" w:type="dxa"/>
            <w:tcBorders/>
            <w:shd w:fill="CCEEFF" w:val="clear"/>
            <w:vAlign w:val="center"/>
          </w:tcPr>
          <w:p>
            <w:pPr>
              <w:pStyle w:val="TableContents"/>
              <w:bidi w:val="0"/>
              <w:spacing w:before="0" w:after="283"/>
              <w:jc w:val="left"/>
              <w:rPr/>
            </w:pPr>
            <w:r>
              <w:rPr/>
              <w:t> </w:t>
            </w:r>
            <w:bookmarkStart w:id="535" w:name="xdx_402_eus-gaap--OperatingIncomeLoss_pn"/>
            <w:bookmarkEnd w:id="535"/>
          </w:p>
        </w:tc>
      </w:tr>
      <w:tr>
        <w:trPr/>
        <w:tc>
          <w:tcPr>
            <w:tcW w:w="2765"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55" w:type="dxa"/>
            <w:tcBorders>
              <w:bottom w:val="double" w:sz="6" w:space="0" w:color="000000"/>
            </w:tcBorders>
            <w:shd w:fill="FFFFFF" w:val="clear"/>
            <w:tcMar>
              <w:bottom w:w="28" w:type="dxa"/>
            </w:tcMar>
            <w:vAlign w:val="center"/>
          </w:tcPr>
          <w:p>
            <w:pPr>
              <w:pStyle w:val="TableContents"/>
              <w:bidi w:val="0"/>
              <w:spacing w:before="0" w:after="283"/>
              <w:jc w:val="right"/>
              <w:rPr/>
            </w:pPr>
            <w:r>
              <w:rPr/>
              <w:t>(5,316</w:t>
            </w:r>
          </w:p>
        </w:tc>
        <w:tc>
          <w:tcPr>
            <w:tcW w:w="175" w:type="dxa"/>
            <w:tcBorders/>
            <w:shd w:fill="FFFFFF" w:val="clear"/>
            <w:vAlign w:val="center"/>
          </w:tcPr>
          <w:p>
            <w:pPr>
              <w:pStyle w:val="TableContents"/>
              <w:bidi w:val="0"/>
              <w:spacing w:before="0" w:after="283"/>
              <w:jc w:val="left"/>
              <w:rPr/>
            </w:pPr>
            <w:r>
              <w:rPr/>
              <w:t>)</w:t>
            </w:r>
          </w:p>
        </w:tc>
        <w:tc>
          <w:tcPr>
            <w:tcW w:w="110" w:type="dxa"/>
            <w:tcBorders/>
            <w:shd w:fill="FFFFFF" w:val="cle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2" w:type="dxa"/>
            <w:tcBorders>
              <w:bottom w:val="double" w:sz="6" w:space="0" w:color="000000"/>
            </w:tcBorders>
            <w:shd w:fill="FFFFFF" w:val="clear"/>
            <w:tcMar>
              <w:bottom w:w="28" w:type="dxa"/>
            </w:tcMar>
            <w:vAlign w:val="center"/>
          </w:tcPr>
          <w:p>
            <w:pPr>
              <w:pStyle w:val="TableContents"/>
              <w:bidi w:val="0"/>
              <w:spacing w:before="0" w:after="283"/>
              <w:jc w:val="right"/>
              <w:rPr/>
            </w:pPr>
            <w:r>
              <w:rPr/>
              <w:t>(3,822</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5868" w:type="dxa"/>
        <w:jc w:val="left"/>
        <w:tblInd w:w="0" w:type="dxa"/>
        <w:tblLayout w:type="fixed"/>
        <w:tblCellMar>
          <w:top w:w="0" w:type="dxa"/>
          <w:left w:w="0" w:type="dxa"/>
          <w:bottom w:w="0" w:type="dxa"/>
          <w:right w:w="0" w:type="dxa"/>
        </w:tblCellMar>
      </w:tblPr>
      <w:tblGrid>
        <w:gridCol w:w="140"/>
        <w:gridCol w:w="23"/>
        <w:gridCol w:w="5705"/>
      </w:tblGrid>
      <w:tr>
        <w:trPr/>
        <w:tc>
          <w:tcPr>
            <w:tcW w:w="140" w:type="dxa"/>
            <w:tcBorders/>
            <w:vAlign w:val="center"/>
          </w:tcPr>
          <w:p>
            <w:pPr>
              <w:pStyle w:val="TableContents"/>
              <w:bidi w:val="0"/>
              <w:spacing w:before="0" w:after="283"/>
              <w:jc w:val="right"/>
              <w:rPr>
                <w:rFonts w:ascii="Times New Roman;Times;Serif" w:hAnsi="Times New Roman;Times;Serif"/>
                <w:sz w:val="20"/>
              </w:rPr>
            </w:pPr>
            <w:bookmarkStart w:id="536" w:name="xdx_F00_z6fZ33tlzbZ3"/>
            <w:bookmarkEnd w:id="536"/>
            <w:r>
              <w:rPr>
                <w:rFonts w:ascii="Times New Roman;Times;Serif" w:hAnsi="Times New Roman;Times;Serif"/>
                <w:sz w:val="20"/>
              </w:rPr>
              <w:t>*</w:t>
            </w:r>
          </w:p>
        </w:tc>
        <w:tc>
          <w:tcPr>
            <w:tcW w:w="23" w:type="dxa"/>
            <w:tcBorders/>
            <w:vAlign w:val="center"/>
          </w:tcPr>
          <w:p>
            <w:pPr>
              <w:pStyle w:val="TableContents"/>
              <w:bidi w:val="0"/>
              <w:spacing w:before="0" w:after="283"/>
              <w:jc w:val="left"/>
              <w:rPr>
                <w:sz w:val="4"/>
                <w:szCs w:val="4"/>
              </w:rPr>
            </w:pPr>
            <w:r>
              <w:rPr>
                <w:sz w:val="4"/>
                <w:szCs w:val="4"/>
              </w:rPr>
            </w:r>
          </w:p>
        </w:tc>
        <w:tc>
          <w:tcPr>
            <w:tcW w:w="5705" w:type="dxa"/>
            <w:tcBorders/>
            <w:vAlign w:val="center"/>
          </w:tcPr>
          <w:p>
            <w:pPr>
              <w:pStyle w:val="TableContents"/>
              <w:bidi w:val="0"/>
              <w:spacing w:before="0" w:after="283"/>
              <w:jc w:val="both"/>
              <w:rPr>
                <w:rFonts w:ascii="Times New Roman;Times;Serif" w:hAnsi="Times New Roman;Times;Serif"/>
                <w:sz w:val="20"/>
              </w:rPr>
            </w:pPr>
            <w:bookmarkStart w:id="537" w:name="xdx_F15_zaLQB34ImSP7"/>
            <w:bookmarkEnd w:id="537"/>
            <w:r>
              <w:rPr>
                <w:rFonts w:ascii="Times New Roman;Times;Serif" w:hAnsi="Times New Roman;Times;Serif"/>
                <w:sz w:val="20"/>
              </w:rPr>
              <w:t>See Note 4 Revenue for geographical and disaggregation information.</w:t>
            </w:r>
          </w:p>
        </w:tc>
      </w:tr>
    </w:tbl>
    <w:p>
      <w:pPr>
        <w:pStyle w:val="TextBody"/>
        <w:bidi w:val="0"/>
        <w:spacing w:before="0" w:after="0"/>
        <w:ind w:left="0" w:right="0" w:hanging="0"/>
        <w:jc w:val="both"/>
        <w:rPr>
          <w:caps w:val="false"/>
          <w:smallCaps w:val="false"/>
        </w:rPr>
      </w:pPr>
      <w:bookmarkStart w:id="538" w:name="xdx_8A9_z5RHkqMtOwPc"/>
      <w:bookmarkEnd w:id="538"/>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39" w:name="xdx_805_eus-gaap--CommitmentsAndContinge"/>
      <w:bookmarkEnd w:id="539"/>
      <w:r>
        <w:rPr>
          <w:rFonts w:ascii="Times New Roman;Times;Serif" w:hAnsi="Times New Roman;Times;Serif"/>
          <w:b/>
          <w:i w:val="false"/>
          <w:caps w:val="false"/>
          <w:smallCaps w:val="false"/>
          <w:sz w:val="20"/>
        </w:rPr>
        <w:t xml:space="preserve">Note 15. </w:t>
      </w:r>
      <w:bookmarkStart w:id="540" w:name="xdx_829_zAurXRxGqhMl"/>
      <w:bookmarkEnd w:id="540"/>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may be a party to various legal proceedings and claims arising out of the ordinary course of its business. Although the final results of all such matters and claims cannot be predicted with certainty, the Company currently believes that there are no current proceedings or claims pending against it the ultimate resolution of which would have a material adverse effect on its financial condition or results of operations. However, should the Company fail to prevail in any legal matter, including the Pulsetto litigation referenced below, or should several legal matters be resolved against the Company in the same reporting period, such matters could have a material adverse effect on the Company’s operating results and cash flows for that particular period. In all cases, at each reporting period, the Company evaluates whether or not a potential loss amount or a potential range of loss is probable and reasonably estimable under </w:t>
      </w:r>
      <w:r>
        <w:rPr>
          <w:rFonts w:ascii="Times New Roman;Times;Serif" w:hAnsi="Times New Roman;Times;Serif"/>
          <w:b w:val="false"/>
          <w:i/>
          <w:caps w:val="false"/>
          <w:smallCaps w:val="false"/>
          <w:sz w:val="20"/>
        </w:rPr>
        <w:t>ASC 450</w:t>
      </w:r>
      <w:r>
        <w:rPr>
          <w:rFonts w:ascii="Times New Roman;Times;Serif" w:hAnsi="Times New Roman;Times;Serif"/>
          <w:b w:val="false"/>
          <w:i w:val="false"/>
          <w:caps w:val="false"/>
          <w:smallCaps w:val="false"/>
          <w:sz w:val="20"/>
        </w:rPr>
        <w:t>, “Contingencies.” Legal costs are expensed as incurred.</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ELECTROCORE, INC.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UAB Pulsetto v. electroCore,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11, 2025, UAB Pulsetto (“Pulsetto”) filed a declaratory judgment action against the Company in the United States District Court for the District of New Jersey, captioned </w:t>
      </w:r>
      <w:r>
        <w:rPr>
          <w:rFonts w:ascii="Times New Roman;Times;Serif" w:hAnsi="Times New Roman;Times;Serif"/>
          <w:b w:val="false"/>
          <w:i/>
          <w:caps w:val="false"/>
          <w:smallCaps w:val="false"/>
          <w:sz w:val="20"/>
        </w:rPr>
        <w:t xml:space="preserve">UAB Pulsetto v. electroCore, Inc., Civ. No. 25-10036 (D.N.J.), </w:t>
      </w:r>
      <w:r>
        <w:rPr>
          <w:rFonts w:ascii="Times New Roman;Times;Serif" w:hAnsi="Times New Roman;Times;Serif"/>
          <w:b w:val="false"/>
          <w:i w:val="false"/>
          <w:caps w:val="false"/>
          <w:smallCaps w:val="false"/>
          <w:sz w:val="20"/>
        </w:rPr>
        <w:t>asserting that its non-invasive vagus nerve stimulation product does not infringe the Company’s U.S. Patent No. 11,446,491 (the “491 Patent”).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16, 2025, the Company filed a responsive pleading, answering the complaint and asserting counterclaims, that Pulsetto’s non-invasive vagus nerve stimulation product infringes the ‘491 Patent, as well as the Company’s U.S. Patent Nos. 8,948,873, 9,339,653, 10,874,857, 8,843,210, 9,242,092, 11,623,078, and 10,441,780, as well as claims that Pulsetto’s commercial conduct has infringed and continues to infringe the Company’s Truvaga® and gammaCore® trademarks, and committed acts of false advertising and unfair competition in violation of state and federal law. On September 5, 2025, Pulsetto requested leave to file a motion to dismiss the Company’s counterclaims for lack or jurisdiction and/or insufficient pleadings. The Company has opposed that request, which has not yet been considered by the trial judge. On September 9, 2025, the court approved a schedule for discovery, and certain proceedings, filings, submissions, motions, reports and conferences. The parties have exchanged initial requests for the production of documents relevant to the dispute and have proceeded with exchanging their respective infringement and invalidity contentions, as the case may be. Pulsetto has also moved to compel the Company to provide certain discovery information related to potential infringement damages, and the Company has opposed that motion, which has not yet been considered by the trial judge. The parties are still in the early stages of discovery. The parties held an in-person settlement conference with a Magistrate Judge on March 4, 2026. The parties were ordered to engage in private mediation, all proceedings in the lawsuit have been stayed until June 5, 2026, and the two pending motions before the trial judge have been dismissed without prejudice (subject to being refiled at a later time), while the parties proceed with court ordered private mediation. A mediation is scheduled for May 20,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Pulsetto’s claim is without merit and intends to defend vigorously against it and to pursue vigorously the Company’s patent and non-patent counterclaims against Pulsetto. The Company expenses associated legal fees in the period they are incurred, and in light of, among other things, the preliminary stage of the litigation, the Company is unable to determine the reasonable probability of loss or a range of potential loss or gain or a range of potential gain. Accordingly, the Company has not established an accrual for potential losses or gains, if any, that could result from any unfavorable or favorable outcome, and there can be no assurance that these litigation matters will not result in substantial litigation costs and/or judgments or settlements that could adversely affect the Company’s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Former CEO Retirement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and subject to the terms and conditions of the Goldberger Separation Agreement, and in accordance with our Executive Severance Policy, he will receive a cash severance payment of $</w:t>
      </w:r>
      <w:bookmarkStart w:id="541" w:name="xdx_90E_eus-gaap--SupplementalUnemployme"/>
      <w:bookmarkEnd w:id="541"/>
      <w:r>
        <w:rPr>
          <w:rFonts w:ascii="Times New Roman;Times;Serif" w:hAnsi="Times New Roman;Times;Serif"/>
          <w:b w:val="false"/>
          <w:i w:val="false"/>
          <w:caps w:val="false"/>
          <w:smallCaps w:val="false"/>
          <w:sz w:val="20"/>
        </w:rPr>
        <w:t>1,200,018, payable in substantially equal installments over the 12-month period commencing on the Company’s first regular payroll date following the Separation Date. The Company recorded a liability for the severance amount upon the execution of the Goldberger Separation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Purchase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enters into contracts in the normal course of business with contract research organizations for its clinical trials, contract manufacturing organizations for the manufacture and supply of its clinical and commercial product needs and other vendors for other research and development and commercial activities, as well as services and products for operating purposes. The Company’s agreements generally provide for termination with notice. Such agreements that are cancelable contracts are not included as purchase commitments. The Company has included as purchase obligations its commitments under agreements to the extent they are quantifiable and are not cancelable. The Company has no material purchase obligations as of March 31, 2026.</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ELECTROCORE, INC.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CVR Agreement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conjunction with the NURO acquisition on May 1, 2025, the Company entered into a contingent value rights agreement (the “CVR Agreement”) with the former shareholders of NURO which, among other things, entitles the former shareholders to </w:t>
      </w:r>
      <w:bookmarkStart w:id="542" w:name="xdx_907_eus-gaap--OtherCommitmentsDescri"/>
      <w:bookmarkEnd w:id="542"/>
      <w:r>
        <w:rPr>
          <w:rFonts w:ascii="Times New Roman;Times;Serif" w:hAnsi="Times New Roman;Times;Serif"/>
          <w:b w:val="false"/>
          <w:i w:val="false"/>
          <w:caps w:val="false"/>
          <w:smallCaps w:val="false"/>
          <w:sz w:val="20"/>
        </w:rPr>
        <w:t>(1) an amount equal to $125,000 less any funds used by the Company as of July 1, 2025 out of a reserve of $250,000 for payment of potential expenses of the Company that were reserved against NURO’s net cash balance; (2) the balance of the funds remaining in the reserve as of May 1, 2027; and (3) earnout payments after the first and second anniversaries of the acquisition based on the Company’s sale of Quell products. In October 2025, the Company distributed approximately $243,000 under the CVR Agreement. As of March 31, 2026 and December 31, 2025, the Company has recorded a liability of $572,000 and $604,000, respectively, for expected payments under the CVR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5, 2026, FDA personnel visited our facility in Rockaway, New Jersey, purportedly to inspect matters relating to the Company, including our wholly-owned subsidiary, NURO, through which we acquired the Quell product line in 2025. The visit was unannounced and characterized by the FDA as for cause, and while we believe our processes and procedures are robust and are in material compliance with the FDA’s requirements, we cannot predict the scope, duration, or outcome of this inspection, nor do we know what follow-up action, if any, the FDA will take, or which products may be at issue. As such there can be no assurance of the potential outcomes, some of which could adversely impact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43" w:name="xdx_808_eus-gaap--RelatedPartyTransactio"/>
      <w:bookmarkEnd w:id="543"/>
      <w:r>
        <w:rPr>
          <w:rFonts w:ascii="Times New Roman;Times;Serif" w:hAnsi="Times New Roman;Times;Serif"/>
          <w:b/>
          <w:i w:val="false"/>
          <w:caps w:val="false"/>
          <w:smallCaps w:val="false"/>
          <w:sz w:val="20"/>
        </w:rPr>
        <w:t xml:space="preserve">Note 16. </w:t>
      </w:r>
      <w:bookmarkStart w:id="544" w:name="xdx_826_zIzl0M5s6xna"/>
      <w:bookmarkEnd w:id="544"/>
      <w:r>
        <w:rPr>
          <w:rFonts w:ascii="Times New Roman;Times;Serif" w:hAnsi="Times New Roman;Times;Serif"/>
          <w:b/>
          <w:i w:val="false"/>
          <w:caps w:val="false"/>
          <w:smallCaps w:val="false"/>
          <w:sz w:val="20"/>
        </w:rPr>
        <w:t>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an executive of the Company co-founded the Vagus Nerve Society, an academic society dedicated to the ongoing education and training of scientists and clinicians and the power of the vagus nerve and its application in a broad spectrum of health-related conditions. During the three months ended March 31, 2026 and 2025, the Company incurred aggregate expenses of $</w:t>
      </w:r>
      <w:bookmarkStart w:id="545" w:name="xdx_908_eus-gaap--RelatedPartyTransactio"/>
      <w:bookmarkEnd w:id="545"/>
      <w:r>
        <w:rPr>
          <w:rFonts w:ascii="Times New Roman;Times;Serif" w:hAnsi="Times New Roman;Times;Serif"/>
          <w:b w:val="false"/>
          <w:i w:val="false"/>
          <w:caps w:val="false"/>
          <w:smallCaps w:val="false"/>
          <w:sz w:val="20"/>
        </w:rPr>
        <w:t>75,000 and $</w:t>
      </w:r>
      <w:bookmarkStart w:id="546" w:name="xdx_900_eus-gaap--RelatedPartyTransactio"/>
      <w:bookmarkEnd w:id="546"/>
      <w:r>
        <w:rPr>
          <w:rFonts w:ascii="Times New Roman;Times;Serif" w:hAnsi="Times New Roman;Times;Serif"/>
          <w:b w:val="false"/>
          <w:i w:val="false"/>
          <w:caps w:val="false"/>
          <w:smallCaps w:val="false"/>
          <w:sz w:val="20"/>
        </w:rPr>
        <w:t>60,000, respectively, for unrestricted and directed educational grants to the Vagus Nerve Society.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Consulting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4, 2024, the Company and a former executive entered into a consulting agreement pursuant to which the former executive will provide financial and accounting consulting services to the Company on an hourly basis for 12 months after the effective date of his retirement, which was subsequently extended to a monthly basis upon mutual agreement. During the three months ended March 31, 2026, the Company’s payments to the former executive were $</w:t>
      </w:r>
      <w:bookmarkStart w:id="547" w:name="xdx_90A_eus-gaap--ProfessionalFees_c2026"/>
      <w:bookmarkEnd w:id="547"/>
      <w:r>
        <w:rPr>
          <w:rFonts w:ascii="Times New Roman;Times;Serif" w:hAnsi="Times New Roman;Times;Serif"/>
          <w:b w:val="false"/>
          <w:i w:val="false"/>
          <w:caps w:val="false"/>
          <w:smallCaps w:val="false"/>
          <w:sz w:val="20"/>
        </w:rPr>
        <w:t>1,375.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11, 2024, the Company and a member of its board of directors entered into a consulting agreement pursuant to which the board member is expected to begin providing consulting and advisory services to the Company’s Chief Executive Officer for a one-year term as of the completion of his service on the Board, effective as of immediately prior to the Company’s 2025 Annual Meeting of Stockholders. The director will be paid an hourly or per diem fee for such services rendered, if any, and was granted a stock option to purchase </w:t>
      </w:r>
      <w:bookmarkStart w:id="548" w:name="xdx_902_eus-gaap--ShareBasedCompensation"/>
      <w:bookmarkEnd w:id="548"/>
      <w:r>
        <w:rPr>
          <w:rFonts w:ascii="Times New Roman;Times;Serif" w:hAnsi="Times New Roman;Times;Serif"/>
          <w:b w:val="false"/>
          <w:i w:val="false"/>
          <w:caps w:val="false"/>
          <w:smallCaps w:val="false"/>
          <w:sz w:val="20"/>
        </w:rPr>
        <w:t>50,000 shares of common stock of the Company at an exercise price of $</w:t>
      </w:r>
      <w:bookmarkStart w:id="549" w:name="xdx_90B_eus-gaap--ShareBasedCompensation"/>
      <w:bookmarkEnd w:id="549"/>
      <w:r>
        <w:rPr>
          <w:rFonts w:ascii="Times New Roman;Times;Serif" w:hAnsi="Times New Roman;Times;Serif"/>
          <w:b w:val="false"/>
          <w:i w:val="false"/>
          <w:caps w:val="false"/>
          <w:smallCaps w:val="false"/>
          <w:sz w:val="20"/>
        </w:rPr>
        <w:t>6.43 per share, which vested and became exercisable on September 3, 2025. The Company paid the former board member approximately $</w:t>
      </w:r>
      <w:bookmarkStart w:id="550" w:name="xdx_909_eus-gaap--ProfessionalFees_c2026"/>
      <w:bookmarkEnd w:id="550"/>
      <w:r>
        <w:rPr>
          <w:rFonts w:ascii="Times New Roman;Times;Serif" w:hAnsi="Times New Roman;Times;Serif"/>
          <w:b w:val="false"/>
          <w:i w:val="false"/>
          <w:caps w:val="false"/>
          <w:smallCaps w:val="false"/>
          <w:sz w:val="20"/>
        </w:rPr>
        <w:t>3,000 for consulting services for the three months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w:t>
      </w:r>
      <w:r>
        <w:rPr>
          <w:rFonts w:ascii="Times New Roman;Times;Serif" w:hAnsi="Times New Roman;Times;Serif"/>
          <w:b w:val="false"/>
          <w:i/>
          <w:caps w:val="false"/>
          <w:smallCaps w:val="false"/>
          <w:sz w:val="20"/>
        </w:rPr>
        <w:t>Note 13 – Stock Based Compensation”</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Note 15 – Commitments and Contingencies”</w:t>
      </w:r>
      <w:r>
        <w:rPr>
          <w:rFonts w:ascii="Times New Roman;Times;Serif" w:hAnsi="Times New Roman;Times;Serif"/>
          <w:b w:val="false"/>
          <w:i w:val="false"/>
          <w:caps w:val="false"/>
          <w:smallCaps w:val="false"/>
          <w:sz w:val="20"/>
        </w:rPr>
        <w:t xml:space="preserve"> for information regarding the Goldberger Separation Agreement.</w:t>
      </w:r>
    </w:p>
    <w:p>
      <w:pPr>
        <w:pStyle w:val="TextBody"/>
        <w:bidi w:val="0"/>
        <w:spacing w:before="0" w:after="0"/>
        <w:jc w:val="center"/>
        <w:rPr>
          <w:caps w:val="false"/>
          <w:smallCaps w:val="false"/>
        </w:rPr>
      </w:pPr>
      <w:bookmarkStart w:id="551" w:name="xdx_81B_zTXtXFHykdTf"/>
      <w:bookmarkEnd w:id="551"/>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52" w:name="Y-001"/>
      <w:bookmarkEnd w:id="552"/>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You should read the following discussion and analysis of our financial condition and results of operations together with our condensed consolidated financial statements and related notes appearing elsewhere in this Quarterly Report. In addition to historical information, this discussion and analysis contains forward-looking statements that involve risks, uncertainties and assumptions. Our actual results may differ materially from those anticipated in these forward-looking statements as a result of certain factors. We discuss factors that we believe could cause or contribute to these differences below and elsewhere in this Quarterly Report, including those set forth under Item 1A. “Risk Factors” and under “Forward-Looking Statements” in this Quarterly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Overview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electroCore is a bioelectronic technology company whose mission is to improve health and quality of life through innovative, non-invasive, bioelectronic technologies. Our two leading commercial products are gammaCore non-invasive vagus nerve stimulation, or nVNS, and Quell Fibromyalgia, or Quell. We also sell our Truvaga and TAC-STIM products, which are handheld, personal-use consumer products, developed to promote general wellness and human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proprietary nVNS technology, which works through a variety of mechanistic pathways including the modulation of neurotransmitters, and Quell for chronic pain are designed to address many of the limitations of traditional non-invasive approaches.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generates revenues from the sale of prescription medical devices and non-prescription wellness products in the United States and select overseas markets. We have two principal product categories: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center"/>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Personal use prescription medical devices for the management and treatment of certain medical conditions such as primary headache and fibromyalgia; and</w:t>
            </w:r>
          </w:p>
        </w:tc>
      </w:tr>
      <w:tr>
        <w:trPr/>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100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center"/>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Personal use consumer products that promote general wellness and human performance.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goal is to be a leader in non-invasive bioelectronic technologies delivering better health. To achieve this, we offer multiple propositions: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center"/>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Prescription medical devices for the treatment of certain FDA cleared medical conditions such as gammaCore for primary headache and Quell Fibromyalgia for fibromyalgia;</w:t>
            </w:r>
          </w:p>
        </w:tc>
      </w:tr>
      <w:tr>
        <w:trPr/>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center"/>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Nonprescription Truvaga for the support of general health and wellbeing; and</w:t>
            </w:r>
          </w:p>
        </w:tc>
      </w:tr>
      <w:tr>
        <w:trPr/>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center"/>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Non-prescription TAC-STIM for human performance.</w:t>
            </w:r>
          </w:p>
        </w:tc>
      </w:tr>
      <w:tr>
        <w:trPr/>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center"/>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FDA cleared Quell OTC for lower extremity pain.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two largest customers by revenue are the United States Department of Veterans Affairs and United States Department of Defense, or VA, and the United Kingdom National Health Service or NHS, both utilizing prescription products under qualifying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United States Department of Veteran Affairs comprised 74.8% of our revenue during the three months ended March 31, 2026. The majority of our first quarter 2026 sales were made pursuant to our qualifying Federal Supply Schedule, or FSS, contract which has an expiry date of June 14, 2030, as well as open market sales to individual facilities within the government channels. Our prescription gammaCore and Quell Fibromyalgia devices are also made available to the government channel through our relationship with Lovell and its qualifying FSS, GSA Advantage (GSA), the VA Distribution and Pricing Agreement (DAPA), and Defense Logistics Agency’s ECAT system procurement portals through the Lovell contract vehicles (ECAT).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Demand for prescription devices in the U.S. is driven by clinical data and our increased presence in the field. Our sales efforts are primarily in the government channel broadly, and specifically to our largest customer, the VA, pursuant to our FSS contract and/or through our relationship with Lovell and its qualifying FSS, GSA, DAPA, and ECAT contracts. Our sales force is comprised of an internal sales team of territory business managers who manage outside commission only sales agents and sub reps. In addition, we have a small team of dedicated resources seeking to accelerate adoption in managed care systems.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Sales to the NHS in the United Kingdom made under the U.K. MedTech Funding Mandate, or MTFM, for cluster headache (CH) comprised 3.7% of our revenue during the three months ended March 31, 2026. We plan on continuing to use this program during the remainder of 2026, and potentially in years to come.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Demand for prescription devices outside the U.S. is driven by similar factors, including the strength of our clinical and health economic data. Our sales efforts are primarily focused on headache specialists, and specifically, for cluster headache patients.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sell our general wellness products direct-to-consumer through our ecommerce site, www.truvaga.com, and through select Truvaga retail and marketplace partners, including Best Buy and Rehabmart. We also partner with organizations such as Ben Greenfield Life, Perks at Work, True Medicine and a growing number of affiliates and influencers who promote Truvaga and support awareness and customer acquisition through promotional partnerships.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sell the TAC-STIM handset for human performance as a COtS solution to active-duty military and professional organizations. We are exploring strategies to make our TAC-STIM product available to other branches of the active-duty military, first responders, elite athletes and certain human performance professionals in the United States and abroad.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Truvaga and TAC-STIM are intended for general wellness in compliance with the FDA guidance document entitled “General Wellness: Policy for Low-Risk Devices; Guidance for Industry and FDA Staff, issued on September 27, 2019” and as updated in January 2026. Truvaga and TAC-STIM handsets are not intended to diagnose, treat, cure, or prevent any disease or medical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Quell OTC is a wearable neuromodulation technology FDA cleared for Over the Counter (OTC) sales direct-to-consumer for chronic lower extremity pain. Quell OTC is no longer commercially available; however, replacement electrodes continue to be sold to existing Quell OTC customers. Although we may choose to relaunch the Quell OTC product in the direct-to-consumer business channel in the future, there can be no assurance that we will do so successfully,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a variety of challenges and risks that we will need to address and manage as we pursue our strategies, including our ability to develop and retain an effective sales force, achieve market acceptance of our medical devices among clinicians, patients, and third-party payers, expand the use of our bioelectronic technology to additional therapeutic indications, and to develop our nascent wellness and human performance business including the continued commercialization of Truvaga Plus, our app-enabled device under the Truvaga brand, and direct-to-consumer Quell OTC, a non-prescription product for lower extremity pain.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seek to execute on our strategic plans, we are also managing an executive leadership transition following recent changes to our senior management. We believe the transition provides an opportunity to strengthen operational execution, bring additional experience and perspectives to our commercial and product strategies, and enhance organizational focus as we pursue our near- and long-term objectives. However, leadership transitions can introduce operational and strategic challenges, and new leadership may implement shifts in priorities, management style, or organizational structure. These changes could result in temporary inefficiencies, delays in decision-making, or periods of misalignment across departments as roles and processes evolve. In addition, uncertainty during a transition may affect employee morale and retention, including among key personnel, and there is a risk that institutional knowledge is lost during the leadership change, which could impact our ability to manage ongoing projects, maintain customer relationships, and achieve our strategic objectives. We intend to remain focused on continuity of execution and disciplined prioritization as we navigate this transition, while continuing to evaluate the opportunities and challenges that may affect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 numerous risks and uncertainties associated with our commercialization efforts, as well as research and product development activities, there may be uncertainty regarding our ability to achieve or maintain profitability. If we fail to become profitable or are unable to sustain profitability, then we may be unable to continue our operations at planned levels and be forced to reduce or terminate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expected cash requirements for the next 12 months and beyond are based on the commercial success of our products. There are significant risks and uncertainties as to our ability to achieve these operating results. Due to these risks and uncertainties, we may need to reduce our activities significantly more than our current operating plan and cash flow projections assume in order to fund operations for the next 12 months. There can be no assurance that we will have sufficient cash flow and liquidity to fund our planned activities, which could force us to significantly reduce or curtail our activities and, ultimately, potentially cease operations. See also “Liquidity Outlook.”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24, 2025, our Form S-3 registration statement (File No. 333-284477), or the 2025 Shelf Registration Statement, was declared effective by the SEC. The 2025 Shelf Registration Statement relates to the potential offering and issuance from time to time of common stock, preferred stock, warrants, rights, debt securities and units, up to an aggregate amount of $100.0 million. The proposed maximum offering price per unit and the proposed maximum aggregate offering price per class of security in any future offering under the 2025 Shelf Registration Statement will be determined from time to time by us in connection with the issuance by us of the securities registered under the 2025 Shelf Registration Statement. As of May 1, 2026, we have $99.0 million remaining for potential issuance under the 2025 Shelf Registration Statement (including $18.8 million under the Sales Agreement (as defined below)). As of the date of this Quarterly Report, the aggregate market value of our securities held by non-affiliates is below $75.0 million, and until such time as the aggregate market value of our securities held by non-affiliates equals or exceeds $75.0 million, the aggregate maximum offering price of all securities deemed to be issued by us in any given 12-calendar month period pursuant to the 2025 Shelf Registration Statement may not exceed one-third of the aggregate market value of our securities held by non-affiliates, and thus may be limited. If we raise additional funds by issuing equity or debt securities, either through the sale of securities pursuant to a registration statement or by other means, our existing stockholders may experience dilution, and the new equity or debt securities may have rights, preferences and privileges senior to those of our existing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4, 2025 (the “LSA Closing Date”), we, and our wholly owned subsidiary, NURO, each as borrowers, entered into a Loan and Security Agreement (the “Loan and Security Agreement”), with Avenue Venture Opportunities Fund II, L.P. (“Avenue”), as administrative agent and collateral agent, and as lender, that is secured by a lien on substantially all of our assets, including a negative pledge on intellectual property, subject to limited exceptions, pursuant to the Loan and Security Agreement. The Loan and Security Agreement provides for term loans in an aggregate principal amount of up to $12.0 million (the “Loan Amount”) to be delivered in two tranches (the “Term Loans”). The tranches consist of (i) a term loan advanced to the Company on the LSA Closing Date in an aggregate principal amount of $7.5 million (“Tranche 1”), and (ii) subject to the achievement of certain performance milestones set forth in the Loan and Security Agreement, a right of the Company to request that Avenue make additional term loan advances to the Company in an aggregate principal amount of up to $4.5 million (“Tranche 2”), which right expired on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29, 2024, we entered into the Sales Agreement with Wainwright. Under the Sales Agreement, the Company may offer and sell shares of its common stock, par value $0.001 per share, from time to time having an aggregate offering price of up to $20 million (the “ATM Shares”) during the term of the Sales Agreement through Wainwright, acting as sales agent. The Company has filed a prospectus supplement relating to the offer and sale of the Shares pursuant to the Sales Agreement. The ATM Shares were registered under the Company’s previously filed and effective Registration Statement on Form S-3 (File No. 333-262223) (the “2022 Shelf Registration Statement”), which was initially filed with the Securities and Exchange Commission (the “SEC”) on January 18, 2022 and declared effective on January 25, 2022. As of the date hereof, the 2022 Shelf Registration Statement has expired, and any sales of ATM Shares will be made pursuant to the 2025 Shelf Registration Statement. The Company intends to use the net proceeds from any offering pursuant to the Sales Agreement to continue to fund sales and marketing, working capital and for other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sales were made pursuant to the Sales Agreement during the three months ended March 31, 2026. Subsequent to that date, the Company sold 150,357 shares of its common stock at a weighted average price of $6.62 per share, net of issuance costs, for approximately $0.96 million in net proceeds, pursuant to the Sales Agreement. As of May 1, 2026, the Company had approximately $18.8 million of ATM Shares remaining available for issuance under the Sales Agreement. Additionally, the Company received net proceeds of $44,000 from the exercise of 11,331 warrants subsequent to March 31, 2026.</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prepare our condensed consolidated financial statements in accordance with U.S. generally accepted accounting principles, which require our management to make estimates that affect the reported amounts of assets, liabilities and disclosures of contingent assets and liabilities at the balance sheet dates, as well as the reported amounts of revenues and expenses during the reporting periods. To the extent that there are material differences between these estimates and actual results, our financial condition or results of operations would be affected. We base our estimates on our own historical experience and other assumptions that we believe are reasonable after taking account of our circumstances and expectations for the future based on available information. We evaluate these estimates on an ongoing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an accounting estimate to be critical if: (1) the accounting estimate requires us to make assumptions about matters that were highly uncertain at the time the accounting estimate was made, and (2) changes in the estimate that are reasonably likely to occur from period to period, or use of different estimates that we reasonably could have used in the current period, would have a material impact on our financial condition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there are items within our financial statements that require management to make accounting estimates, we do not believe them to be critical, as defined above.</w:t>
      </w:r>
    </w:p>
    <w:p>
      <w:pPr>
        <w:pStyle w:val="TextBody"/>
        <w:bidi w:val="0"/>
        <w:spacing w:before="0" w:after="0"/>
        <w:ind w:left="0" w:right="0" w:hanging="0"/>
        <w:jc w:val="left"/>
        <w:rPr>
          <w:caps w:val="false"/>
          <w:smallCaps w:val="false"/>
          <w:color w:val="242424"/>
        </w:rPr>
      </w:pPr>
      <w:r>
        <w:rPr>
          <w:caps w:val="false"/>
          <w:smallCaps w:val="false"/>
          <w:color w:val="242424"/>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Comparison of the three months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results of operations for the three months ended March 31, 2026 and 2025 with the changes in those items in dollars.</w:t>
      </w:r>
    </w:p>
    <w:p>
      <w:pPr>
        <w:pStyle w:val="TextBody"/>
        <w:bidi w:val="0"/>
        <w:spacing w:before="0" w:after="0"/>
        <w:ind w:left="0" w:right="0" w:hanging="0"/>
        <w:jc w:val="left"/>
        <w:rPr>
          <w:caps w:val="false"/>
          <w:smallCaps w:val="false"/>
        </w:rPr>
      </w:pPr>
      <w:r>
        <w:rPr>
          <w:caps w:val="false"/>
          <w:smallCaps w:val="false"/>
        </w:rPr>
        <w:t> </w:t>
      </w:r>
    </w:p>
    <w:tbl>
      <w:tblPr>
        <w:tblW w:w="7776" w:type="dxa"/>
        <w:jc w:val="left"/>
        <w:tblInd w:w="0" w:type="dxa"/>
        <w:tblLayout w:type="fixed"/>
        <w:tblCellMar>
          <w:top w:w="0" w:type="dxa"/>
          <w:left w:w="0" w:type="dxa"/>
          <w:bottom w:w="0" w:type="dxa"/>
          <w:right w:w="0" w:type="dxa"/>
        </w:tblCellMar>
      </w:tblPr>
      <w:tblGrid>
        <w:gridCol w:w="3290"/>
        <w:gridCol w:w="60"/>
        <w:gridCol w:w="241"/>
        <w:gridCol w:w="1174"/>
        <w:gridCol w:w="371"/>
        <w:gridCol w:w="103"/>
        <w:gridCol w:w="241"/>
        <w:gridCol w:w="1096"/>
        <w:gridCol w:w="215"/>
        <w:gridCol w:w="60"/>
        <w:gridCol w:w="147"/>
        <w:gridCol w:w="668"/>
        <w:gridCol w:w="110"/>
      </w:tblGrid>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2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b/>
                <w:i/>
              </w:rPr>
            </w:pPr>
            <w:r>
              <w:rPr>
                <w:b/>
                <w:i/>
              </w:rPr>
              <w:t>(in thousands)</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371"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3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110"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Net sales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9,584</w:t>
            </w:r>
          </w:p>
        </w:tc>
        <w:tc>
          <w:tcPr>
            <w:tcW w:w="371"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096" w:type="dxa"/>
            <w:tcBorders/>
            <w:shd w:fill="CCEEFF" w:val="clear"/>
            <w:vAlign w:val="center"/>
          </w:tcPr>
          <w:p>
            <w:pPr>
              <w:pStyle w:val="TableContents"/>
              <w:bidi w:val="0"/>
              <w:spacing w:before="0" w:after="283"/>
              <w:jc w:val="right"/>
              <w:rPr/>
            </w:pPr>
            <w:r>
              <w:rPr/>
              <w:t>6,719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668" w:type="dxa"/>
            <w:tcBorders/>
            <w:shd w:fill="CCEEFF" w:val="clear"/>
            <w:vAlign w:val="center"/>
          </w:tcPr>
          <w:p>
            <w:pPr>
              <w:pStyle w:val="TableContents"/>
              <w:bidi w:val="0"/>
              <w:spacing w:before="0" w:after="283"/>
              <w:jc w:val="right"/>
              <w:rPr/>
            </w:pPr>
            <w:r>
              <w:rPr/>
              <w:t>2,865</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Cost of goods sold</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4" w:type="dxa"/>
            <w:tcBorders>
              <w:bottom w:val="single" w:sz="8" w:space="0" w:color="000000"/>
            </w:tcBorders>
            <w:shd w:fill="FFFFFF" w:val="clear"/>
            <w:tcMar>
              <w:bottom w:w="28" w:type="dxa"/>
            </w:tcMar>
            <w:vAlign w:val="center"/>
          </w:tcPr>
          <w:p>
            <w:pPr>
              <w:pStyle w:val="TableContents"/>
              <w:bidi w:val="0"/>
              <w:spacing w:before="0" w:after="283"/>
              <w:jc w:val="right"/>
              <w:rPr/>
            </w:pPr>
            <w:r>
              <w:rPr/>
              <w:t>1,220</w:t>
            </w:r>
          </w:p>
        </w:tc>
        <w:tc>
          <w:tcPr>
            <w:tcW w:w="371"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6" w:type="dxa"/>
            <w:tcBorders>
              <w:bottom w:val="single" w:sz="8" w:space="0" w:color="000000"/>
            </w:tcBorders>
            <w:shd w:fill="FFFFFF" w:val="clear"/>
            <w:tcMar>
              <w:bottom w:w="28" w:type="dxa"/>
            </w:tcMar>
            <w:vAlign w:val="center"/>
          </w:tcPr>
          <w:p>
            <w:pPr>
              <w:pStyle w:val="TableContents"/>
              <w:bidi w:val="0"/>
              <w:spacing w:before="0" w:after="283"/>
              <w:jc w:val="right"/>
              <w:rPr/>
            </w:pPr>
            <w:r>
              <w:rPr/>
              <w:t>1,013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FFFFFF" w:val="clear"/>
            <w:tcMar>
              <w:bottom w:w="28" w:type="dxa"/>
            </w:tcMar>
            <w:vAlign w:val="center"/>
          </w:tcPr>
          <w:p>
            <w:pPr>
              <w:pStyle w:val="TableContents"/>
              <w:bidi w:val="0"/>
              <w:spacing w:before="0" w:after="283"/>
              <w:jc w:val="right"/>
              <w:rPr/>
            </w:pPr>
            <w:r>
              <w:rPr/>
              <w:t>207</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8,364</w:t>
            </w:r>
          </w:p>
        </w:tc>
        <w:tc>
          <w:tcPr>
            <w:tcW w:w="371"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5,706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2,658</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i/>
              </w:rPr>
            </w:pPr>
            <w:r>
              <w:rPr>
                <w:i/>
              </w:rPr>
              <w:t>Gross margin</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i/>
              </w:rPr>
            </w:pPr>
            <w:r>
              <w:rPr>
                <w:i/>
              </w:rPr>
              <w:t>87</w:t>
            </w:r>
          </w:p>
        </w:tc>
        <w:tc>
          <w:tcPr>
            <w:tcW w:w="371" w:type="dxa"/>
            <w:tcBorders/>
            <w:shd w:fill="FFFFFF" w:val="clear"/>
            <w:vAlign w:val="center"/>
          </w:tcPr>
          <w:p>
            <w:pPr>
              <w:pStyle w:val="TableContents"/>
              <w:bidi w:val="0"/>
              <w:spacing w:before="0" w:after="283"/>
              <w:jc w:val="left"/>
              <w:rPr>
                <w:i/>
              </w:rPr>
            </w:pPr>
            <w:r>
              <w:rPr>
                <w:i/>
              </w:rPr>
              <w:t>%</w:t>
            </w:r>
          </w:p>
        </w:tc>
        <w:tc>
          <w:tcPr>
            <w:tcW w:w="10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i/>
              </w:rPr>
            </w:pPr>
            <w:r>
              <w:rPr>
                <w:i/>
              </w:rPr>
              <w:t>85</w:t>
            </w:r>
          </w:p>
        </w:tc>
        <w:tc>
          <w:tcPr>
            <w:tcW w:w="215" w:type="dxa"/>
            <w:tcBorders/>
            <w:shd w:fill="FFFFFF" w:val="clear"/>
            <w:vAlign w:val="center"/>
          </w:tcPr>
          <w:p>
            <w:pPr>
              <w:pStyle w:val="TableContents"/>
              <w:bidi w:val="0"/>
              <w:spacing w:before="0" w:after="283"/>
              <w:jc w:val="left"/>
              <w:rPr>
                <w:i/>
              </w:rPr>
            </w:pPr>
            <w:r>
              <w:rPr>
                <w:i/>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 </w:t>
            </w:r>
          </w:p>
        </w:tc>
        <w:tc>
          <w:tcPr>
            <w:tcW w:w="371"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740</w:t>
            </w:r>
          </w:p>
        </w:tc>
        <w:tc>
          <w:tcPr>
            <w:tcW w:w="371"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642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98</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4" w:type="dxa"/>
            <w:tcBorders>
              <w:bottom w:val="single" w:sz="8" w:space="0" w:color="000000"/>
            </w:tcBorders>
            <w:shd w:fill="CCEEFF" w:val="clear"/>
            <w:tcMar>
              <w:bottom w:w="28" w:type="dxa"/>
            </w:tcMar>
            <w:vAlign w:val="center"/>
          </w:tcPr>
          <w:p>
            <w:pPr>
              <w:pStyle w:val="TableContents"/>
              <w:bidi w:val="0"/>
              <w:spacing w:before="0" w:after="283"/>
              <w:jc w:val="right"/>
              <w:rPr/>
            </w:pPr>
            <w:r>
              <w:rPr/>
              <w:t>12,940</w:t>
            </w:r>
          </w:p>
        </w:tc>
        <w:tc>
          <w:tcPr>
            <w:tcW w:w="371"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6" w:type="dxa"/>
            <w:tcBorders>
              <w:bottom w:val="single" w:sz="8" w:space="0" w:color="000000"/>
            </w:tcBorders>
            <w:shd w:fill="CCEEFF" w:val="clear"/>
            <w:tcMar>
              <w:bottom w:w="28" w:type="dxa"/>
            </w:tcMar>
            <w:vAlign w:val="center"/>
          </w:tcPr>
          <w:p>
            <w:pPr>
              <w:pStyle w:val="TableContents"/>
              <w:bidi w:val="0"/>
              <w:spacing w:before="0" w:after="283"/>
              <w:jc w:val="right"/>
              <w:rPr/>
            </w:pPr>
            <w:r>
              <w:rPr/>
              <w:t>8,886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CCEEFF" w:val="clear"/>
            <w:tcMar>
              <w:bottom w:w="28" w:type="dxa"/>
            </w:tcMar>
            <w:vAlign w:val="center"/>
          </w:tcPr>
          <w:p>
            <w:pPr>
              <w:pStyle w:val="TableContents"/>
              <w:bidi w:val="0"/>
              <w:spacing w:before="0" w:after="283"/>
              <w:jc w:val="right"/>
              <w:rPr/>
            </w:pPr>
            <w:r>
              <w:rPr/>
              <w:t>4,054</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4" w:type="dxa"/>
            <w:tcBorders>
              <w:bottom w:val="single" w:sz="8" w:space="0" w:color="000000"/>
            </w:tcBorders>
            <w:shd w:fill="FFFFFF" w:val="clear"/>
            <w:tcMar>
              <w:bottom w:w="28" w:type="dxa"/>
            </w:tcMar>
            <w:vAlign w:val="center"/>
          </w:tcPr>
          <w:p>
            <w:pPr>
              <w:pStyle w:val="TableContents"/>
              <w:bidi w:val="0"/>
              <w:spacing w:before="0" w:after="283"/>
              <w:jc w:val="right"/>
              <w:rPr/>
            </w:pPr>
            <w:r>
              <w:rPr/>
              <w:t>13,680</w:t>
            </w:r>
          </w:p>
        </w:tc>
        <w:tc>
          <w:tcPr>
            <w:tcW w:w="371"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6" w:type="dxa"/>
            <w:tcBorders>
              <w:bottom w:val="single" w:sz="8" w:space="0" w:color="000000"/>
            </w:tcBorders>
            <w:shd w:fill="FFFFFF" w:val="clear"/>
            <w:tcMar>
              <w:bottom w:w="28" w:type="dxa"/>
            </w:tcMar>
            <w:vAlign w:val="center"/>
          </w:tcPr>
          <w:p>
            <w:pPr>
              <w:pStyle w:val="TableContents"/>
              <w:bidi w:val="0"/>
              <w:spacing w:before="0" w:after="283"/>
              <w:jc w:val="right"/>
              <w:rPr/>
            </w:pPr>
            <w:r>
              <w:rPr/>
              <w:t>9,528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FFFFFF" w:val="clear"/>
            <w:tcMar>
              <w:bottom w:w="28" w:type="dxa"/>
            </w:tcMar>
            <w:vAlign w:val="center"/>
          </w:tcPr>
          <w:p>
            <w:pPr>
              <w:pStyle w:val="TableContents"/>
              <w:bidi w:val="0"/>
              <w:spacing w:before="0" w:after="283"/>
              <w:jc w:val="right"/>
              <w:rPr/>
            </w:pPr>
            <w:r>
              <w:rPr/>
              <w:t>4,152</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(5,316</w:t>
            </w:r>
          </w:p>
        </w:tc>
        <w:tc>
          <w:tcPr>
            <w:tcW w:w="371" w:type="dxa"/>
            <w:tcBorders/>
            <w:shd w:fill="CCEEFF" w:val="clear"/>
            <w:vAlign w:val="center"/>
          </w:tcPr>
          <w:p>
            <w:pPr>
              <w:pStyle w:val="TableContents"/>
              <w:bidi w:val="0"/>
              <w:spacing w:before="0" w:after="283"/>
              <w:jc w:val="left"/>
              <w:rPr/>
            </w:pPr>
            <w:r>
              <w:rPr/>
              <w:t>)</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(3,822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(1,494</w:t>
            </w:r>
          </w:p>
        </w:tc>
        <w:tc>
          <w:tcPr>
            <w:tcW w:w="110" w:type="dxa"/>
            <w:tcBorders/>
            <w:shd w:fill="CCEEFF" w:val="clear"/>
            <w:vAlign w:val="center"/>
          </w:tcPr>
          <w:p>
            <w:pPr>
              <w:pStyle w:val="TableContents"/>
              <w:bidi w:val="0"/>
              <w:spacing w:before="0" w:after="283"/>
              <w:jc w:val="left"/>
              <w:rPr/>
            </w:pPr>
            <w:r>
              <w:rPr/>
              <w:t>)</w:t>
            </w:r>
          </w:p>
        </w:tc>
      </w:tr>
      <w:tr>
        <w:trPr/>
        <w:tc>
          <w:tcPr>
            <w:tcW w:w="3290" w:type="dxa"/>
            <w:tcBorders/>
            <w:shd w:fill="FFFFFF" w:val="clear"/>
            <w:vAlign w:val="center"/>
          </w:tcPr>
          <w:p>
            <w:pPr>
              <w:pStyle w:val="TableContents"/>
              <w:bidi w:val="0"/>
              <w:spacing w:before="0" w:after="283"/>
              <w:jc w:val="left"/>
              <w:rPr/>
            </w:pPr>
            <w:r>
              <w:rPr/>
              <w:t>Other (income) expense:</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 </w:t>
            </w:r>
          </w:p>
        </w:tc>
        <w:tc>
          <w:tcPr>
            <w:tcW w:w="371"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Interest and other income</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(52</w:t>
            </w:r>
          </w:p>
        </w:tc>
        <w:tc>
          <w:tcPr>
            <w:tcW w:w="371" w:type="dxa"/>
            <w:tcBorders/>
            <w:shd w:fill="CCEEFF" w:val="clear"/>
            <w:vAlign w:val="center"/>
          </w:tcPr>
          <w:p>
            <w:pPr>
              <w:pStyle w:val="TableContents"/>
              <w:bidi w:val="0"/>
              <w:spacing w:before="0" w:after="283"/>
              <w:jc w:val="left"/>
              <w:rPr/>
            </w:pPr>
            <w:r>
              <w:rPr/>
              <w:t>)</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(83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31</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318</w:t>
            </w:r>
          </w:p>
        </w:tc>
        <w:tc>
          <w:tcPr>
            <w:tcW w:w="371"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313</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Other expense</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4" w:type="dxa"/>
            <w:tcBorders>
              <w:bottom w:val="single" w:sz="8" w:space="0" w:color="000000"/>
            </w:tcBorders>
            <w:shd w:fill="CCEEFF" w:val="clear"/>
            <w:tcMar>
              <w:bottom w:w="28" w:type="dxa"/>
            </w:tcMar>
            <w:vAlign w:val="center"/>
          </w:tcPr>
          <w:p>
            <w:pPr>
              <w:pStyle w:val="TableContents"/>
              <w:bidi w:val="0"/>
              <w:spacing w:before="0" w:after="283"/>
              <w:jc w:val="right"/>
              <w:rPr/>
            </w:pPr>
            <w:r>
              <w:rPr/>
              <w:t>10</w:t>
            </w:r>
          </w:p>
        </w:tc>
        <w:tc>
          <w:tcPr>
            <w:tcW w:w="371"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6" w:type="dxa"/>
            <w:tcBorders>
              <w:bottom w:val="single" w:sz="8" w:space="0" w:color="000000"/>
            </w:tcBorders>
            <w:shd w:fill="CCEEFF" w:val="clear"/>
            <w:tcMar>
              <w:bottom w:w="28" w:type="dxa"/>
            </w:tcMar>
            <w:vAlign w:val="center"/>
          </w:tcPr>
          <w:p>
            <w:pPr>
              <w:pStyle w:val="TableContents"/>
              <w:bidi w:val="0"/>
              <w:spacing w:before="0" w:after="283"/>
              <w:jc w:val="right"/>
              <w:rPr/>
            </w:pPr>
            <w:r>
              <w:rPr/>
              <w:t>159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CCEEFF" w:val="clear"/>
            <w:tcMar>
              <w:bottom w:w="28" w:type="dxa"/>
            </w:tcMar>
            <w:vAlign w:val="center"/>
          </w:tcPr>
          <w:p>
            <w:pPr>
              <w:pStyle w:val="TableContents"/>
              <w:bidi w:val="0"/>
              <w:spacing w:before="0" w:after="283"/>
              <w:jc w:val="right"/>
              <w:rPr/>
            </w:pPr>
            <w:r>
              <w:rPr/>
              <w:t>(149</w:t>
            </w:r>
          </w:p>
        </w:tc>
        <w:tc>
          <w:tcPr>
            <w:tcW w:w="110" w:type="dxa"/>
            <w:tcBorders/>
            <w:shd w:fill="CCEEFF" w:val="clear"/>
            <w:vAlign w:val="center"/>
          </w:tcPr>
          <w:p>
            <w:pPr>
              <w:pStyle w:val="TableContents"/>
              <w:bidi w:val="0"/>
              <w:spacing w:before="0" w:after="283"/>
              <w:jc w:val="left"/>
              <w:rPr/>
            </w:pPr>
            <w:r>
              <w:rPr/>
              <w:t>)</w:t>
            </w:r>
          </w:p>
        </w:tc>
      </w:tr>
      <w:tr>
        <w:trPr/>
        <w:tc>
          <w:tcPr>
            <w:tcW w:w="3290" w:type="dxa"/>
            <w:tcBorders/>
            <w:shd w:fill="FFFFFF" w:val="clear"/>
            <w:vAlign w:val="center"/>
          </w:tcPr>
          <w:p>
            <w:pPr>
              <w:pStyle w:val="TableContents"/>
              <w:bidi w:val="0"/>
              <w:spacing w:before="0" w:after="283"/>
              <w:jc w:val="left"/>
              <w:rPr/>
            </w:pPr>
            <w:r>
              <w:rPr/>
              <w:t>Total other expense</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4" w:type="dxa"/>
            <w:tcBorders>
              <w:bottom w:val="single" w:sz="8" w:space="0" w:color="000000"/>
            </w:tcBorders>
            <w:shd w:fill="FFFFFF" w:val="clear"/>
            <w:tcMar>
              <w:bottom w:w="28" w:type="dxa"/>
            </w:tcMar>
            <w:vAlign w:val="center"/>
          </w:tcPr>
          <w:p>
            <w:pPr>
              <w:pStyle w:val="TableContents"/>
              <w:bidi w:val="0"/>
              <w:spacing w:before="0" w:after="283"/>
              <w:jc w:val="right"/>
              <w:rPr/>
            </w:pPr>
            <w:r>
              <w:rPr/>
              <w:t>276</w:t>
            </w:r>
          </w:p>
        </w:tc>
        <w:tc>
          <w:tcPr>
            <w:tcW w:w="371"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6" w:type="dxa"/>
            <w:tcBorders>
              <w:bottom w:val="single" w:sz="8" w:space="0" w:color="000000"/>
            </w:tcBorders>
            <w:shd w:fill="FFFFFF" w:val="clear"/>
            <w:tcMar>
              <w:bottom w:w="28" w:type="dxa"/>
            </w:tcMar>
            <w:vAlign w:val="center"/>
          </w:tcPr>
          <w:p>
            <w:pPr>
              <w:pStyle w:val="TableContents"/>
              <w:bidi w:val="0"/>
              <w:spacing w:before="0" w:after="283"/>
              <w:jc w:val="right"/>
              <w:rPr/>
            </w:pPr>
            <w:r>
              <w:rPr/>
              <w:t>81</w:t>
            </w:r>
          </w:p>
        </w:tc>
        <w:tc>
          <w:tcPr>
            <w:tcW w:w="21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FFFFFF" w:val="clear"/>
            <w:tcMar>
              <w:bottom w:w="28" w:type="dxa"/>
            </w:tcMar>
            <w:vAlign w:val="center"/>
          </w:tcPr>
          <w:p>
            <w:pPr>
              <w:pStyle w:val="TableContents"/>
              <w:bidi w:val="0"/>
              <w:spacing w:before="0" w:after="283"/>
              <w:jc w:val="right"/>
              <w:rPr/>
            </w:pPr>
            <w:r>
              <w:rPr/>
              <w:t>195</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Loss before income taxes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(5,592</w:t>
            </w:r>
          </w:p>
        </w:tc>
        <w:tc>
          <w:tcPr>
            <w:tcW w:w="371" w:type="dxa"/>
            <w:tcBorders/>
            <w:shd w:fill="CCEEFF" w:val="clear"/>
            <w:vAlign w:val="center"/>
          </w:tcPr>
          <w:p>
            <w:pPr>
              <w:pStyle w:val="TableContents"/>
              <w:bidi w:val="0"/>
              <w:spacing w:before="0" w:after="283"/>
              <w:jc w:val="left"/>
              <w:rPr/>
            </w:pPr>
            <w:r>
              <w:rPr/>
              <w:t>)</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(3,903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(1,689</w:t>
            </w:r>
          </w:p>
        </w:tc>
        <w:tc>
          <w:tcPr>
            <w:tcW w:w="110" w:type="dxa"/>
            <w:tcBorders/>
            <w:shd w:fill="CCEEFF" w:val="clear"/>
            <w:vAlign w:val="center"/>
          </w:tcPr>
          <w:p>
            <w:pPr>
              <w:pStyle w:val="TableContents"/>
              <w:bidi w:val="0"/>
              <w:spacing w:before="0" w:after="283"/>
              <w:jc w:val="left"/>
              <w:rPr/>
            </w:pPr>
            <w:r>
              <w:rPr/>
              <w:t>)</w:t>
            </w:r>
          </w:p>
        </w:tc>
      </w:tr>
      <w:tr>
        <w:trPr/>
        <w:tc>
          <w:tcPr>
            <w:tcW w:w="3290" w:type="dxa"/>
            <w:tcBorders/>
            <w:shd w:fill="FFFFFF" w:val="clear"/>
            <w:vAlign w:val="center"/>
          </w:tcPr>
          <w:p>
            <w:pPr>
              <w:pStyle w:val="TableContents"/>
              <w:bidi w:val="0"/>
              <w:spacing w:before="0" w:after="283"/>
              <w:jc w:val="left"/>
              <w:rPr/>
            </w:pPr>
            <w:r>
              <w:rPr/>
              <w:t>Benefit from income taxes</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4" w:type="dxa"/>
            <w:tcBorders>
              <w:bottom w:val="single" w:sz="8" w:space="0" w:color="000000"/>
            </w:tcBorders>
            <w:shd w:fill="FFFFFF" w:val="clear"/>
            <w:tcMar>
              <w:bottom w:w="28" w:type="dxa"/>
            </w:tcMar>
            <w:vAlign w:val="center"/>
          </w:tcPr>
          <w:p>
            <w:pPr>
              <w:pStyle w:val="TableContents"/>
              <w:bidi w:val="0"/>
              <w:spacing w:before="0" w:after="283"/>
              <w:jc w:val="right"/>
              <w:rPr/>
            </w:pPr>
            <w:r>
              <w:rPr/>
              <w:t>321</w:t>
            </w:r>
          </w:p>
        </w:tc>
        <w:tc>
          <w:tcPr>
            <w:tcW w:w="371"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6" w:type="dxa"/>
            <w:tcBorders>
              <w:bottom w:val="single" w:sz="8" w:space="0" w:color="000000"/>
            </w:tcBorders>
            <w:shd w:fill="FFFFFF" w:val="clear"/>
            <w:tcMar>
              <w:bottom w:w="28" w:type="dxa"/>
            </w:tcMar>
            <w:vAlign w:val="center"/>
          </w:tcPr>
          <w:p>
            <w:pPr>
              <w:pStyle w:val="TableContents"/>
              <w:bidi w:val="0"/>
              <w:spacing w:before="0" w:after="283"/>
              <w:jc w:val="right"/>
              <w:rPr/>
            </w:pPr>
            <w:r>
              <w:rPr/>
              <w:t>48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FFFFFF" w:val="clear"/>
            <w:tcMar>
              <w:bottom w:w="28" w:type="dxa"/>
            </w:tcMar>
            <w:vAlign w:val="center"/>
          </w:tcPr>
          <w:p>
            <w:pPr>
              <w:pStyle w:val="TableContents"/>
              <w:bidi w:val="0"/>
              <w:spacing w:before="0" w:after="283"/>
              <w:jc w:val="right"/>
              <w:rPr/>
            </w:pPr>
            <w:r>
              <w:rPr/>
              <w:t>273</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4" w:type="dxa"/>
            <w:tcBorders>
              <w:bottom w:val="double" w:sz="6" w:space="0" w:color="000000"/>
            </w:tcBorders>
            <w:shd w:fill="CCEEFF" w:val="clear"/>
            <w:tcMar>
              <w:bottom w:w="28" w:type="dxa"/>
            </w:tcMar>
            <w:vAlign w:val="center"/>
          </w:tcPr>
          <w:p>
            <w:pPr>
              <w:pStyle w:val="TableContents"/>
              <w:bidi w:val="0"/>
              <w:spacing w:before="0" w:after="283"/>
              <w:jc w:val="right"/>
              <w:rPr/>
            </w:pPr>
            <w:r>
              <w:rPr/>
              <w:t>(5,271</w:t>
            </w:r>
          </w:p>
        </w:tc>
        <w:tc>
          <w:tcPr>
            <w:tcW w:w="371" w:type="dxa"/>
            <w:tcBorders/>
            <w:shd w:fill="CCEEFF" w:val="clear"/>
            <w:vAlign w:val="center"/>
          </w:tcPr>
          <w:p>
            <w:pPr>
              <w:pStyle w:val="TableContents"/>
              <w:bidi w:val="0"/>
              <w:spacing w:before="0" w:after="283"/>
              <w:jc w:val="left"/>
              <w:rPr/>
            </w:pPr>
            <w:r>
              <w:rPr/>
              <w:t>)</w:t>
            </w:r>
          </w:p>
        </w:tc>
        <w:tc>
          <w:tcPr>
            <w:tcW w:w="103" w:type="dxa"/>
            <w:tcBorders/>
            <w:shd w:fill="CCEEFF" w:val="clear"/>
            <w:vAlign w:val="center"/>
          </w:tcPr>
          <w:p>
            <w:pPr>
              <w:pStyle w:val="TableContents"/>
              <w:bidi w:val="0"/>
              <w:spacing w:before="0" w:after="283"/>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96" w:type="dxa"/>
            <w:tcBorders>
              <w:bottom w:val="double" w:sz="6" w:space="0" w:color="000000"/>
            </w:tcBorders>
            <w:shd w:fill="CCEEFF" w:val="clear"/>
            <w:tcMar>
              <w:bottom w:w="28" w:type="dxa"/>
            </w:tcMar>
            <w:vAlign w:val="center"/>
          </w:tcPr>
          <w:p>
            <w:pPr>
              <w:pStyle w:val="TableContents"/>
              <w:bidi w:val="0"/>
              <w:spacing w:before="0" w:after="283"/>
              <w:jc w:val="right"/>
              <w:rPr/>
            </w:pPr>
            <w:r>
              <w:rPr/>
              <w:t>(3,855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68" w:type="dxa"/>
            <w:tcBorders>
              <w:bottom w:val="double" w:sz="6" w:space="0" w:color="000000"/>
            </w:tcBorders>
            <w:shd w:fill="CCEEFF" w:val="clear"/>
            <w:tcMar>
              <w:bottom w:w="28" w:type="dxa"/>
            </w:tcMar>
            <w:vAlign w:val="center"/>
          </w:tcPr>
          <w:p>
            <w:pPr>
              <w:pStyle w:val="TableContents"/>
              <w:bidi w:val="0"/>
              <w:spacing w:before="0" w:after="283"/>
              <w:jc w:val="right"/>
              <w:rPr/>
            </w:pPr>
            <w:r>
              <w:rPr/>
              <w:t>(1,416</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for the three months ended March 31, 2026 increased 43% to $9.6 million as compared to the three months ended March 31, 2025. The increase of $2.9 million is primarily due to an increase in net sales of prescription (Rx) gammaCore to the VA, sales of Quell Fibromyalgia products, which were acquired from NURO in May 2025 and are also sold to the VA, and revenue from the sales of our nonprescription general wellness Truvaga products. We expect that the majority of 2026 fiscal year revenue will continue to come from the U.S. Department of Veterans Affairs.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net sales by channel:</w:t>
      </w:r>
    </w:p>
    <w:p>
      <w:pPr>
        <w:pStyle w:val="TextBody"/>
        <w:bidi w:val="0"/>
        <w:spacing w:before="0" w:after="0"/>
        <w:ind w:left="0" w:right="0" w:hanging="0"/>
        <w:jc w:val="both"/>
        <w:rPr>
          <w:caps w:val="false"/>
          <w:smallCaps w:val="false"/>
        </w:rPr>
      </w:pPr>
      <w:r>
        <w:rPr>
          <w:caps w:val="false"/>
          <w:smallCaps w:val="false"/>
        </w:rPr>
        <w:t> </w:t>
      </w:r>
    </w:p>
    <w:tbl>
      <w:tblPr>
        <w:tblW w:w="5798" w:type="dxa"/>
        <w:jc w:val="left"/>
        <w:tblInd w:w="0" w:type="dxa"/>
        <w:tblLayout w:type="fixed"/>
        <w:tblCellMar>
          <w:top w:w="0" w:type="dxa"/>
          <w:left w:w="0" w:type="dxa"/>
          <w:bottom w:w="0" w:type="dxa"/>
          <w:right w:w="0" w:type="dxa"/>
        </w:tblCellMar>
      </w:tblPr>
      <w:tblGrid>
        <w:gridCol w:w="2435"/>
        <w:gridCol w:w="60"/>
        <w:gridCol w:w="297"/>
        <w:gridCol w:w="1190"/>
        <w:gridCol w:w="127"/>
        <w:gridCol w:w="127"/>
        <w:gridCol w:w="297"/>
        <w:gridCol w:w="1190"/>
        <w:gridCol w:w="75"/>
      </w:tblGrid>
      <w:tr>
        <w:trPr/>
        <w:tc>
          <w:tcPr>
            <w:tcW w:w="2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2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75" w:type="dxa"/>
            <w:tcBorders/>
            <w:vAlign w:val="center"/>
          </w:tcPr>
          <w:p>
            <w:pPr>
              <w:pStyle w:val="TableContents"/>
              <w:bidi w:val="0"/>
              <w:spacing w:before="0" w:after="283"/>
              <w:jc w:val="left"/>
              <w:rPr/>
            </w:pPr>
            <w:r>
              <w:rPr/>
              <w:t> </w:t>
            </w:r>
          </w:p>
        </w:tc>
      </w:tr>
      <w:tr>
        <w:trPr/>
        <w:tc>
          <w:tcPr>
            <w:tcW w:w="2435" w:type="dxa"/>
            <w:tcBorders>
              <w:bottom w:val="single" w:sz="8" w:space="0" w:color="000000"/>
            </w:tcBorders>
            <w:tcMar>
              <w:bottom w:w="28" w:type="dxa"/>
            </w:tcMar>
            <w:vAlign w:val="center"/>
          </w:tcPr>
          <w:p>
            <w:pPr>
              <w:pStyle w:val="TableContents"/>
              <w:bidi w:val="0"/>
              <w:spacing w:before="0" w:after="283"/>
              <w:jc w:val="left"/>
              <w:rPr>
                <w:b/>
              </w:rPr>
            </w:pPr>
            <w:r>
              <w:rPr>
                <w:b/>
              </w:rPr>
              <w:t>Channel:</w:t>
            </w:r>
          </w:p>
        </w:tc>
        <w:tc>
          <w:tcPr>
            <w:tcW w:w="60" w:type="dxa"/>
            <w:tcBorders/>
            <w:vAlign w:val="center"/>
          </w:tcPr>
          <w:p>
            <w:pPr>
              <w:pStyle w:val="TableContents"/>
              <w:bidi w:val="0"/>
              <w:spacing w:before="0" w:after="283"/>
              <w:jc w:val="left"/>
              <w:rPr/>
            </w:pPr>
            <w:r>
              <w:rPr/>
              <w:t> </w:t>
            </w:r>
          </w:p>
        </w:tc>
        <w:tc>
          <w:tcPr>
            <w:tcW w:w="148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48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283"/>
              <w:jc w:val="left"/>
              <w:rPr/>
            </w:pPr>
            <w:r>
              <w:rPr/>
              <w:t>United States – Rx</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w:t>
            </w:r>
          </w:p>
        </w:tc>
        <w:tc>
          <w:tcPr>
            <w:tcW w:w="1190" w:type="dxa"/>
            <w:tcBorders/>
            <w:shd w:fill="CCEEFF" w:val="clear"/>
            <w:vAlign w:val="center"/>
          </w:tcPr>
          <w:p>
            <w:pPr>
              <w:pStyle w:val="TableContents"/>
              <w:bidi w:val="0"/>
              <w:spacing w:before="0" w:after="283"/>
              <w:jc w:val="right"/>
              <w:rPr/>
            </w:pPr>
            <w:r>
              <w:rPr/>
              <w:t>7,421</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w:t>
            </w:r>
          </w:p>
        </w:tc>
        <w:tc>
          <w:tcPr>
            <w:tcW w:w="1190" w:type="dxa"/>
            <w:tcBorders/>
            <w:shd w:fill="CCEEFF" w:val="clear"/>
            <w:vAlign w:val="center"/>
          </w:tcPr>
          <w:p>
            <w:pPr>
              <w:pStyle w:val="TableContents"/>
              <w:bidi w:val="0"/>
              <w:spacing w:before="0" w:after="283"/>
              <w:jc w:val="right"/>
              <w:rPr/>
            </w:pPr>
            <w:r>
              <w:rPr/>
              <w:t>5,005</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shd w:fill="FFFFFF" w:val="clear"/>
            <w:vAlign w:val="center"/>
          </w:tcPr>
          <w:p>
            <w:pPr>
              <w:pStyle w:val="TableContents"/>
              <w:bidi w:val="0"/>
              <w:spacing w:before="0" w:after="283"/>
              <w:jc w:val="left"/>
              <w:rPr/>
            </w:pPr>
            <w:r>
              <w:rPr/>
              <w:t>General Wellness</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1,588</w:t>
            </w:r>
          </w:p>
        </w:tc>
        <w:tc>
          <w:tcPr>
            <w:tcW w:w="127"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1,106</w:t>
            </w:r>
          </w:p>
        </w:tc>
        <w:tc>
          <w:tcPr>
            <w:tcW w:w="75" w:type="dxa"/>
            <w:tcBorders/>
            <w:shd w:fill="FFFFFF" w:val="clear"/>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283"/>
              <w:jc w:val="left"/>
              <w:rPr/>
            </w:pPr>
            <w:r>
              <w:rPr/>
              <w:t>Outside the United States</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502</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498</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shd w:fill="FFFFFF" w:val="clear"/>
            <w:vAlign w:val="center"/>
          </w:tcPr>
          <w:p>
            <w:pPr>
              <w:pStyle w:val="TableContents"/>
              <w:bidi w:val="0"/>
              <w:spacing w:before="0" w:after="283"/>
              <w:jc w:val="left"/>
              <w:rPr/>
            </w:pPr>
            <w:r>
              <w:rPr/>
              <w:t>TAC-STIM</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42</w:t>
            </w:r>
          </w:p>
        </w:tc>
        <w:tc>
          <w:tcPr>
            <w:tcW w:w="127"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90</w:t>
            </w:r>
          </w:p>
        </w:tc>
        <w:tc>
          <w:tcPr>
            <w:tcW w:w="75" w:type="dxa"/>
            <w:tcBorders/>
            <w:shd w:fill="FFFFFF" w:val="clear"/>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283"/>
              <w:jc w:val="left"/>
              <w:rPr/>
            </w:pPr>
            <w:r>
              <w:rPr/>
              <w:t>In-License / Other</w:t>
            </w:r>
          </w:p>
        </w:tc>
        <w:tc>
          <w:tcPr>
            <w:tcW w:w="60" w:type="dxa"/>
            <w:tcBorders/>
            <w:shd w:fill="CCEEFF" w:val="clear"/>
            <w:vAlign w:val="center"/>
          </w:tcPr>
          <w:p>
            <w:pPr>
              <w:pStyle w:val="TableContents"/>
              <w:bidi w:val="0"/>
              <w:spacing w:before="0" w:after="283"/>
              <w:jc w:val="left"/>
              <w:rPr/>
            </w:pPr>
            <w:r>
              <w:rPr/>
              <w:t> </w:t>
            </w:r>
          </w:p>
        </w:tc>
        <w:tc>
          <w:tcPr>
            <w:tcW w:w="2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0" w:type="dxa"/>
            <w:tcBorders>
              <w:bottom w:val="single" w:sz="8" w:space="0" w:color="000000"/>
            </w:tcBorders>
            <w:shd w:fill="CCEEFF" w:val="clear"/>
            <w:tcMar>
              <w:bottom w:w="28" w:type="dxa"/>
            </w:tcMar>
            <w:vAlign w:val="center"/>
          </w:tcPr>
          <w:p>
            <w:pPr>
              <w:pStyle w:val="TableContents"/>
              <w:bidi w:val="0"/>
              <w:spacing w:before="0" w:after="283"/>
              <w:jc w:val="right"/>
              <w:rPr/>
            </w:pPr>
            <w:r>
              <w:rPr/>
              <w:t>31</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2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0" w:type="dxa"/>
            <w:tcBorders>
              <w:bottom w:val="single" w:sz="8" w:space="0" w:color="000000"/>
            </w:tcBorders>
            <w:shd w:fill="CCEEFF" w:val="clear"/>
            <w:tcMar>
              <w:bottom w:w="28" w:type="dxa"/>
            </w:tcMar>
            <w:vAlign w:val="center"/>
          </w:tcPr>
          <w:p>
            <w:pPr>
              <w:pStyle w:val="TableContents"/>
              <w:bidi w:val="0"/>
              <w:spacing w:before="0" w:after="283"/>
              <w:jc w:val="right"/>
              <w:rPr/>
            </w:pPr>
            <w:r>
              <w:rPr/>
              <w:t>20</w:t>
            </w:r>
          </w:p>
        </w:tc>
        <w:tc>
          <w:tcPr>
            <w:tcW w:w="75" w:type="dxa"/>
            <w:tcBorders/>
            <w:shd w:fill="CCEEFF" w:val="clear"/>
            <w:vAlign w:val="center"/>
          </w:tcPr>
          <w:p>
            <w:pPr>
              <w:pStyle w:val="TableContents"/>
              <w:bidi w:val="0"/>
              <w:spacing w:before="0" w:after="283"/>
              <w:jc w:val="left"/>
              <w:rPr/>
            </w:pPr>
            <w:r>
              <w:rPr/>
              <w:t> </w:t>
            </w:r>
          </w:p>
        </w:tc>
      </w:tr>
      <w:tr>
        <w:trPr/>
        <w:tc>
          <w:tcPr>
            <w:tcW w:w="2435" w:type="dxa"/>
            <w:tcBorders/>
            <w:shd w:fill="FFFFFF" w:val="clear"/>
            <w:vAlign w:val="center"/>
          </w:tcPr>
          <w:p>
            <w:pPr>
              <w:pStyle w:val="TableContents"/>
              <w:bidi w:val="0"/>
              <w:spacing w:before="0" w:after="283"/>
              <w:jc w:val="left"/>
              <w:rPr/>
            </w:pPr>
            <w:r>
              <w:rPr/>
              <w:t>Total Net Sales</w:t>
            </w:r>
          </w:p>
        </w:tc>
        <w:tc>
          <w:tcPr>
            <w:tcW w:w="60" w:type="dxa"/>
            <w:tcBorders/>
            <w:shd w:fill="FFFFFF" w:val="clear"/>
            <w:vAlign w:val="center"/>
          </w:tcPr>
          <w:p>
            <w:pPr>
              <w:pStyle w:val="TableContents"/>
              <w:bidi w:val="0"/>
              <w:spacing w:before="0" w:after="283"/>
              <w:jc w:val="left"/>
              <w:rPr/>
            </w:pPr>
            <w:r>
              <w:rPr/>
              <w:t> </w:t>
            </w:r>
          </w:p>
        </w:tc>
        <w:tc>
          <w:tcPr>
            <w:tcW w:w="29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90" w:type="dxa"/>
            <w:tcBorders>
              <w:bottom w:val="double" w:sz="6" w:space="0" w:color="000000"/>
            </w:tcBorders>
            <w:shd w:fill="FFFFFF" w:val="clear"/>
            <w:tcMar>
              <w:bottom w:w="28" w:type="dxa"/>
            </w:tcMar>
            <w:vAlign w:val="center"/>
          </w:tcPr>
          <w:p>
            <w:pPr>
              <w:pStyle w:val="TableContents"/>
              <w:bidi w:val="0"/>
              <w:spacing w:before="0" w:after="283"/>
              <w:jc w:val="right"/>
              <w:rPr/>
            </w:pPr>
            <w:r>
              <w:rPr/>
              <w:t>9,584</w:t>
            </w:r>
          </w:p>
        </w:tc>
        <w:tc>
          <w:tcPr>
            <w:tcW w:w="127"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29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90" w:type="dxa"/>
            <w:tcBorders>
              <w:bottom w:val="double" w:sz="6" w:space="0" w:color="000000"/>
            </w:tcBorders>
            <w:shd w:fill="FFFFFF" w:val="clear"/>
            <w:tcMar>
              <w:bottom w:w="28" w:type="dxa"/>
            </w:tcMar>
            <w:vAlign w:val="center"/>
          </w:tcPr>
          <w:p>
            <w:pPr>
              <w:pStyle w:val="TableContents"/>
              <w:bidi w:val="0"/>
              <w:spacing w:before="0" w:after="283"/>
              <w:jc w:val="right"/>
              <w:rPr/>
            </w:pPr>
            <w:r>
              <w:rPr/>
              <w:t>6,719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increased $2.7 million to $8.4 million for the three months ended March 31, 2026 compared to the three months ended March 31, 2025. The increase in gross profit is attributable to the increased net sales and favorable product mix.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 of $0.7 million for the three months ended March 31, 2026, increased by $98,000 compared to the prior year. This increase was primarily due to increased studies and grants.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Selling, General and Administrative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 of $12.9 million for the three months ended March 31, 2026 increased by $4.1 million compared to the previous year. Sales and marketing increased $1.8 million from the prior year. The increase in sales and marketing was primarily driven by $1.6 million of variable expenses, which contributed to a $2.9 million increase in sales. General and administrative expense increased $2.3 million from the prior year. This increase was primarily driven by $1.2 million of severance and $0.5 million of stock compensation expense associated with the former CEO’s retirement, $0.2 million in legal fees associated with the senior management changes, and $0.3 million in legal fees associated with ongoing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of $0.3 million for the three months ended March 31, 2026 increased $0.2 million as compared to the three months ended March 31, 2025. The increase was primarily attributable to interest associated with the convertible term debt financing with Avenue. Other expense for the three months ended March 31, 2025 of approximately $0.1 million consisted primarily of non-recurring acquisition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Benefit from Income Taxes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be eligible, from time to time, to receive cash from the sale of our net operating losses under New Jersey’s Department of the Treasury - Division of Taxation NOL Transfer Program. During the three months ended March 31, 2026 and 2025, we received net cash payments of $321,000 and $48,000 from the sale of our New Jersey state net operating losses, respectively.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March 31, 2026, our cash, cash equivalents, and marketable securities was $8.8 million compared to $11.6 million at December 31, 2025.</w:t>
      </w:r>
    </w:p>
    <w:p>
      <w:pPr>
        <w:pStyle w:val="TextBody"/>
        <w:bidi w:val="0"/>
        <w:spacing w:before="0" w:after="0"/>
        <w:ind w:left="0" w:right="0" w:hanging="0"/>
        <w:jc w:val="left"/>
        <w:rPr>
          <w:caps w:val="false"/>
          <w:smallCaps w:val="false"/>
        </w:rPr>
      </w:pPr>
      <w:r>
        <w:rPr>
          <w:caps w:val="false"/>
          <w:smallCaps w:val="false"/>
        </w:rPr>
        <w:t> </w:t>
      </w:r>
    </w:p>
    <w:tbl>
      <w:tblPr>
        <w:tblW w:w="5000" w:type="dxa"/>
        <w:jc w:val="left"/>
        <w:tblInd w:w="0" w:type="dxa"/>
        <w:tblLayout w:type="fixed"/>
        <w:tblCellMar>
          <w:top w:w="0" w:type="dxa"/>
          <w:left w:w="0" w:type="dxa"/>
          <w:bottom w:w="0" w:type="dxa"/>
          <w:right w:w="0" w:type="dxa"/>
        </w:tblCellMar>
      </w:tblPr>
      <w:tblGrid>
        <w:gridCol w:w="3125"/>
        <w:gridCol w:w="60"/>
        <w:gridCol w:w="140"/>
        <w:gridCol w:w="635"/>
        <w:gridCol w:w="95"/>
        <w:gridCol w:w="60"/>
        <w:gridCol w:w="140"/>
        <w:gridCol w:w="635"/>
        <w:gridCol w:w="110"/>
      </w:tblGrid>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March 31,</w:t>
            </w:r>
          </w:p>
        </w:tc>
        <w:tc>
          <w:tcPr>
            <w:tcW w:w="110" w:type="dxa"/>
            <w:tcBorders/>
            <w:vAlign w:val="center"/>
          </w:tcPr>
          <w:p>
            <w:pPr>
              <w:pStyle w:val="TableContents"/>
              <w:bidi w:val="0"/>
              <w:spacing w:before="0" w:after="283"/>
              <w:jc w:val="left"/>
              <w:rPr/>
            </w:pPr>
            <w:r>
              <w:rPr/>
              <w:t> </w:t>
            </w:r>
          </w:p>
        </w:tc>
      </w:tr>
      <w:tr>
        <w:trPr/>
        <w:tc>
          <w:tcPr>
            <w:tcW w:w="3125" w:type="dxa"/>
            <w:tcBorders>
              <w:bottom w:val="single" w:sz="8" w:space="0" w:color="000000"/>
            </w:tcBorders>
            <w:tcMar>
              <w:bottom w:w="28" w:type="dxa"/>
            </w:tcMar>
            <w:vAlign w:val="center"/>
          </w:tcPr>
          <w:p>
            <w:pPr>
              <w:pStyle w:val="TableContents"/>
              <w:bidi w:val="0"/>
              <w:spacing w:before="0" w:after="283"/>
              <w:jc w:val="left"/>
              <w:rPr>
                <w:b/>
                <w:i/>
              </w:rPr>
            </w:pPr>
            <w:r>
              <w:rPr>
                <w:b/>
                <w:i/>
              </w:rPr>
              <w:t>(in thousands)</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b/>
              </w:rPr>
            </w:pPr>
            <w:r>
              <w:rPr>
                <w:b/>
              </w:rPr>
              <w:t>Net cash (used in) provided by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pPr>
            <w:r>
              <w:rPr/>
              <w:t>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jc w:val="right"/>
              <w:rPr/>
            </w:pPr>
            <w:r>
              <w:rPr/>
              <w:t>(3,008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jc w:val="right"/>
              <w:rPr/>
            </w:pPr>
            <w:r>
              <w:rPr/>
              <w:t>(4,355</w:t>
            </w:r>
          </w:p>
        </w:tc>
        <w:tc>
          <w:tcPr>
            <w:tcW w:w="110" w:type="dxa"/>
            <w:tcBorders/>
            <w:shd w:fill="FFFFFF" w:val="clear"/>
            <w:vAlign w:val="center"/>
          </w:tcPr>
          <w:p>
            <w:pPr>
              <w:pStyle w:val="TableContents"/>
              <w:bidi w:val="0"/>
              <w:spacing w:before="0" w:after="283"/>
              <w:jc w:val="left"/>
              <w:rPr/>
            </w:pPr>
            <w:r>
              <w:rPr/>
              <w:t>)</w:t>
            </w:r>
          </w:p>
        </w:tc>
      </w:tr>
      <w:tr>
        <w:trPr/>
        <w:tc>
          <w:tcPr>
            <w:tcW w:w="3125" w:type="dxa"/>
            <w:tcBorders/>
            <w:shd w:fill="CCEEFF" w:val="clear"/>
            <w:vAlign w:val="center"/>
          </w:tcPr>
          <w:p>
            <w:pPr>
              <w:pStyle w:val="TableContents"/>
              <w:bidi w:val="0"/>
              <w:spacing w:before="0" w:after="283"/>
              <w:jc w:val="left"/>
              <w:rPr/>
            </w:pPr>
            <w:r>
              <w:rPr/>
              <w:t>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597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4,500</w:t>
            </w:r>
          </w:p>
        </w:tc>
        <w:tc>
          <w:tcPr>
            <w:tcW w:w="11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pPr>
            <w:r>
              <w:rPr/>
              <w:t>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jc w:val="right"/>
              <w:rPr/>
            </w:pPr>
            <w:r>
              <w:rPr/>
              <w:t>230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jc w:val="right"/>
              <w:rPr/>
            </w:pPr>
            <w:r>
              <w:rPr/>
              <w:t>180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$3.0 million and $4.4 million for the three months ended March 31, 2026 and 2025, respectively. The decrease of $1.4 million in operating cash used is primarily due to the timing of payment of accrued operating expenses partially offset by an increase in our net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investing activities was $0.6 million and $4.5 million for the three months ended March 31, 2026 and 2025, respectively. During the three months ended March 31, 2026 and March 31, 2025, cash used in investing activities was related to the proceeds from the sale of marketable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three months ended March 31, 2026 was $0.2 million which was primarily attributable to the exercise of stock warrants. During the three months ended March 31, 2025, net cash provided by financing activities was $0.2 million which was attributable to utilization of our at-the-market facility pursuant to the Sales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Liquidity Outlook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experienced significant net losses, and we expect to continue to incur net losses for the near future as we work to increase market acceptance of our products. We have never been profitable and we have incurred net losses and negative cash used in operations in each year since our inception. We incurred net losses of $5.3 million and $3.9 million, and used cash in our operations of $3.0 million and $4.4 million for the three months ended March 31,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historically funded its operations with the proceeds of equity and debt financings. During the three months ended March 31, 2026, the Company received net proceeds of approximately $0.2 million from the exercise of 42,055 warrants at a weighted average exercise price of $5.30. Subsequent to March 31, 2026, the Company received proceeds of approximately $44,000 from the exercise of warrants and approximately $0.96 million from the sale of shares under the Sales Agreement. As of March 31, 2026, the Company’s cash, cash equivalents and marketable securities totalled $8.8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Principal repayments under the Loan and Security Agreement are scheduled for $2.5 million in 2027, $3.0 million in 2028 and $2.3 million in 2029 (inclusive of a final payment fee of 3.5% of the loan amount). See </w:t>
      </w:r>
      <w:r>
        <w:rPr>
          <w:rFonts w:ascii="Times New Roman;Times;Serif" w:hAnsi="Times New Roman;Times;Serif"/>
          <w:b w:val="false"/>
          <w:i/>
          <w:caps w:val="false"/>
          <w:smallCaps w:val="false"/>
          <w:sz w:val="20"/>
        </w:rPr>
        <w:t>Note 10 – Long-Term Debt</w:t>
      </w:r>
      <w:r>
        <w:rPr>
          <w:rFonts w:ascii="Times New Roman;Times;Serif" w:hAnsi="Times New Roman;Times;Serif"/>
          <w:b w:val="false"/>
          <w:i w:val="false"/>
          <w:caps w:val="false"/>
          <w:smallCaps w:val="false"/>
          <w:sz w:val="20"/>
        </w:rPr>
        <w:t xml:space="preserve"> in the condensed consolidated financial statements for additional details of our current and long-term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remainder of 2026, we intend to continue to make targeted investments in sales and marketing to continue driving commercial activities. We have historically funded our operations from the sale of our common stock and debt financing, and may continue to do so through utilization of the at-the-market facility pursuant to the Sales Agreement, or other equity or debt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expected cash flow from operations and expected access to capital from existing and/or future debt and equity sources, the Company’s currently forecasted cash is less than the requirements to fund its operating expenses and capital expenditure requirements, as currently planned, for at least the next 12 months from the date the accompanying condensed consolidated financial statements are issued. These factors raise substantial doubt regarding the Company’s ability to continue as a going concern. There remain significant risks and uncertainties regarding the Company’s business, financial condition and results of operations. Due to these risks and uncertainties, there can be no assurance that we will have sufficient cash flow and liquidity to fund our planned activities, which could force us to significantly reduce or curtail our activities and, ultimately, potentially cease operations. The accompanying condensed consolidated financial statements do not include any adjustment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also “Capital Activities.”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have during the periods presented, and we do not have any off-balance sheet arrangements, as defined in the rules and regulations of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Impact of Recently Issued Accounting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normal course of business, we evaluate all new accounting pronouncements issued by the FASB, SEC, or other authoritative accounting bodies to determine the potential impact they may have on our Condensed Consolidated Financial Statements. See Note 2 “Basis of Presentation” of the notes to our condensed consolidated financial statements in this Quarterly Report for additional information about these recently issued accounting standards and their potential impact on our financial condition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53" w:name="Y-002"/>
      <w:bookmarkEnd w:id="553"/>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develop our products in the United States and sell those products into several countries. As a result, our financial results could be affected by factors such as changes in foreign currency exchange rates or weak economic conditions in foreign markets. Most of our sales in Europe are denominated in British Pound Sterling and our license agreement with Teijin is denominated in Japanese Yen. As our sales in currencies other than the U.S. dollar increase, our exposure to foreign currency fluctuations may increase. In addition, changes in exchange rates also may affect the end-user prices of our products compared to those of our foreign competitors, who may be selling their products based on local currency pricing. These factors may make our products less competitive in some countries.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U.S. dollar uniformly increased or decreased in strength by 15% relative to the foreign currencies in which our sales were denominated, our net income would have correspondingly increased or decreased by an immaterial amount for the three months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exposure to market interest rate risk is confined to our cash and cash equivalents and marketable securities. The goals of our investment policy are preservation of capital, fulfillment of liquidity needs and fiduciary control of cash and investments. We also seek to maximize income from our investments without assuming significant risk. To achieve our goals, we may maintain a portfolio of cash equivalents and investments in a variety of securities of high credit quality. The securities in our investment portfolio, if any, are not leveraged, are classified as available for sale and are, due to their very short-term nature, subject to minimal interest rate risk. We currently do not hedge interest rate exposure. Because of the short-term maturities of our cash equivalents, we do not believe that an increase in market rates would have any material negative impact on interest income recognized in our statement of operations. We have no investments denominated in foreign currencies and therefore our investments are not subject to foreign currency exchange risk. We contract with investigational sites, suppliers and other vendors in Europe and internationally. In addition, our license agreement requires payments to us to be denominated in Japanese Yen. We are subject to fluctuations in foreign currency rates in connection with these agreements. We do not hedge our foreign currency exchange rate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potential changes noted above are based on sensitivity analyses performed on our financial position as of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54" w:name="Y-003"/>
      <w:bookmarkEnd w:id="554"/>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Evaluation of 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disclosure controls and procedures that are designed to ensure that information required to be disclosed in our reports under the Exchange Act, is recorded, processed, summarized and reported within the time periods specified in the rules and forms, and that such information is accumulated and communicated to us, including our Chief Executive Officer and Chief Financial Officer, as appropriate, to allow timely decision making regarding required disclosure. In designing and evaluating our disclosure controls and procedures, we recognize that any controls and procedures, no matter how well designed and operated, can provide only reasonable assurance of achieving the desired control objectives, as ours are designed to do, and we apply our judgment in evaluating whether the benefits of the controls and procedures that we adopt outweigh their costs.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Rule 13a-15(b) of the Exchange Act, an evaluation as of March 31, 2026 was conducted under the supervision and with the participation of our management, including our Interim President and Chief Financial Officer, of the effectiveness of our disclosure controls and procedures (as defined in Rule 13a-15(e) under the Exchange Act). Based on this evaluation, the Interim President and Chief Financial Officer concluded that our disclosure controls and procedures as of March 31, 2026 were not effective solely due to the material weakness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Annual Report on Form 10-K for the year ended December 31, 2025, management identified a deficiency in its internal control over financial reporting related to the accuracy of its lease accounting. The Company previously recorded a lease modification in conjunction with the lease expansion of its Rockaway location in the second quarter of 2024. During the fourth quarter of 2025, the Company discovered an error in the lease payments used in the initial calculations in conjunction with the lease modification. While the error did not result in a material misstatement or a restatement of the Company’s consolidated financial statements, management concluded that there is a reasonable possibility that a material misstatement could have occurred without being prevented or detected on a timely basis, and therefore, the control deficiency was deemed to be a material weakness.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initiated remediation measures designed to address the material weakness identified above. These measures include the implementation of an enhanced review control over the accounting for leases and any other significant non-routine transactions, including enhanced management review and approval procedures. In addition, the Company hired a new controller in September 2025 who management believes has the technical accounting skills and breadth of supervisory and review skills necessary to oversee the accounting function.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weakness will be considered remediated once the applicable controls have been fully implemented, have operated for a sufficient period of time, and have been tested for operating effectiveness which we believe will occur by the end of our second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changes described above, there was no change in our internal control over financial reporting as such term is defined in Rules 13a-15(f) and 15d-15(f) under the Exchange Act, that occurred during the three months ended March 31, 2026 that has materially affected or is reasonably likely to materially affect our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55" w:name="Y-004"/>
      <w:bookmarkEnd w:id="555"/>
      <w:r>
        <w:rPr>
          <w:rFonts w:ascii="Times New Roman;Times;Serif" w:hAnsi="Times New Roman;Times;Serif"/>
          <w:b/>
          <w:i w:val="false"/>
          <w:caps w:val="false"/>
          <w:smallCaps w:val="false"/>
          <w:sz w:val="20"/>
        </w:rPr>
        <w:t>PART II—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56" w:name="Y-005"/>
      <w:bookmarkEnd w:id="556"/>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“Note 15. Commitments and Contingencies” of the condensed consolidated financial statements included in this Quarterly Report is incorporated here by reference to this Part II Item 1. For additional information regarding the risks associated with the regulation of our FDA-cleared medical devices, please refer to “Risks Related to Regulation of our Industry” in Item 1A of our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57" w:name="Y-006"/>
      <w:bookmarkEnd w:id="557"/>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carefully consider the risk factors included in Item 1A. of the Annual Report, in addition to the following risk factors, and the other information in this Quarterly Report, including the section of this Quarterly Report titled “Management’s Discussion and Analysis of Financial Condition and Results of Operations” and our financial statements and related notes. If any of the events described in the Annual Report, the following risk factors and the risks described elsewhere in this Quarterly Report occur, our business, operating results and financial condition could be seriously harmed. This Quarterly Report also contains forward-looking statements that involve risks and uncertainties. Our actual results could differ materially from those anticipated in the forward-looking statements as a result of factors that are described in the Annual Report, below and elsewhere in this Quarterly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recently began selling Truvaga in the United Kingdom and consumers may be slow to adopt the product or its pricing which could adversely impact our business and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2026, we began selling Truvaga 350 direct-to-consumer in the United Kingdom via a direct-to-consumer model. Early adoption rates in the United Kingdom and consumers’ willingness to pay our intended price points are uncertain. Although we intend to expand our direct-to-consumer sales of Truvaga outside the United States in 2026 and beyond, our ability to expand successfully will depend on the pace of consumer adoption at our anticipated price points in each market. We believe that brand awareness considerations are particularly significant in light of the highly competitive nature of the burgeoning markets for general wellness products and consumers’ acceptance of our pricing and perceived value relative to competing products. Promoting and positioning our Truvaga brand outside the United States will depend largely on the success of our marketing efforts, direct-to-consumer initiatives, and our ability to provide consumers with a reliable product.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will require investment and expansion of our sales and marketing capabilities, including potential investment in market-specific advertising, localized digital marketing, and consumer education initiatives. Given the established nature of our competitors, our relative lack of commercialization of general wellness products outside the United States, and our lack of experience in international direct-to-consumer channels, it is likely that our future marketing efforts will require us to incur significant additional expenses and we may need to reduce prices or offer discounts or incentives to drive adoption , which could pressure margins. These brand promotional activities may not yield increased sales and, even if they do, any sales increases may not offset the expenses we incur to promote Truvaga and any increase in unit volume may occur at lower average selling prices if consumers are unwilling to accept our current pricing, which could reduce revenue and gross margins. If we fail to successfully promote, expand, and maintain our Truvaga brand, Truvaga may not be accepted by consumers, which would adversely affect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58" w:name="Y-007"/>
      <w:bookmarkEnd w:id="558"/>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59" w:name="Y-008"/>
      <w:bookmarkEnd w:id="559"/>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60" w:name="Y-009"/>
      <w:bookmarkEnd w:id="560"/>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61" w:name="Y-010"/>
      <w:bookmarkEnd w:id="561"/>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Resignation of Director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5, 2026, Thomas M. Patton resigned as a member of the Company’s Board, and as chair of the Audit Committee, effective May 16,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Mr. Patton’s resignation, the size of the Board was decreased by resolution of the Board from seven to six members, effective on the effective date of Mr. Patton’s resignation.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Patton has confirmed that his resignation was not the result of any disagreement with the Company, the Board, or management regarding any matter relating to the Company’s operations, policies, or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Mr. Patton’s resignation, the Compensation Committee and the Board approved the accelerated vesting of 6,337 deferred stock units previously granted to Mr. Patton, effective as of the date of his resignation.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and the Company are deeply grateful for Mr. Patton’s service, dedication, and contributions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May 16, 2026, John P. Gandolfo, a member of the Board and the Audit Committee, was appointed as chair of the Audit Committee. As disclosed in the Annual Report, the Board has determined that Mr. Gandolfo is an “audit committee financial expert” as defined by SEC rules and regulations, and is independent under Nasdaq listing rules and under Rule 10A-3 of the Securities Exchange Act of 1934, as amended.</w:t>
      </w:r>
    </w:p>
    <w:p>
      <w:pPr>
        <w:pStyle w:val="TextBody"/>
        <w:bidi w:val="0"/>
        <w:spacing w:before="0" w:after="0"/>
        <w:ind w:left="360" w:right="0" w:hanging="360"/>
        <w:jc w:val="both"/>
        <w:rPr>
          <w:caps w:val="false"/>
          <w:smallCaps w:val="false"/>
        </w:rPr>
      </w:pPr>
      <w:r>
        <w:rPr>
          <w:caps w:val="false"/>
          <w:smallCaps w:val="false"/>
        </w:rPr>
        <w:t> </w:t>
      </w:r>
    </w:p>
    <w:tbl>
      <w:tblPr>
        <w:tblW w:w="1540" w:type="dxa"/>
        <w:jc w:val="left"/>
        <w:tblInd w:w="0" w:type="dxa"/>
        <w:tblLayout w:type="fixed"/>
        <w:tblCellMar>
          <w:top w:w="0" w:type="dxa"/>
          <w:left w:w="0" w:type="dxa"/>
          <w:bottom w:w="0" w:type="dxa"/>
          <w:right w:w="0" w:type="dxa"/>
        </w:tblCellMar>
      </w:tblPr>
      <w:tblGrid>
        <w:gridCol w:w="260"/>
        <w:gridCol w:w="1280"/>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bl>
    <w:p>
      <w:pPr>
        <w:pStyle w:val="TextBody"/>
        <w:bidi w:val="0"/>
        <w:spacing w:before="0" w:after="0"/>
        <w:ind w:left="360" w:right="0" w:hanging="360"/>
        <w:jc w:val="both"/>
        <w:rPr>
          <w:caps w:val="false"/>
          <w:smallCaps w:val="false"/>
        </w:rPr>
      </w:pPr>
      <w:r>
        <w:rPr>
          <w:caps w:val="false"/>
          <w:smallCaps w:val="false"/>
        </w:rPr>
        <w:t> </w:t>
      </w:r>
    </w:p>
    <w:tbl>
      <w:tblPr>
        <w:tblW w:w="1450" w:type="dxa"/>
        <w:jc w:val="left"/>
        <w:tblInd w:w="0" w:type="dxa"/>
        <w:tblLayout w:type="fixed"/>
        <w:tblCellMar>
          <w:top w:w="0" w:type="dxa"/>
          <w:left w:w="0" w:type="dxa"/>
          <w:bottom w:w="0" w:type="dxa"/>
          <w:right w:w="0" w:type="dxa"/>
        </w:tblCellMar>
      </w:tblPr>
      <w:tblGrid>
        <w:gridCol w:w="245"/>
        <w:gridCol w:w="1205"/>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Plans.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quarter ended March 31, 2026, no director or Section 16 officer </w:t>
      </w:r>
      <w:bookmarkStart w:id="562" w:name="xdx_90A_eecd--NonRule10b51ArrAdoptedFlag"/>
      <w:bookmarkStart w:id="563" w:name="xdx_90F_eecd--Rule10b51ArrAdoptedFlag_db"/>
      <w:bookmarkEnd w:id="562"/>
      <w:bookmarkEnd w:id="563"/>
      <w:r>
        <w:rPr>
          <w:rFonts w:ascii="Times New Roman;Times;Serif" w:hAnsi="Times New Roman;Times;Serif"/>
          <w:b w:val="false"/>
          <w:i w:val="false"/>
          <w:caps w:val="false"/>
          <w:smallCaps w:val="false"/>
          <w:sz w:val="20"/>
        </w:rPr>
        <w:t xml:space="preserve">adopted or </w:t>
      </w:r>
      <w:bookmarkStart w:id="564" w:name="xdx_907_eecd--NonRule10b51ArrTrmntdFlag_"/>
      <w:bookmarkStart w:id="565" w:name="xdx_904_eecd--Rule10b51ArrTrmntdFlag_dbF"/>
      <w:bookmarkEnd w:id="564"/>
      <w:bookmarkEnd w:id="565"/>
      <w:r>
        <w:rPr>
          <w:rFonts w:ascii="Times New Roman;Times;Serif" w:hAnsi="Times New Roman;Times;Serif"/>
          <w:b w:val="false"/>
          <w:i w:val="false"/>
          <w:caps w:val="false"/>
          <w:smallCaps w:val="false"/>
          <w:sz w:val="20"/>
        </w:rPr>
        <w:t>terminated any Rule 10b5-1 trading arrangements or non-Rule 10b5-1 trading arrangements (in each case, as defined in Item 408(a) of Regulation S-K promulgated by the SEC).</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566" w:name="Y-011"/>
      <w:bookmarkEnd w:id="566"/>
      <w:r>
        <w:rPr>
          <w:rFonts w:ascii="Times New Roman;Times;Serif" w:hAnsi="Times New Roman;Times;Serif"/>
          <w:b/>
          <w:i/>
          <w:caps w:val="false"/>
          <w:smallCaps w:val="false"/>
          <w:sz w:val="20"/>
        </w:rPr>
        <w:t xml:space="preserve">Item 6. EXHIBITS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2"/>
        <w:gridCol w:w="60"/>
        <w:gridCol w:w="9393"/>
      </w:tblGrid>
      <w:tr>
        <w:trPr/>
        <w:tc>
          <w:tcPr>
            <w:tcW w:w="75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93"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7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93" w:type="dxa"/>
            <w:tcBorders/>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Principal Executive Officer and Principal Financial Officer Pursuant to Rules 13a-14(a) and 15d-14(a) under the Securities Exchange Act of 1934, as Adopted Pursuant to Section 302 of the Sarbanes-Oxley Act of 2002.</w:t>
              </w:r>
            </w:hyperlink>
          </w:p>
        </w:tc>
      </w:tr>
      <w:tr>
        <w:trPr/>
        <w:tc>
          <w:tcPr>
            <w:tcW w:w="75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93" w:type="dxa"/>
            <w:tcBorders/>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Principal Executive Officer and Principal Financial Officer Pursuant to 18 U.S.C. Section 1350, as Adopted Pursuant to Section 906 of the Sarbanes-Oxley Act of 2002.</w:t>
              </w:r>
            </w:hyperlink>
          </w:p>
        </w:tc>
      </w:tr>
      <w:tr>
        <w:trPr/>
        <w:tc>
          <w:tcPr>
            <w:tcW w:w="75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 - the instance document does not appear in the Interactive Data File because its XBRL tags are embedded within the Inline XBRL document.</w:t>
            </w:r>
          </w:p>
        </w:tc>
      </w:tr>
      <w:tr>
        <w:trPr/>
        <w:tc>
          <w:tcPr>
            <w:tcW w:w="75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7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r>
      <w:tr>
        <w:trPr/>
        <w:tc>
          <w:tcPr>
            <w:tcW w:w="7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7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r>
      <w:tr>
        <w:trPr/>
        <w:tc>
          <w:tcPr>
            <w:tcW w:w="7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r>
      <w:tr>
        <w:trPr/>
        <w:tc>
          <w:tcPr>
            <w:tcW w:w="7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 and contained in Exhibit 101)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1390" w:type="dxa"/>
        <w:jc w:val="left"/>
        <w:tblInd w:w="0" w:type="dxa"/>
        <w:tblLayout w:type="fixed"/>
        <w:tblCellMar>
          <w:top w:w="0" w:type="dxa"/>
          <w:left w:w="0" w:type="dxa"/>
          <w:bottom w:w="0" w:type="dxa"/>
          <w:right w:w="0" w:type="dxa"/>
        </w:tblCellMar>
      </w:tblPr>
      <w:tblGrid>
        <w:gridCol w:w="140"/>
        <w:gridCol w:w="1250"/>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certification attached as Exhibit 32.1 that accompanies this Quarterly Report is not deemed filed with the SEC and is not to be incorporated by reference into any filing of electroCore, Inc. under the Securities Act of 1933 or the Securities Exchange Act of 1934, whether made before or after the date of this Quarterly Report, irrespective of any general incorporation language contained in such filing.</w:t>
            </w:r>
          </w:p>
        </w:tc>
      </w:tr>
    </w:tbl>
    <w:p>
      <w:pPr>
        <w:pStyle w:val="TextBody"/>
        <w:bidi w:val="0"/>
        <w:jc w:val="center"/>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67" w:name="Y-012"/>
      <w:bookmarkEnd w:id="567"/>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Quarterly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8415" w:type="dxa"/>
        <w:jc w:val="left"/>
        <w:tblInd w:w="0" w:type="dxa"/>
        <w:tblLayout w:type="fixed"/>
        <w:tblCellMar>
          <w:top w:w="0" w:type="dxa"/>
          <w:left w:w="0" w:type="dxa"/>
          <w:bottom w:w="0" w:type="dxa"/>
          <w:right w:w="0" w:type="dxa"/>
        </w:tblCellMar>
      </w:tblPr>
      <w:tblGrid>
        <w:gridCol w:w="1550"/>
        <w:gridCol w:w="320"/>
        <w:gridCol w:w="6545"/>
      </w:tblGrid>
      <w:tr>
        <w:trPr/>
        <w:tc>
          <w:tcPr>
            <w:tcW w:w="1550" w:type="dxa"/>
            <w:tcBorders/>
            <w:vAlign w:val="center"/>
          </w:tcPr>
          <w:p>
            <w:pPr>
              <w:pStyle w:val="TableContents"/>
              <w:bidi w:val="0"/>
              <w:spacing w:before="0" w:after="283"/>
              <w:jc w:val="left"/>
              <w:rPr>
                <w:caps w:val="false"/>
                <w:smallCaps w:val="false"/>
              </w:rPr>
            </w:pPr>
            <w:r>
              <w:rPr>
                <w:caps w:val="false"/>
                <w:smallCaps w:val="false"/>
              </w:rPr>
              <w:t> </w:t>
            </w:r>
          </w:p>
        </w:tc>
        <w:tc>
          <w:tcPr>
            <w:tcW w:w="686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electroCore, Inc.</w:t>
            </w:r>
          </w:p>
        </w:tc>
      </w:tr>
      <w:tr>
        <w:trPr/>
        <w:tc>
          <w:tcPr>
            <w:tcW w:w="155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65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5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65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6,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54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Joshua S. Lev</w:t>
            </w:r>
          </w:p>
        </w:tc>
      </w:tr>
      <w:tr>
        <w:trPr/>
        <w:tc>
          <w:tcPr>
            <w:tcW w:w="155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65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Joshua S. Lev</w:t>
            </w:r>
          </w:p>
        </w:tc>
      </w:tr>
      <w:tr>
        <w:trPr/>
        <w:tc>
          <w:tcPr>
            <w:tcW w:w="155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65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President and Chief Financial Officer</w:t>
            </w:r>
          </w:p>
        </w:tc>
      </w:tr>
      <w:tr>
        <w:trPr/>
        <w:tc>
          <w:tcPr>
            <w:tcW w:w="155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65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Executive Officer and 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center"/>
        <w:rPr>
          <w:caps w:val="false"/>
          <w:smallCaps w:val="false"/>
        </w:rPr>
      </w:pPr>
      <w:bookmarkStart w:id="568" w:name="ex31-1.htm"/>
      <w:bookmarkStart w:id="569" w:name="ksex311"/>
      <w:bookmarkEnd w:id="568"/>
      <w:bookmarkEnd w:id="56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Joshua S. Lev, certify that:</w:t>
      </w:r>
    </w:p>
    <w:p>
      <w:pPr>
        <w:pStyle w:val="TextBody"/>
        <w:bidi w:val="0"/>
        <w:spacing w:before="0" w:after="0"/>
        <w:ind w:left="0" w:right="0" w:hanging="0"/>
        <w:jc w:val="both"/>
        <w:rPr>
          <w:caps w:val="false"/>
          <w:smallCaps w:val="false"/>
        </w:rPr>
      </w:pPr>
      <w:r>
        <w:rPr>
          <w:caps w:val="false"/>
          <w:smallCaps w:val="false"/>
        </w:rPr>
        <w:t> </w:t>
      </w:r>
    </w:p>
    <w:tbl>
      <w:tblPr>
        <w:tblW w:w="6070" w:type="dxa"/>
        <w:jc w:val="left"/>
        <w:tblInd w:w="0" w:type="dxa"/>
        <w:tblLayout w:type="fixed"/>
        <w:tblCellMar>
          <w:top w:w="0" w:type="dxa"/>
          <w:left w:w="0" w:type="dxa"/>
          <w:bottom w:w="0" w:type="dxa"/>
          <w:right w:w="0" w:type="dxa"/>
        </w:tblCellMar>
      </w:tblPr>
      <w:tblGrid>
        <w:gridCol w:w="185"/>
        <w:gridCol w:w="5885"/>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5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electroCore, Inc.;</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7780" w:type="dxa"/>
        <w:jc w:val="left"/>
        <w:tblInd w:w="0" w:type="dxa"/>
        <w:tblLayout w:type="fixed"/>
        <w:tblCellMar>
          <w:top w:w="0" w:type="dxa"/>
          <w:left w:w="0" w:type="dxa"/>
          <w:bottom w:w="0" w:type="dxa"/>
          <w:right w:w="0" w:type="dxa"/>
        </w:tblCellMar>
      </w:tblPr>
      <w:tblGrid>
        <w:gridCol w:w="1550"/>
        <w:gridCol w:w="6230"/>
      </w:tblGrid>
      <w:tr>
        <w:trPr/>
        <w:tc>
          <w:tcPr>
            <w:tcW w:w="15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6, 2026</w:t>
            </w:r>
          </w:p>
        </w:tc>
        <w:tc>
          <w:tcPr>
            <w:tcW w:w="623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Joshua S. Lev</w:t>
            </w:r>
          </w:p>
        </w:tc>
      </w:tr>
      <w:tr>
        <w:trPr/>
        <w:tc>
          <w:tcPr>
            <w:tcW w:w="1550" w:type="dxa"/>
            <w:tcBorders/>
            <w:vAlign w:val="center"/>
          </w:tcPr>
          <w:p>
            <w:pPr>
              <w:pStyle w:val="TableContents"/>
              <w:bidi w:val="0"/>
              <w:spacing w:before="0" w:after="283"/>
              <w:jc w:val="left"/>
              <w:rPr>
                <w:caps w:val="false"/>
                <w:smallCaps w:val="false"/>
              </w:rPr>
            </w:pPr>
            <w:r>
              <w:rPr>
                <w:caps w:val="false"/>
                <w:smallCaps w:val="false"/>
              </w:rPr>
              <w:t> </w:t>
            </w:r>
          </w:p>
        </w:tc>
        <w:tc>
          <w:tcPr>
            <w:tcW w:w="623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Joshua S. Lev</w:t>
            </w:r>
          </w:p>
        </w:tc>
      </w:tr>
      <w:tr>
        <w:trPr/>
        <w:tc>
          <w:tcPr>
            <w:tcW w:w="1550" w:type="dxa"/>
            <w:tcBorders/>
            <w:vAlign w:val="center"/>
          </w:tcPr>
          <w:p>
            <w:pPr>
              <w:pStyle w:val="TableContents"/>
              <w:bidi w:val="0"/>
              <w:spacing w:before="0" w:after="283"/>
              <w:jc w:val="left"/>
              <w:rPr>
                <w:caps w:val="false"/>
                <w:smallCaps w:val="false"/>
              </w:rPr>
            </w:pPr>
            <w:r>
              <w:rPr>
                <w:caps w:val="false"/>
                <w:smallCaps w:val="false"/>
              </w:rPr>
              <w:t> </w:t>
            </w:r>
          </w:p>
        </w:tc>
        <w:tc>
          <w:tcPr>
            <w:tcW w:w="623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President and Chief Financial Officer</w:t>
            </w:r>
          </w:p>
        </w:tc>
      </w:tr>
      <w:tr>
        <w:trPr/>
        <w:tc>
          <w:tcPr>
            <w:tcW w:w="1550" w:type="dxa"/>
            <w:tcBorders/>
            <w:vAlign w:val="center"/>
          </w:tcPr>
          <w:p>
            <w:pPr>
              <w:pStyle w:val="TableContents"/>
              <w:bidi w:val="0"/>
              <w:spacing w:before="0" w:after="283"/>
              <w:jc w:val="left"/>
              <w:rPr>
                <w:caps w:val="false"/>
                <w:smallCaps w:val="false"/>
              </w:rPr>
            </w:pPr>
            <w:r>
              <w:rPr>
                <w:caps w:val="false"/>
                <w:smallCaps w:val="false"/>
              </w:rPr>
              <w:t> </w:t>
            </w:r>
          </w:p>
        </w:tc>
        <w:tc>
          <w:tcPr>
            <w:tcW w:w="623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Executive Officer, Principal Financial and Accounting Officer)</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pPr>
      <w:bookmarkStart w:id="570" w:name="ex32-1.htm"/>
      <w:bookmarkStart w:id="571" w:name="ksex321"/>
      <w:bookmarkEnd w:id="570"/>
      <w:bookmarkEnd w:id="571"/>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of electroCore, Inc, (the “Company”) for the period ended March 31, 2026 as filed with the Securities and Exchange Commission on the date hereof (the “Report”), the undersigned, Joshua S. Lev, as Interim President and Chief Financial Officer of the Company, hereby certifies, pursuant to 18 U.S.C. Section 1350, that to the best of my knowledge:</w:t>
      </w:r>
    </w:p>
    <w:p>
      <w:pPr>
        <w:pStyle w:val="TextBody"/>
        <w:bidi w:val="0"/>
        <w:spacing w:before="0" w:after="0"/>
        <w:ind w:left="0" w:right="0" w:hanging="0"/>
        <w:jc w:val="both"/>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185"/>
        <w:gridCol w:w="917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complies with the requirements of Section 13(a) or 15(d) of the Securities Exchange Act of 1934;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7780" w:type="dxa"/>
        <w:jc w:val="left"/>
        <w:tblInd w:w="0" w:type="dxa"/>
        <w:tblLayout w:type="fixed"/>
        <w:tblCellMar>
          <w:top w:w="0" w:type="dxa"/>
          <w:left w:w="0" w:type="dxa"/>
          <w:bottom w:w="0" w:type="dxa"/>
          <w:right w:w="0" w:type="dxa"/>
        </w:tblCellMar>
      </w:tblPr>
      <w:tblGrid>
        <w:gridCol w:w="1550"/>
        <w:gridCol w:w="6230"/>
      </w:tblGrid>
      <w:tr>
        <w:trPr/>
        <w:tc>
          <w:tcPr>
            <w:tcW w:w="15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6, 2026</w:t>
            </w:r>
          </w:p>
        </w:tc>
        <w:tc>
          <w:tcPr>
            <w:tcW w:w="623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Joshua S. Lev</w:t>
            </w:r>
          </w:p>
        </w:tc>
      </w:tr>
      <w:tr>
        <w:trPr/>
        <w:tc>
          <w:tcPr>
            <w:tcW w:w="1550" w:type="dxa"/>
            <w:tcBorders/>
            <w:vAlign w:val="center"/>
          </w:tcPr>
          <w:p>
            <w:pPr>
              <w:pStyle w:val="TableContents"/>
              <w:bidi w:val="0"/>
              <w:spacing w:before="0" w:after="283"/>
              <w:jc w:val="left"/>
              <w:rPr>
                <w:caps w:val="false"/>
                <w:smallCaps w:val="false"/>
              </w:rPr>
            </w:pPr>
            <w:r>
              <w:rPr>
                <w:caps w:val="false"/>
                <w:smallCaps w:val="false"/>
              </w:rPr>
              <w:t> </w:t>
            </w:r>
          </w:p>
        </w:tc>
        <w:tc>
          <w:tcPr>
            <w:tcW w:w="623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Joshua S. Lev</w:t>
            </w:r>
          </w:p>
        </w:tc>
      </w:tr>
      <w:tr>
        <w:trPr/>
        <w:tc>
          <w:tcPr>
            <w:tcW w:w="1550" w:type="dxa"/>
            <w:tcBorders/>
            <w:vAlign w:val="center"/>
          </w:tcPr>
          <w:p>
            <w:pPr>
              <w:pStyle w:val="TableContents"/>
              <w:bidi w:val="0"/>
              <w:spacing w:before="0" w:after="283"/>
              <w:jc w:val="left"/>
              <w:rPr>
                <w:caps w:val="false"/>
                <w:smallCaps w:val="false"/>
              </w:rPr>
            </w:pPr>
            <w:r>
              <w:rPr>
                <w:caps w:val="false"/>
                <w:smallCaps w:val="false"/>
              </w:rPr>
              <w:t> </w:t>
            </w:r>
          </w:p>
        </w:tc>
        <w:tc>
          <w:tcPr>
            <w:tcW w:w="623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President and Chief Financial Officer</w:t>
            </w:r>
          </w:p>
        </w:tc>
      </w:tr>
      <w:tr>
        <w:trPr/>
        <w:tc>
          <w:tcPr>
            <w:tcW w:w="1550" w:type="dxa"/>
            <w:tcBorders/>
            <w:vAlign w:val="center"/>
          </w:tcPr>
          <w:p>
            <w:pPr>
              <w:pStyle w:val="TableContents"/>
              <w:bidi w:val="0"/>
              <w:spacing w:before="0" w:after="283"/>
              <w:jc w:val="left"/>
              <w:rPr>
                <w:caps w:val="false"/>
                <w:smallCaps w:val="false"/>
              </w:rPr>
            </w:pPr>
            <w:r>
              <w:rPr>
                <w:caps w:val="false"/>
                <w:smallCaps w:val="false"/>
              </w:rPr>
              <w:t> </w:t>
            </w:r>
          </w:p>
        </w:tc>
        <w:tc>
          <w:tcPr>
            <w:tcW w:w="623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Executive Officer, 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16087</Words>
  <Characters>88323</Characters>
  <CharactersWithSpaces>105533</CharactersWithSpaces>
  <Paragraphs>4251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