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45"/>
        <w:gridCol w:w="9935"/>
      </w:tblGrid>
      <w:tr>
        <w:trPr/>
        <w:tc>
          <w:tcPr>
            <w:tcW w:w="245" w:type="dxa"/>
            <w:tcBorders/>
            <w:vAlign w:val="center"/>
          </w:tcPr>
          <w:p>
            <w:pPr>
              <w:pStyle w:val="TableContents"/>
              <w:bidi w:val="0"/>
              <w:spacing w:before="0" w:after="283"/>
              <w:jc w:val="left"/>
              <w:rPr>
                <w:caps w:val="false"/>
                <w:smallCaps w:val="false"/>
              </w:rPr>
            </w:pPr>
            <w:bookmarkStart w:id="3" w:name="xdx_90B_edei--DocumentQuarterlyReport_c2"/>
            <w:bookmarkEnd w:id="3"/>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QUARTERLY REPORT PURSUANT TO SECTION 13 OR 15(d) OF THE SECURITIES EXCHANGE ACT OF 1934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3_edei--DocumentPeriodEndDate_c202"/>
      <w:bookmarkEnd w:id="4"/>
      <w:r>
        <w:rPr>
          <w:rFonts w:ascii="Times New Roman;Times;Serif" w:hAnsi="Times New Roman;Times;Serif"/>
          <w:b/>
          <w:i w:val="false"/>
          <w:caps w:val="false"/>
          <w:smallCaps w:val="false"/>
          <w:sz w:val="20"/>
        </w:rPr>
        <w:t xml:space="preserve">June 30, </w:t>
      </w:r>
      <w:bookmarkStart w:id="5" w:name="xdx_904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8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B_edei--EntityFileNumber_c20260101"/>
      <w:bookmarkEnd w:id="7"/>
      <w:r>
        <w:rPr>
          <w:rFonts w:ascii="Times New Roman;Times;Serif" w:hAnsi="Times New Roman;Times;Serif"/>
          <w:b/>
          <w:i w:val="false"/>
          <w:caps w:val="false"/>
          <w:smallCaps w:val="false"/>
          <w:sz w:val="20"/>
        </w:rPr>
        <w:t>001-38538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733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B_edei--EntityRegistrantName_c2026"/>
      <w:bookmarkEnd w:id="8"/>
      <w:r>
        <w:rPr>
          <w:rFonts w:ascii="Times New Roman;Times;Serif" w:hAnsi="Times New Roman;Times;Serif"/>
          <w:b/>
          <w:i w:val="false"/>
          <w:caps w:val="false"/>
          <w:smallCaps w:val="false"/>
          <w:sz w:val="36"/>
        </w:rPr>
        <w:t>electroCore,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530"/>
        <w:gridCol w:w="60"/>
        <w:gridCol w:w="1565"/>
      </w:tblGrid>
      <w:tr>
        <w:trPr/>
        <w:tc>
          <w:tcPr>
            <w:tcW w:w="3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B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5_edei--EntityTaxIdentificationNum"/>
            <w:bookmarkEnd w:id="10"/>
            <w:r>
              <w:rPr>
                <w:rFonts w:ascii="Times New Roman;Times;Serif" w:hAnsi="Times New Roman;Times;Serif"/>
                <w:b/>
                <w:i w:val="false"/>
                <w:caps w:val="false"/>
                <w:smallCaps w:val="false"/>
                <w:sz w:val="20"/>
              </w:rPr>
              <w:t xml:space="preserve">20-3454976 </w:t>
            </w:r>
          </w:p>
        </w:tc>
      </w:tr>
      <w:tr>
        <w:trPr/>
        <w:tc>
          <w:tcPr>
            <w:tcW w:w="35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5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AddressAddressLine1_"/>
            <w:bookmarkEnd w:id="11"/>
            <w:r>
              <w:rPr>
                <w:rFonts w:ascii="Times New Roman;Times;Serif" w:hAnsi="Times New Roman;Times;Serif"/>
                <w:b/>
                <w:i w:val="false"/>
                <w:caps w:val="false"/>
                <w:smallCaps w:val="false"/>
                <w:sz w:val="20"/>
              </w:rPr>
              <w:t xml:space="preserve">200 Forge Way, </w:t>
            </w:r>
            <w:bookmarkStart w:id="12" w:name="xdx_907_edei--EntityAddressAddressLine2_"/>
            <w:bookmarkEnd w:id="12"/>
            <w:r>
              <w:rPr>
                <w:rFonts w:ascii="Times New Roman;Times;Serif" w:hAnsi="Times New Roman;Times;Serif"/>
                <w:b/>
                <w:i w:val="false"/>
                <w:caps w:val="false"/>
                <w:smallCaps w:val="false"/>
                <w:sz w:val="20"/>
              </w:rPr>
              <w:t xml:space="preserve">Suite 205, </w:t>
            </w:r>
            <w:bookmarkStart w:id="13" w:name="xdx_900_edei--EntityAddressCityOrTown_c2"/>
            <w:bookmarkEnd w:id="13"/>
            <w:r>
              <w:rPr>
                <w:rFonts w:ascii="Times New Roman;Times;Serif" w:hAnsi="Times New Roman;Times;Serif"/>
                <w:b/>
                <w:i w:val="false"/>
                <w:caps w:val="false"/>
                <w:smallCaps w:val="false"/>
                <w:sz w:val="20"/>
              </w:rPr>
              <w:t xml:space="preserve">Rockaway, </w:t>
            </w:r>
            <w:bookmarkStart w:id="14" w:name="xdx_904_edei--EntityAddressStateOrProvin"/>
            <w:bookmarkEnd w:id="14"/>
            <w:r>
              <w:rPr>
                <w:rFonts w:ascii="Times New Roman;Times;Serif" w:hAnsi="Times New Roman;Times;Serif"/>
                <w:b/>
                <w:i w:val="false"/>
                <w:caps w:val="false"/>
                <w:smallCaps w:val="false"/>
                <w:sz w:val="20"/>
              </w:rPr>
              <w:t>NJ</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6_edei--EntityAddressPostalZipCode"/>
            <w:bookmarkEnd w:id="15"/>
            <w:r>
              <w:rPr>
                <w:rFonts w:ascii="Times New Roman;Times;Serif" w:hAnsi="Times New Roman;Times;Serif"/>
                <w:b/>
                <w:i w:val="false"/>
                <w:caps w:val="false"/>
                <w:smallCaps w:val="false"/>
                <w:sz w:val="20"/>
              </w:rPr>
              <w:t>07866</w:t>
            </w:r>
          </w:p>
        </w:tc>
      </w:tr>
      <w:tr>
        <w:trPr/>
        <w:tc>
          <w:tcPr>
            <w:tcW w:w="3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B_edei--CityAreaCode_c20260101__20"/>
      <w:bookmarkEnd w:id="16"/>
      <w:r>
        <w:rPr>
          <w:rFonts w:ascii="Times New Roman;Times;Serif" w:hAnsi="Times New Roman;Times;Serif"/>
          <w:b/>
          <w:i w:val="false"/>
          <w:caps w:val="false"/>
          <w:smallCaps w:val="false"/>
          <w:sz w:val="20"/>
        </w:rPr>
        <w:t xml:space="preserve">(973) </w:t>
      </w:r>
      <w:bookmarkStart w:id="17" w:name="xdx_90C_edei--LocalPhoneNumber_c20260101"/>
      <w:bookmarkEnd w:id="17"/>
      <w:r>
        <w:rPr>
          <w:rFonts w:ascii="Times New Roman;Times;Serif" w:hAnsi="Times New Roman;Times;Serif"/>
          <w:b/>
          <w:i w:val="false"/>
          <w:caps w:val="false"/>
          <w:smallCaps w:val="false"/>
          <w:sz w:val="20"/>
        </w:rPr>
        <w:t>290-0097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120" w:type="dxa"/>
        <w:jc w:val="left"/>
        <w:tblInd w:w="0" w:type="dxa"/>
        <w:tblLayout w:type="fixed"/>
        <w:tblCellMar>
          <w:top w:w="0" w:type="dxa"/>
          <w:left w:w="0" w:type="dxa"/>
          <w:bottom w:w="28" w:type="dxa"/>
          <w:right w:w="0" w:type="dxa"/>
        </w:tblCellMar>
      </w:tblPr>
      <w:tblGrid>
        <w:gridCol w:w="3815"/>
        <w:gridCol w:w="60"/>
        <w:gridCol w:w="1550"/>
        <w:gridCol w:w="60"/>
        <w:gridCol w:w="3635"/>
      </w:tblGrid>
      <w:tr>
        <w:trPr/>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each class </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Trading symbol(s) </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each exchange on which registered </w:t>
            </w:r>
          </w:p>
        </w:tc>
      </w:tr>
      <w:tr>
        <w:trPr/>
        <w:tc>
          <w:tcPr>
            <w:tcW w:w="38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1_edei--Security12bTitle_c20260101"/>
            <w:bookmarkEnd w:id="18"/>
            <w:r>
              <w:rPr>
                <w:rFonts w:ascii="Times New Roman;Times;Serif" w:hAnsi="Times New Roman;Times;Serif"/>
                <w:b/>
                <w:i w:val="false"/>
                <w:caps w:val="false"/>
                <w:smallCaps w:val="false"/>
                <w:sz w:val="20"/>
              </w:rPr>
              <w:t xml:space="preserve">Common Stock, Par Value $0.001 Per Share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C_edei--TradingSymbol_c20260101__2"/>
            <w:bookmarkEnd w:id="19"/>
            <w:r>
              <w:rPr>
                <w:rFonts w:ascii="Times New Roman;Times;Serif" w:hAnsi="Times New Roman;Times;Serif"/>
                <w:b/>
                <w:i w:val="false"/>
                <w:caps w:val="false"/>
                <w:smallCaps w:val="false"/>
                <w:sz w:val="20"/>
              </w:rPr>
              <w:t xml:space="preserve">ECOR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0_edei--SecurityExchangeName_c2026"/>
            <w:bookmarkEnd w:id="20"/>
            <w:r>
              <w:rPr>
                <w:rFonts w:ascii="Times New Roman;Times;Serif" w:hAnsi="Times New Roman;Times;Serif"/>
                <w:b/>
                <w:i w:val="false"/>
                <w:caps w:val="false"/>
                <w:smallCaps w:val="false"/>
                <w:sz w:val="20"/>
              </w:rPr>
              <w:t>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2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E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2285"/>
        <w:gridCol w:w="230"/>
        <w:gridCol w:w="60"/>
        <w:gridCol w:w="2270"/>
        <w:gridCol w:w="245"/>
      </w:tblGrid>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accelerated filer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Accelerated filer </w:t>
            </w:r>
          </w:p>
        </w:tc>
        <w:tc>
          <w:tcPr>
            <w:tcW w:w="245"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228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D_edei--EntityFilerCategory_c20260"/>
            <w:bookmarkEnd w:id="23"/>
            <w:r>
              <w:rPr>
                <w:rFonts w:ascii="Times New Roman;Times;Serif" w:hAnsi="Times New Roman;Times;Serif"/>
                <w:b w:val="false"/>
                <w:i w:val="false"/>
                <w:caps w:val="false"/>
                <w:smallCaps w:val="false"/>
                <w:sz w:val="20"/>
              </w:rPr>
              <w:t xml:space="preserve">Non-accelerated filer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right"/>
              <w:rPr>
                <w:caps w:val="false"/>
                <w:smallCaps w:val="false"/>
              </w:rPr>
            </w:pPr>
            <w:bookmarkStart w:id="24" w:name="xdx_90B_edei--EntitySmallBusiness_c20260"/>
            <w:bookmarkEnd w:id="24"/>
            <w:r>
              <w:rPr>
                <w:caps w:val="false"/>
                <w:smallCaps w:val="false"/>
              </w:rPr>
              <w:t>☒</w:t>
            </w:r>
          </w:p>
        </w:tc>
      </w:tr>
      <w:tr>
        <w:trPr/>
        <w:tc>
          <w:tcPr>
            <w:tcW w:w="228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30" w:type="dxa"/>
            <w:tcBorders/>
            <w:vAlign w:val="center"/>
          </w:tcPr>
          <w:p>
            <w:pPr>
              <w:pStyle w:val="TableContents"/>
              <w:bidi w:val="0"/>
              <w:spacing w:before="0" w:after="283"/>
              <w:jc w:val="left"/>
              <w:rPr>
                <w:caps w:val="false"/>
                <w:smallCaps w:val="false"/>
              </w:rPr>
            </w:pPr>
            <w:bookmarkStart w:id="25" w:name="xdx_90B_edei--EntityEmergingGrowthCompan"/>
            <w:bookmarkEnd w:id="25"/>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w:t>
      </w:r>
      <w:r>
        <w:rPr>
          <w:rFonts w:ascii="Times New Roman;Times;Serif" w:hAnsi="Times New Roman;Times;Serif"/>
          <w:b w:val="false"/>
          <w:i w:val="false"/>
          <w:caps w:val="false"/>
          <w:smallCaps w:val="false"/>
          <w:sz w:val="20"/>
          <w:shd w:fill="FFFFFF" w:val="clear"/>
        </w:rPr>
        <w:t xml:space="preserve">12b-2 of the Exchange Act). YES ☐ NO </w:t>
      </w:r>
      <w:bookmarkStart w:id="26" w:name="xdx_909_edei--EntityShellCompany_dbF_c20"/>
      <w:bookmarkEnd w:id="26"/>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Registrant’s Common Stock outstanding as of July 31, 2026 was </w:t>
      </w:r>
      <w:bookmarkStart w:id="27" w:name="xdx_901_edei--EntityCommonStockSharesOut"/>
      <w:bookmarkEnd w:id="27"/>
      <w:r>
        <w:rPr>
          <w:rFonts w:ascii="Times New Roman;Times;Serif" w:hAnsi="Times New Roman;Times;Serif"/>
          <w:b w:val="false"/>
          <w:i w:val="false"/>
          <w:caps w:val="false"/>
          <w:smallCaps w:val="false"/>
          <w:sz w:val="20"/>
        </w:rPr>
        <w:t>9,015,885</w:t>
      </w:r>
      <w:r>
        <w:rPr>
          <w:rFonts w:ascii="Times New Roman;Times;Serif" w:hAnsi="Times New Roman;Times;Serif"/>
          <w:b w:val="false"/>
          <w:i w:val="false"/>
          <w:caps w:val="false"/>
          <w:smallCaps w:val="false"/>
          <w:sz w:val="20"/>
          <w:shd w:fill="FFFFFF" w:val="clear"/>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0"/>
        <w:gridCol w:w="8500"/>
        <w:gridCol w:w="60"/>
        <w:gridCol w:w="1005"/>
      </w:tblGrid>
      <w:tr>
        <w:trPr/>
        <w:tc>
          <w:tcPr>
            <w:tcW w:w="640" w:type="dxa"/>
            <w:tcBorders/>
            <w:vAlign w:val="center"/>
          </w:tcPr>
          <w:p>
            <w:pPr>
              <w:pStyle w:val="TableContents"/>
              <w:bidi w:val="0"/>
              <w:spacing w:before="0" w:after="283"/>
              <w:jc w:val="left"/>
              <w:rPr>
                <w:caps w:val="false"/>
                <w:smallCaps w:val="false"/>
              </w:rPr>
            </w:pPr>
            <w:r>
              <w:rPr>
                <w:caps w:val="false"/>
                <w:smallCaps w:val="false"/>
              </w:rPr>
              <w:t> </w:t>
            </w:r>
          </w:p>
        </w:tc>
        <w:tc>
          <w:tcPr>
            <w:tcW w:w="85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tc>
        <w:tc>
          <w:tcPr>
            <w:tcW w:w="60" w:type="dxa"/>
            <w:tcBorders/>
            <w:vAlign w:val="center"/>
          </w:tcPr>
          <w:p>
            <w:pPr>
              <w:pStyle w:val="TableContents"/>
              <w:bidi w:val="0"/>
              <w:spacing w:before="0" w:after="283"/>
              <w:jc w:val="left"/>
              <w:rPr/>
            </w:pPr>
            <w:r>
              <w:rPr/>
              <w:t> </w:t>
            </w:r>
          </w:p>
        </w:tc>
        <w:tc>
          <w:tcPr>
            <w:tcW w:w="10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Number</w:t>
            </w:r>
          </w:p>
        </w:tc>
      </w:tr>
      <w:tr>
        <w:trPr/>
        <w:tc>
          <w:tcPr>
            <w:tcW w:w="6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2025 (Unaudited)</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Comprehensive Loss for the Three and Six Months ended June 30, 2026 and 2025 (Unaudited)</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Equity (Deficit) for the Three and Six Months ended June 30, 2026 and 2025 (Unaudited)</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00"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00" w:type="dxa"/>
            <w:tcBorders/>
            <w:shd w:fill="FFFF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00"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FFFF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00"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500" w:type="dxa"/>
            <w:tcBorders/>
            <w:shd w:fill="FFFF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00"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00"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00"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500" w:type="dxa"/>
            <w:tcBorders/>
            <w:shd w:fill="FFFF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500" w:type="dxa"/>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0" w:type="dxa"/>
            <w:tcBorders/>
            <w:shd w:fill="FFFF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Signatures</w:t>
              </w:r>
            </w:hyperlink>
          </w:p>
        </w:tc>
        <w:tc>
          <w:tcPr>
            <w:tcW w:w="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ELECTROCORE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Quarterly Report on Form 10-Q, unless otherwise stated or the context otherwise indicates, references to “ECOR,” “electroCore,” “the Company,” “we,” “us,” “our” and similar references refer to electroCore, Inc., a Delaware corporation and its wholly owned subsidiaries, including NeuroMetrix, Inc., a Delaware corporation (“NeuroMetrix” or “NURO”).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8" w:name="a_001"/>
      <w:bookmarkEnd w:id="28"/>
      <w:r>
        <w:rPr>
          <w:rFonts w:ascii="Times New Roman;Times;Serif" w:hAnsi="Times New Roman;Times;Serif"/>
          <w:b w:val="false"/>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or Quarterly Report, contains forward-looking statements that involve risks and uncertainties. Our actual results could differ materially from those discussed in the forward-looking statements. The statements contained in this Quarterly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“can,” “continue,” “could,” “estimate,” “expect,” “intend,” “may,” “plan,” “project,” “seek,” “should,” “strategy,” “designed,” “target,” “will,” “would” and similar expressions or variations intended to identify forward-looking statements. These statements are based on the beliefs and assumptions of our management based on information currently available to them.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risks and uncertainties included in our Form 10-Qs, our annual report on Form 10-K for the year ended December 31, 2025 (the “Annual Report”), in our other filings with the U.S. Securities and Exchange Commission (the “SEC”) or in materials incorporated by reference therein, including the information in the sections entitled “Risk Factors” and “Management’s Discussion and Analysis of Financial Condition and Results of Operations” in such filings. Furthermore, any such forward-looking statements in this Quarterly Report speak only as of the date of this Quarterly Report. Except as required by law, we undertake no obligation to update or revise any forward-looking statements to reflect events or circumstances after the date of such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electroCore logo, gammaCore, Truvaga, TAC-STIM, NeuroMetrix, Quell, names, logos, and other trademarks of electroCore, Inc. appearing in this Quarterly Report are the property of electroCore, Inc. All other trademarks, service marks and trade names in this Quarterly Report are the property of their respective owners. We have omitted the ® and ™ designations, as applicable, for the trademarks used in this Quarterly Report.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02"/>
      <w:bookmarkEnd w:id="29"/>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9_111_pn3n3_zwm9GPTfczw3"/>
      <w:bookmarkStart w:id="31" w:name="xdx_309_111_pn3n3_zwm9GPTfczw3"/>
      <w:bookmarkEnd w:id="31"/>
    </w:p>
    <w:tbl>
      <w:tblPr>
        <w:tblW w:w="10205" w:type="dxa"/>
        <w:jc w:val="left"/>
        <w:tblInd w:w="0" w:type="dxa"/>
        <w:tblLayout w:type="fixed"/>
        <w:tblCellMar>
          <w:top w:w="0" w:type="dxa"/>
          <w:left w:w="0" w:type="dxa"/>
          <w:bottom w:w="0" w:type="dxa"/>
          <w:right w:w="0" w:type="dxa"/>
        </w:tblCellMar>
      </w:tblPr>
      <w:tblGrid>
        <w:gridCol w:w="7707"/>
        <w:gridCol w:w="60"/>
        <w:gridCol w:w="140"/>
        <w:gridCol w:w="875"/>
        <w:gridCol w:w="95"/>
        <w:gridCol w:w="60"/>
        <w:gridCol w:w="158"/>
        <w:gridCol w:w="998"/>
        <w:gridCol w:w="112"/>
      </w:tblGrid>
      <w:tr>
        <w:trPr/>
        <w:tc>
          <w:tcPr>
            <w:tcW w:w="7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9_20260630_zho7RorcYWh8"/>
            <w:bookmarkEnd w:id="32"/>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C_20251231_zRcI27TKBUM"/>
            <w:bookmarkEnd w:id="33"/>
          </w:p>
        </w:tc>
        <w:tc>
          <w:tcPr>
            <w:tcW w:w="1156"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34" w:name="xdx_402_eus-gaap--AssetsAbstract_iB_zDMy"/>
            <w:bookmarkEnd w:id="34"/>
          </w:p>
        </w:tc>
      </w:tr>
      <w:tr>
        <w:trPr/>
        <w:tc>
          <w:tcPr>
            <w:tcW w:w="7707"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5" w:name="xdx_40F_eus-gaap--AssetsCurrentAbstract_"/>
            <w:bookmarkEnd w:id="35"/>
          </w:p>
        </w:tc>
      </w:tr>
      <w:tr>
        <w:trPr/>
        <w:tc>
          <w:tcPr>
            <w:tcW w:w="770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6" w:name="xdx_40F_eus-gaap--CashAndCashEquivalents"/>
            <w:bookmarkEnd w:id="36"/>
          </w:p>
        </w:tc>
      </w:tr>
      <w:tr>
        <w:trPr/>
        <w:tc>
          <w:tcPr>
            <w:tcW w:w="770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7,035</w:t>
            </w:r>
          </w:p>
        </w:tc>
        <w:tc>
          <w:tcPr>
            <w:tcW w:w="112" w:type="dxa"/>
            <w:tcBorders/>
            <w:shd w:fill="CCEEFF" w:val="clear"/>
            <w:vAlign w:val="center"/>
          </w:tcPr>
          <w:p>
            <w:pPr>
              <w:pStyle w:val="TableContents"/>
              <w:bidi w:val="0"/>
              <w:spacing w:before="0" w:after="283"/>
              <w:jc w:val="left"/>
              <w:rPr/>
            </w:pPr>
            <w:r>
              <w:rPr/>
              <w:t> </w:t>
            </w:r>
            <w:bookmarkStart w:id="37" w:name="xdx_403_eus-gaap--MarketableSecuritiesCu"/>
            <w:bookmarkEnd w:id="37"/>
          </w:p>
        </w:tc>
      </w:tr>
      <w:tr>
        <w:trPr/>
        <w:tc>
          <w:tcPr>
            <w:tcW w:w="7707"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4,576</w:t>
            </w:r>
          </w:p>
        </w:tc>
        <w:tc>
          <w:tcPr>
            <w:tcW w:w="112" w:type="dxa"/>
            <w:tcBorders/>
            <w:shd w:fill="FFFFFF" w:val="clear"/>
            <w:vAlign w:val="center"/>
          </w:tcPr>
          <w:p>
            <w:pPr>
              <w:pStyle w:val="TableContents"/>
              <w:bidi w:val="0"/>
              <w:spacing w:before="0" w:after="283"/>
              <w:jc w:val="left"/>
              <w:rPr/>
            </w:pPr>
            <w:r>
              <w:rPr/>
              <w:t> </w:t>
            </w:r>
            <w:bookmarkStart w:id="38" w:name="xdx_403_eus-gaap--AccountsReceivableNetC"/>
            <w:bookmarkEnd w:id="38"/>
          </w:p>
        </w:tc>
      </w:tr>
      <w:tr>
        <w:trPr/>
        <w:tc>
          <w:tcPr>
            <w:tcW w:w="7707"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1,027</w:t>
            </w:r>
          </w:p>
        </w:tc>
        <w:tc>
          <w:tcPr>
            <w:tcW w:w="112" w:type="dxa"/>
            <w:tcBorders/>
            <w:shd w:fill="CCEEFF" w:val="clear"/>
            <w:vAlign w:val="center"/>
          </w:tcPr>
          <w:p>
            <w:pPr>
              <w:pStyle w:val="TableContents"/>
              <w:bidi w:val="0"/>
              <w:spacing w:before="0" w:after="283"/>
              <w:jc w:val="left"/>
              <w:rPr/>
            </w:pPr>
            <w:r>
              <w:rPr/>
              <w:t> </w:t>
            </w:r>
            <w:bookmarkStart w:id="39" w:name="xdx_401_eus-gaap--InventoryNet_i02I_maCz"/>
            <w:bookmarkEnd w:id="39"/>
          </w:p>
        </w:tc>
      </w:tr>
      <w:tr>
        <w:trPr/>
        <w:tc>
          <w:tcPr>
            <w:tcW w:w="7707"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1,631</w:t>
            </w:r>
          </w:p>
        </w:tc>
        <w:tc>
          <w:tcPr>
            <w:tcW w:w="112" w:type="dxa"/>
            <w:tcBorders/>
            <w:shd w:fill="FFFFFF" w:val="clear"/>
            <w:vAlign w:val="center"/>
          </w:tcPr>
          <w:p>
            <w:pPr>
              <w:pStyle w:val="TableContents"/>
              <w:bidi w:val="0"/>
              <w:spacing w:before="0" w:after="283"/>
              <w:jc w:val="left"/>
              <w:rPr/>
            </w:pPr>
            <w:r>
              <w:rPr/>
              <w:t> </w:t>
            </w:r>
            <w:bookmarkStart w:id="40" w:name="xdx_401_eus-gaap--PrepaidExpenseAndOther"/>
            <w:bookmarkEnd w:id="40"/>
          </w:p>
        </w:tc>
      </w:tr>
      <w:tr>
        <w:trPr/>
        <w:tc>
          <w:tcPr>
            <w:tcW w:w="7707"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1,397</w:t>
            </w:r>
          </w:p>
        </w:tc>
        <w:tc>
          <w:tcPr>
            <w:tcW w:w="112" w:type="dxa"/>
            <w:tcBorders/>
            <w:shd w:fill="CCEEFF" w:val="clear"/>
            <w:vAlign w:val="center"/>
          </w:tcPr>
          <w:p>
            <w:pPr>
              <w:pStyle w:val="TableContents"/>
              <w:bidi w:val="0"/>
              <w:spacing w:before="0" w:after="283"/>
              <w:jc w:val="left"/>
              <w:rPr/>
            </w:pPr>
            <w:r>
              <w:rPr/>
              <w:t> </w:t>
            </w:r>
            <w:bookmarkStart w:id="41" w:name="xdx_407_eus-gaap--AssetsCurrent_i02TI_mt"/>
            <w:bookmarkEnd w:id="41"/>
          </w:p>
        </w:tc>
      </w:tr>
      <w:tr>
        <w:trPr/>
        <w:tc>
          <w:tcPr>
            <w:tcW w:w="770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15,666</w:t>
            </w:r>
          </w:p>
        </w:tc>
        <w:tc>
          <w:tcPr>
            <w:tcW w:w="112" w:type="dxa"/>
            <w:tcBorders/>
            <w:shd w:fill="FFFFFF" w:val="clear"/>
            <w:vAlign w:val="center"/>
          </w:tcPr>
          <w:p>
            <w:pPr>
              <w:pStyle w:val="TableContents"/>
              <w:bidi w:val="0"/>
              <w:spacing w:before="0" w:after="283"/>
              <w:jc w:val="left"/>
              <w:rPr/>
            </w:pPr>
            <w:r>
              <w:rPr/>
              <w:t> </w:t>
            </w:r>
          </w:p>
        </w:tc>
      </w:tr>
      <w:tr>
        <w:trPr/>
        <w:tc>
          <w:tcPr>
            <w:tcW w:w="7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2" w:name="xdx_403_eus-gaap--PropertyPlantAndEquipm"/>
            <w:bookmarkEnd w:id="42"/>
          </w:p>
        </w:tc>
      </w:tr>
      <w:tr>
        <w:trPr/>
        <w:tc>
          <w:tcPr>
            <w:tcW w:w="770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382</w:t>
            </w:r>
          </w:p>
        </w:tc>
        <w:tc>
          <w:tcPr>
            <w:tcW w:w="112" w:type="dxa"/>
            <w:tcBorders/>
            <w:shd w:fill="FFFFFF" w:val="clear"/>
            <w:vAlign w:val="center"/>
          </w:tcPr>
          <w:p>
            <w:pPr>
              <w:pStyle w:val="TableContents"/>
              <w:bidi w:val="0"/>
              <w:spacing w:before="0" w:after="283"/>
              <w:jc w:val="left"/>
              <w:rPr/>
            </w:pPr>
            <w:r>
              <w:rPr/>
              <w:t> </w:t>
            </w:r>
            <w:bookmarkStart w:id="43" w:name="xdx_40E_eus-gaap--OperatingLeaseRightOfU"/>
            <w:bookmarkEnd w:id="43"/>
          </w:p>
        </w:tc>
      </w:tr>
      <w:tr>
        <w:trPr/>
        <w:tc>
          <w:tcPr>
            <w:tcW w:w="7707"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2,565</w:t>
            </w:r>
          </w:p>
        </w:tc>
        <w:tc>
          <w:tcPr>
            <w:tcW w:w="112" w:type="dxa"/>
            <w:tcBorders/>
            <w:shd w:fill="CCEEFF" w:val="clear"/>
            <w:vAlign w:val="center"/>
          </w:tcPr>
          <w:p>
            <w:pPr>
              <w:pStyle w:val="TableContents"/>
              <w:bidi w:val="0"/>
              <w:spacing w:before="0" w:after="283"/>
              <w:jc w:val="left"/>
              <w:rPr/>
            </w:pPr>
            <w:r>
              <w:rPr/>
              <w:t> </w:t>
            </w:r>
            <w:bookmarkStart w:id="44" w:name="xdx_40F_eus-gaap--OtherAssetsNoncurrent_"/>
            <w:bookmarkEnd w:id="44"/>
          </w:p>
        </w:tc>
      </w:tr>
      <w:tr>
        <w:trPr/>
        <w:tc>
          <w:tcPr>
            <w:tcW w:w="7707" w:type="dxa"/>
            <w:tcBorders/>
            <w:shd w:fill="FFFFFF" w:val="clear"/>
            <w:vAlign w:val="center"/>
          </w:tcPr>
          <w:p>
            <w:pPr>
              <w:pStyle w:val="TableContents"/>
              <w:bidi w:val="0"/>
              <w:spacing w:before="0" w:after="283"/>
              <w:jc w:val="left"/>
              <w:rPr/>
            </w:pPr>
            <w:r>
              <w:rPr/>
              <w:t>Other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54</w:t>
            </w:r>
          </w:p>
        </w:tc>
        <w:tc>
          <w:tcPr>
            <w:tcW w:w="112" w:type="dxa"/>
            <w:tcBorders/>
            <w:shd w:fill="FFFFFF" w:val="clear"/>
            <w:vAlign w:val="center"/>
          </w:tcPr>
          <w:p>
            <w:pPr>
              <w:pStyle w:val="TableContents"/>
              <w:bidi w:val="0"/>
              <w:spacing w:before="0" w:after="283"/>
              <w:jc w:val="left"/>
              <w:rPr/>
            </w:pPr>
            <w:r>
              <w:rPr/>
              <w:t> </w:t>
            </w:r>
            <w:bookmarkStart w:id="45" w:name="xdx_400_eus-gaap--Assets_i01TI_mtCzuyl_z"/>
            <w:bookmarkEnd w:id="45"/>
          </w:p>
        </w:tc>
      </w:tr>
      <w:tr>
        <w:trPr/>
        <w:tc>
          <w:tcPr>
            <w:tcW w:w="7707"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17,064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pPr>
            <w:r>
              <w:rPr/>
              <w:t>18,667</w:t>
            </w:r>
          </w:p>
        </w:tc>
        <w:tc>
          <w:tcPr>
            <w:tcW w:w="112" w:type="dxa"/>
            <w:tcBorders/>
            <w:shd w:fill="CCEEFF" w:val="clear"/>
            <w:vAlign w:val="center"/>
          </w:tcPr>
          <w:p>
            <w:pPr>
              <w:pStyle w:val="TableContents"/>
              <w:bidi w:val="0"/>
              <w:spacing w:before="0" w:after="283"/>
              <w:jc w:val="left"/>
              <w:rPr/>
            </w:pPr>
            <w:r>
              <w:rPr/>
              <w:t> </w:t>
            </w:r>
            <w:bookmarkStart w:id="46" w:name="xdx_409_eus-gaap--LiabilitiesAndStockhol"/>
            <w:bookmarkEnd w:id="46"/>
          </w:p>
        </w:tc>
      </w:tr>
      <w:tr>
        <w:trPr/>
        <w:tc>
          <w:tcPr>
            <w:tcW w:w="7707" w:type="dxa"/>
            <w:tcBorders/>
            <w:shd w:fill="FFFFFF" w:val="clear"/>
            <w:vAlign w:val="center"/>
          </w:tcPr>
          <w:p>
            <w:pPr>
              <w:pStyle w:val="TableContents"/>
              <w:bidi w:val="0"/>
              <w:spacing w:before="0" w:after="283"/>
              <w:jc w:val="center"/>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7" w:name="xdx_405_eus-gaap--LiabilitiesCurrentAbst"/>
            <w:bookmarkEnd w:id="47"/>
          </w:p>
        </w:tc>
      </w:tr>
      <w:tr>
        <w:trPr/>
        <w:tc>
          <w:tcPr>
            <w:tcW w:w="7707"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8" w:name="xdx_40B_eus-gaap--AccountsPayableCurrent"/>
            <w:bookmarkEnd w:id="48"/>
          </w:p>
        </w:tc>
      </w:tr>
      <w:tr>
        <w:trPr/>
        <w:tc>
          <w:tcPr>
            <w:tcW w:w="770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2,181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98" w:type="dxa"/>
            <w:tcBorders/>
            <w:shd w:fill="FFFFFF" w:val="clear"/>
            <w:vAlign w:val="center"/>
          </w:tcPr>
          <w:p>
            <w:pPr>
              <w:pStyle w:val="TableContents"/>
              <w:bidi w:val="0"/>
              <w:spacing w:before="0" w:after="283"/>
              <w:jc w:val="right"/>
              <w:rPr/>
            </w:pPr>
            <w:r>
              <w:rPr/>
              <w:t>2,712</w:t>
            </w:r>
          </w:p>
        </w:tc>
        <w:tc>
          <w:tcPr>
            <w:tcW w:w="112" w:type="dxa"/>
            <w:tcBorders/>
            <w:shd w:fill="FFFFFF" w:val="clear"/>
            <w:vAlign w:val="center"/>
          </w:tcPr>
          <w:p>
            <w:pPr>
              <w:pStyle w:val="TableContents"/>
              <w:bidi w:val="0"/>
              <w:spacing w:before="0" w:after="283"/>
              <w:jc w:val="left"/>
              <w:rPr/>
            </w:pPr>
            <w:r>
              <w:rPr/>
              <w:t> </w:t>
            </w:r>
            <w:bookmarkStart w:id="49" w:name="xdx_404_eus-gaap--AccruedLiabilitiesCurr"/>
            <w:bookmarkEnd w:id="49"/>
          </w:p>
        </w:tc>
      </w:tr>
      <w:tr>
        <w:trPr/>
        <w:tc>
          <w:tcPr>
            <w:tcW w:w="7707"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8,261</w:t>
            </w:r>
          </w:p>
        </w:tc>
        <w:tc>
          <w:tcPr>
            <w:tcW w:w="112" w:type="dxa"/>
            <w:tcBorders/>
            <w:shd w:fill="CCEEFF" w:val="clear"/>
            <w:vAlign w:val="center"/>
          </w:tcPr>
          <w:p>
            <w:pPr>
              <w:pStyle w:val="TableContents"/>
              <w:bidi w:val="0"/>
              <w:spacing w:before="0" w:after="283"/>
              <w:jc w:val="left"/>
              <w:rPr/>
            </w:pPr>
            <w:r>
              <w:rPr/>
              <w:t> </w:t>
            </w:r>
            <w:bookmarkStart w:id="50" w:name="xdx_40A_eus-gaap--ShortTermBorrowings_i0"/>
            <w:bookmarkEnd w:id="50"/>
          </w:p>
        </w:tc>
      </w:tr>
      <w:tr>
        <w:trPr/>
        <w:tc>
          <w:tcPr>
            <w:tcW w:w="7707" w:type="dxa"/>
            <w:tcBorders/>
            <w:shd w:fill="FFFFFF" w:val="clear"/>
            <w:vAlign w:val="center"/>
          </w:tcPr>
          <w:p>
            <w:pPr>
              <w:pStyle w:val="TableContents"/>
              <w:bidi w:val="0"/>
              <w:spacing w:before="0" w:after="283"/>
              <w:jc w:val="left"/>
              <w:rPr/>
            </w:pPr>
            <w:r>
              <w:rPr/>
              <w:t>Current portion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51" w:name="xdx_409_eus-gaap--OperatingLeaseLiabilit"/>
            <w:bookmarkEnd w:id="51"/>
          </w:p>
        </w:tc>
      </w:tr>
      <w:tr>
        <w:trPr/>
        <w:tc>
          <w:tcPr>
            <w:tcW w:w="7707"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112" w:type="dxa"/>
            <w:tcBorders/>
            <w:shd w:fill="CCEEFF" w:val="clear"/>
            <w:vAlign w:val="center"/>
          </w:tcPr>
          <w:p>
            <w:pPr>
              <w:pStyle w:val="TableContents"/>
              <w:bidi w:val="0"/>
              <w:spacing w:before="0" w:after="283"/>
              <w:jc w:val="left"/>
              <w:rPr/>
            </w:pPr>
            <w:r>
              <w:rPr/>
              <w:t> </w:t>
            </w:r>
            <w:bookmarkStart w:id="52" w:name="xdx_409_eus-gaap--LiabilitiesCurrent_i02"/>
            <w:bookmarkEnd w:id="52"/>
          </w:p>
        </w:tc>
      </w:tr>
      <w:tr>
        <w:trPr/>
        <w:tc>
          <w:tcPr>
            <w:tcW w:w="7707"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11,348</w:t>
            </w:r>
          </w:p>
        </w:tc>
        <w:tc>
          <w:tcPr>
            <w:tcW w:w="112" w:type="dxa"/>
            <w:tcBorders/>
            <w:shd w:fill="FFFFFF" w:val="clear"/>
            <w:vAlign w:val="center"/>
          </w:tcPr>
          <w:p>
            <w:pPr>
              <w:pStyle w:val="TableContents"/>
              <w:bidi w:val="0"/>
              <w:spacing w:before="0" w:after="283"/>
              <w:jc w:val="left"/>
              <w:rPr/>
            </w:pPr>
            <w:r>
              <w:rPr/>
              <w:t> </w:t>
            </w:r>
            <w:bookmarkStart w:id="53" w:name="xdx_406_eus-gaap--LiabilitiesNoncurrentA"/>
            <w:bookmarkEnd w:id="53"/>
          </w:p>
        </w:tc>
      </w:tr>
      <w:tr>
        <w:trPr/>
        <w:tc>
          <w:tcPr>
            <w:tcW w:w="7707"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4" w:name="xdx_40D_eus-gaap--OperatingLeaseLiabilit"/>
            <w:bookmarkEnd w:id="54"/>
          </w:p>
        </w:tc>
      </w:tr>
      <w:tr>
        <w:trPr/>
        <w:tc>
          <w:tcPr>
            <w:tcW w:w="7707"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2,421</w:t>
            </w:r>
          </w:p>
        </w:tc>
        <w:tc>
          <w:tcPr>
            <w:tcW w:w="112" w:type="dxa"/>
            <w:tcBorders/>
            <w:shd w:fill="FFFFFF" w:val="clear"/>
            <w:vAlign w:val="center"/>
          </w:tcPr>
          <w:p>
            <w:pPr>
              <w:pStyle w:val="TableContents"/>
              <w:bidi w:val="0"/>
              <w:spacing w:before="0" w:after="283"/>
              <w:jc w:val="left"/>
              <w:rPr/>
            </w:pPr>
            <w:r>
              <w:rPr/>
              <w:t> </w:t>
            </w:r>
            <w:bookmarkStart w:id="55" w:name="xdx_400_eus-gaap--LongTermDebtNoncurrent"/>
            <w:bookmarkEnd w:id="55"/>
          </w:p>
        </w:tc>
      </w:tr>
      <w:tr>
        <w:trPr/>
        <w:tc>
          <w:tcPr>
            <w:tcW w:w="7707"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6,607</w:t>
            </w:r>
          </w:p>
        </w:tc>
        <w:tc>
          <w:tcPr>
            <w:tcW w:w="112" w:type="dxa"/>
            <w:tcBorders/>
            <w:shd w:fill="CCEEFF" w:val="clear"/>
            <w:vAlign w:val="center"/>
          </w:tcPr>
          <w:p>
            <w:pPr>
              <w:pStyle w:val="TableContents"/>
              <w:bidi w:val="0"/>
              <w:spacing w:before="0" w:after="283"/>
              <w:jc w:val="left"/>
              <w:rPr/>
            </w:pPr>
            <w:r>
              <w:rPr/>
              <w:t> </w:t>
            </w:r>
            <w:bookmarkStart w:id="56" w:name="xdx_401_eus-gaap--Liabilities_i01TI_mtCz"/>
            <w:bookmarkEnd w:id="56"/>
          </w:p>
        </w:tc>
      </w:tr>
      <w:tr>
        <w:trPr/>
        <w:tc>
          <w:tcPr>
            <w:tcW w:w="770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19,854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20,376</w:t>
            </w:r>
          </w:p>
        </w:tc>
        <w:tc>
          <w:tcPr>
            <w:tcW w:w="112" w:type="dxa"/>
            <w:tcBorders/>
            <w:shd w:fill="FFFFFF" w:val="clear"/>
            <w:vAlign w:val="center"/>
          </w:tcPr>
          <w:p>
            <w:pPr>
              <w:pStyle w:val="TableContents"/>
              <w:bidi w:val="0"/>
              <w:spacing w:before="0" w:after="283"/>
              <w:jc w:val="left"/>
              <w:rPr/>
            </w:pPr>
            <w:r>
              <w:rPr/>
              <w:t> </w:t>
            </w:r>
            <w:bookmarkStart w:id="57" w:name="xdx_400_eus-gaap--CommitmentsAndContinge"/>
            <w:bookmarkEnd w:id="57"/>
          </w:p>
        </w:tc>
      </w:tr>
      <w:tr>
        <w:trPr/>
        <w:tc>
          <w:tcPr>
            <w:tcW w:w="7707" w:type="dxa"/>
            <w:tcBorders/>
            <w:shd w:fill="CCEEFF" w:val="clear"/>
            <w:vAlign w:val="center"/>
          </w:tcPr>
          <w:p>
            <w:pPr>
              <w:pStyle w:val="TableContents"/>
              <w:bidi w:val="0"/>
              <w:spacing w:before="0" w:after="283"/>
              <w:jc w:val="left"/>
              <w:rPr/>
            </w:pPr>
            <w:r>
              <w:rPr/>
              <w:t>Commitments and contingencies (see Note 15)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8" w:name="xdx_40C_eus-gaap--CommonStockValue_i02I_"/>
            <w:bookmarkEnd w:id="58"/>
          </w:p>
        </w:tc>
      </w:tr>
      <w:tr>
        <w:trPr/>
        <w:tc>
          <w:tcPr>
            <w:tcW w:w="7707" w:type="dxa"/>
            <w:tcBorders/>
            <w:shd w:fill="CCEEFF" w:val="clear"/>
            <w:vAlign w:val="center"/>
          </w:tcPr>
          <w:p>
            <w:pPr>
              <w:pStyle w:val="TableContents"/>
              <w:bidi w:val="0"/>
              <w:spacing w:before="0" w:after="283"/>
              <w:jc w:val="left"/>
              <w:rPr/>
            </w:pPr>
            <w:r>
              <w:rPr/>
              <w:t>Common Stock, par value $</w:t>
            </w:r>
            <w:bookmarkStart w:id="59" w:name="xdx_902_eus-gaap--CommonStockParOrStated"/>
            <w:bookmarkStart w:id="60" w:name="xdx_902_eus-gaap--CommonStockParOrStated"/>
            <w:bookmarkEnd w:id="59"/>
            <w:bookmarkEnd w:id="60"/>
            <w:r>
              <w:rPr/>
              <w:t xml:space="preserve">0.001 per share; </w:t>
            </w:r>
            <w:bookmarkStart w:id="61" w:name="xdx_90E_eus-gaap--CommonStockSharesAutho"/>
            <w:bookmarkStart w:id="62" w:name="xdx_908_eus-gaap--CommonStockSharesAutho"/>
            <w:bookmarkEnd w:id="61"/>
            <w:bookmarkEnd w:id="62"/>
            <w:r>
              <w:rPr/>
              <w:t xml:space="preserve">500,000,000 shares authorized as of June 30, 2026 and December 31, 2025; </w:t>
            </w:r>
            <w:bookmarkStart w:id="63" w:name="xdx_902_eus-gaap--CommonStockSharesOutst"/>
            <w:bookmarkStart w:id="64" w:name="xdx_903_eus-gaap--CommonStockSharesIssue"/>
            <w:bookmarkEnd w:id="63"/>
            <w:bookmarkEnd w:id="64"/>
            <w:r>
              <w:rPr/>
              <w:t xml:space="preserve">9,001,540 shares issued and outstanding at June 30, 2026, and </w:t>
            </w:r>
            <w:bookmarkStart w:id="65" w:name="xdx_907_eus-gaap--CommonStockSharesOutst"/>
            <w:bookmarkStart w:id="66" w:name="xdx_904_eus-gaap--CommonStockSharesIssue"/>
            <w:bookmarkEnd w:id="65"/>
            <w:bookmarkEnd w:id="66"/>
            <w:r>
              <w:rPr/>
              <w:t>8,004,416 shares issued and outstanding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8</w:t>
            </w:r>
          </w:p>
        </w:tc>
        <w:tc>
          <w:tcPr>
            <w:tcW w:w="112" w:type="dxa"/>
            <w:tcBorders/>
            <w:shd w:fill="CCEEFF" w:val="clear"/>
            <w:vAlign w:val="center"/>
          </w:tcPr>
          <w:p>
            <w:pPr>
              <w:pStyle w:val="TableContents"/>
              <w:bidi w:val="0"/>
              <w:spacing w:before="0" w:after="283"/>
              <w:jc w:val="left"/>
              <w:rPr/>
            </w:pPr>
            <w:r>
              <w:rPr/>
              <w:t> </w:t>
            </w:r>
            <w:bookmarkStart w:id="67" w:name="xdx_40D_eus-gaap--AdditionalPaidInCapita"/>
            <w:bookmarkEnd w:id="67"/>
          </w:p>
        </w:tc>
      </w:tr>
      <w:tr>
        <w:trPr/>
        <w:tc>
          <w:tcPr>
            <w:tcW w:w="770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196,565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189,240</w:t>
            </w:r>
          </w:p>
        </w:tc>
        <w:tc>
          <w:tcPr>
            <w:tcW w:w="112" w:type="dxa"/>
            <w:tcBorders/>
            <w:shd w:fill="FFFFFF" w:val="clear"/>
            <w:vAlign w:val="center"/>
          </w:tcPr>
          <w:p>
            <w:pPr>
              <w:pStyle w:val="TableContents"/>
              <w:bidi w:val="0"/>
              <w:spacing w:before="0" w:after="283"/>
              <w:jc w:val="left"/>
              <w:rPr/>
            </w:pPr>
            <w:r>
              <w:rPr/>
              <w:t> </w:t>
            </w:r>
            <w:bookmarkStart w:id="68" w:name="xdx_408_eus-gaap--RetainedEarningsAccumu"/>
            <w:bookmarkEnd w:id="68"/>
          </w:p>
        </w:tc>
      </w:tr>
      <w:tr>
        <w:trPr/>
        <w:tc>
          <w:tcPr>
            <w:tcW w:w="770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right"/>
              <w:rPr/>
            </w:pPr>
            <w:r>
              <w:rPr/>
              <w:t>(199,386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(191,056</w:t>
            </w:r>
          </w:p>
        </w:tc>
        <w:tc>
          <w:tcPr>
            <w:tcW w:w="112" w:type="dxa"/>
            <w:tcBorders/>
            <w:shd w:fill="CCEEFF" w:val="clear"/>
            <w:vAlign w:val="center"/>
          </w:tcPr>
          <w:p>
            <w:pPr>
              <w:pStyle w:val="TableContents"/>
              <w:bidi w:val="0"/>
              <w:spacing w:before="0" w:after="283"/>
              <w:jc w:val="left"/>
              <w:rPr/>
            </w:pPr>
            <w:r>
              <w:rPr/>
              <w:t>)</w:t>
            </w:r>
            <w:bookmarkStart w:id="69" w:name="xdx_400_eus-gaap--AccumulatedOtherCompre"/>
            <w:bookmarkEnd w:id="69"/>
          </w:p>
        </w:tc>
      </w:tr>
      <w:tr>
        <w:trPr/>
        <w:tc>
          <w:tcPr>
            <w:tcW w:w="7707"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112" w:type="dxa"/>
            <w:tcBorders/>
            <w:shd w:fill="FFFFFF" w:val="clear"/>
            <w:vAlign w:val="center"/>
          </w:tcPr>
          <w:p>
            <w:pPr>
              <w:pStyle w:val="TableContents"/>
              <w:bidi w:val="0"/>
              <w:spacing w:before="0" w:after="283"/>
              <w:jc w:val="left"/>
              <w:rPr/>
            </w:pPr>
            <w:r>
              <w:rPr/>
              <w:t> </w:t>
            </w:r>
            <w:bookmarkStart w:id="70" w:name="xdx_400_eus-gaap--StockholdersEquity_i01"/>
            <w:bookmarkEnd w:id="70"/>
          </w:p>
        </w:tc>
      </w:tr>
      <w:tr>
        <w:trPr/>
        <w:tc>
          <w:tcPr>
            <w:tcW w:w="7707"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(1,709</w:t>
            </w:r>
          </w:p>
        </w:tc>
        <w:tc>
          <w:tcPr>
            <w:tcW w:w="112" w:type="dxa"/>
            <w:tcBorders/>
            <w:shd w:fill="CCEEFF" w:val="clear"/>
            <w:vAlign w:val="center"/>
          </w:tcPr>
          <w:p>
            <w:pPr>
              <w:pStyle w:val="TableContents"/>
              <w:bidi w:val="0"/>
              <w:spacing w:before="0" w:after="283"/>
              <w:jc w:val="left"/>
              <w:rPr/>
            </w:pPr>
            <w:r>
              <w:rPr/>
              <w:t>)</w:t>
            </w:r>
            <w:bookmarkStart w:id="71" w:name="xdx_40B_eus-gaap--LiabilitiesAndStockhol"/>
            <w:bookmarkEnd w:id="71"/>
          </w:p>
        </w:tc>
      </w:tr>
      <w:tr>
        <w:trPr/>
        <w:tc>
          <w:tcPr>
            <w:tcW w:w="7707"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17,064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pPr>
            <w:r>
              <w:rPr/>
              <w:t>18,667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2" w:name="a_003"/>
      <w:bookmarkEnd w:id="72"/>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 w:name="xdx_30A_113_pn3n3_zT6RK1tuIHOi"/>
      <w:bookmarkStart w:id="74" w:name="xdx_30A_113_pn3n3_zT6RK1tuIHOi"/>
      <w:bookmarkEnd w:id="74"/>
    </w:p>
    <w:tbl>
      <w:tblPr>
        <w:tblW w:w="10205" w:type="dxa"/>
        <w:jc w:val="left"/>
        <w:tblInd w:w="0" w:type="dxa"/>
        <w:tblLayout w:type="fixed"/>
        <w:tblCellMar>
          <w:top w:w="0" w:type="dxa"/>
          <w:left w:w="0" w:type="dxa"/>
          <w:bottom w:w="0" w:type="dxa"/>
          <w:right w:w="0" w:type="dxa"/>
        </w:tblCellMar>
      </w:tblPr>
      <w:tblGrid>
        <w:gridCol w:w="6305"/>
        <w:gridCol w:w="60"/>
        <w:gridCol w:w="142"/>
        <w:gridCol w:w="691"/>
        <w:gridCol w:w="96"/>
        <w:gridCol w:w="60"/>
        <w:gridCol w:w="142"/>
        <w:gridCol w:w="645"/>
        <w:gridCol w:w="95"/>
        <w:gridCol w:w="60"/>
        <w:gridCol w:w="140"/>
        <w:gridCol w:w="680"/>
        <w:gridCol w:w="95"/>
        <w:gridCol w:w="60"/>
        <w:gridCol w:w="140"/>
        <w:gridCol w:w="680"/>
        <w:gridCol w:w="114"/>
      </w:tblGrid>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5" w:name="xdx_494_20260401__20260630_zUqWEsvg27Ua"/>
            <w:bookmarkEnd w:id="75"/>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B_20250401__20250630_zyYKlqlMnGLd"/>
            <w:bookmarkEnd w:id="76"/>
          </w:p>
        </w:tc>
        <w:tc>
          <w:tcPr>
            <w:tcW w:w="7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95_20260101__20260630_z1LxmAhHI0jc"/>
            <w:bookmarkEnd w:id="77"/>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 w:name="xdx_496_20250101__20250630_z6UMtxsptkx6"/>
            <w:bookmarkEnd w:id="78"/>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7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4"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bookmarkStart w:id="79" w:name="xdx_406_eus-gaap--RevenueFromContractWit"/>
            <w:bookmarkEnd w:id="79"/>
          </w:p>
        </w:tc>
      </w:tr>
      <w:tr>
        <w:trPr/>
        <w:tc>
          <w:tcPr>
            <w:tcW w:w="630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9,450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14,100</w:t>
            </w:r>
          </w:p>
        </w:tc>
        <w:tc>
          <w:tcPr>
            <w:tcW w:w="114" w:type="dxa"/>
            <w:tcBorders/>
            <w:shd w:fill="CCEEFF" w:val="clear"/>
            <w:vAlign w:val="center"/>
          </w:tcPr>
          <w:p>
            <w:pPr>
              <w:pStyle w:val="TableContents"/>
              <w:bidi w:val="0"/>
              <w:spacing w:before="0" w:after="283"/>
              <w:jc w:val="left"/>
              <w:rPr/>
            </w:pPr>
            <w:r>
              <w:rPr/>
              <w:t> </w:t>
            </w:r>
            <w:bookmarkStart w:id="80" w:name="xdx_406_eus-gaap--CostOfGoodsAndServices"/>
            <w:bookmarkEnd w:id="80"/>
          </w:p>
        </w:tc>
      </w:tr>
      <w:tr>
        <w:trPr/>
        <w:tc>
          <w:tcPr>
            <w:tcW w:w="63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1,273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1,952</w:t>
            </w:r>
          </w:p>
        </w:tc>
        <w:tc>
          <w:tcPr>
            <w:tcW w:w="114" w:type="dxa"/>
            <w:tcBorders/>
            <w:shd w:fill="FFFFFF" w:val="clear"/>
            <w:vAlign w:val="center"/>
          </w:tcPr>
          <w:p>
            <w:pPr>
              <w:pStyle w:val="TableContents"/>
              <w:bidi w:val="0"/>
              <w:spacing w:before="0" w:after="283"/>
              <w:jc w:val="left"/>
              <w:rPr/>
            </w:pPr>
            <w:r>
              <w:rPr/>
              <w:t> </w:t>
            </w:r>
            <w:bookmarkStart w:id="81" w:name="xdx_404_eus-gaap--GrossProfit_iT_mtCzd03"/>
            <w:bookmarkEnd w:id="81"/>
          </w:p>
        </w:tc>
      </w:tr>
      <w:tr>
        <w:trPr/>
        <w:tc>
          <w:tcPr>
            <w:tcW w:w="63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8,177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6,442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12,148</w:t>
            </w:r>
          </w:p>
        </w:tc>
        <w:tc>
          <w:tcPr>
            <w:tcW w:w="114" w:type="dxa"/>
            <w:tcBorders/>
            <w:shd w:fill="CCEEFF" w:val="clear"/>
            <w:vAlign w:val="center"/>
          </w:tcPr>
          <w:p>
            <w:pPr>
              <w:pStyle w:val="TableContents"/>
              <w:bidi w:val="0"/>
              <w:spacing w:before="0" w:after="283"/>
              <w:jc w:val="left"/>
              <w:rPr/>
            </w:pPr>
            <w:r>
              <w:rPr/>
              <w:t> </w:t>
            </w:r>
            <w:bookmarkStart w:id="82" w:name="xdx_40C_eus-gaap--OperatingExpensesAbstr"/>
            <w:bookmarkEnd w:id="82"/>
          </w:p>
        </w:tc>
      </w:tr>
      <w:tr>
        <w:trPr/>
        <w:tc>
          <w:tcPr>
            <w:tcW w:w="63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3" w:name="xdx_407_eus-gaap--ResearchAndDevelopment"/>
            <w:bookmarkEnd w:id="83"/>
          </w:p>
        </w:tc>
      </w:tr>
      <w:tr>
        <w:trPr/>
        <w:tc>
          <w:tcPr>
            <w:tcW w:w="630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818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1,153</w:t>
            </w:r>
          </w:p>
        </w:tc>
        <w:tc>
          <w:tcPr>
            <w:tcW w:w="114" w:type="dxa"/>
            <w:tcBorders/>
            <w:shd w:fill="CCEEFF" w:val="clear"/>
            <w:vAlign w:val="center"/>
          </w:tcPr>
          <w:p>
            <w:pPr>
              <w:pStyle w:val="TableContents"/>
              <w:bidi w:val="0"/>
              <w:spacing w:before="0" w:after="283"/>
              <w:jc w:val="left"/>
              <w:rPr/>
            </w:pPr>
            <w:r>
              <w:rPr/>
              <w:t> </w:t>
            </w:r>
            <w:bookmarkStart w:id="84" w:name="xdx_40E_eus-gaap--SellingGeneralAndAdmin"/>
            <w:bookmarkEnd w:id="84"/>
          </w:p>
        </w:tc>
      </w:tr>
      <w:tr>
        <w:trPr/>
        <w:tc>
          <w:tcPr>
            <w:tcW w:w="630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10,131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9,437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23,071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18,323</w:t>
            </w:r>
          </w:p>
        </w:tc>
        <w:tc>
          <w:tcPr>
            <w:tcW w:w="114" w:type="dxa"/>
            <w:tcBorders/>
            <w:shd w:fill="FFFFFF" w:val="clear"/>
            <w:vAlign w:val="center"/>
          </w:tcPr>
          <w:p>
            <w:pPr>
              <w:pStyle w:val="TableContents"/>
              <w:bidi w:val="0"/>
              <w:spacing w:before="0" w:after="283"/>
              <w:jc w:val="left"/>
              <w:rPr/>
            </w:pPr>
            <w:r>
              <w:rPr/>
              <w:t> </w:t>
            </w:r>
            <w:bookmarkStart w:id="85" w:name="xdx_40A_eus-gaap--OperatingExpenses_i01T"/>
            <w:bookmarkEnd w:id="85"/>
          </w:p>
        </w:tc>
      </w:tr>
      <w:tr>
        <w:trPr/>
        <w:tc>
          <w:tcPr>
            <w:tcW w:w="630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10,949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CCEEFF" w:val="clear"/>
            <w:tcMar>
              <w:bottom w:w="28" w:type="dxa"/>
            </w:tcMar>
            <w:vAlign w:val="center"/>
          </w:tcPr>
          <w:p>
            <w:pPr>
              <w:pStyle w:val="TableContents"/>
              <w:bidi w:val="0"/>
              <w:spacing w:before="0" w:after="283"/>
              <w:jc w:val="right"/>
              <w:rPr/>
            </w:pPr>
            <w:r>
              <w:rPr/>
              <w:t>9,948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24,629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19,476</w:t>
            </w:r>
          </w:p>
        </w:tc>
        <w:tc>
          <w:tcPr>
            <w:tcW w:w="114" w:type="dxa"/>
            <w:tcBorders/>
            <w:shd w:fill="CCEEFF" w:val="clear"/>
            <w:vAlign w:val="center"/>
          </w:tcPr>
          <w:p>
            <w:pPr>
              <w:pStyle w:val="TableContents"/>
              <w:bidi w:val="0"/>
              <w:spacing w:before="0" w:after="283"/>
              <w:jc w:val="left"/>
              <w:rPr/>
            </w:pPr>
            <w:r>
              <w:rPr/>
              <w:t> </w:t>
            </w:r>
            <w:bookmarkStart w:id="86" w:name="xdx_407_eus-gaap--OperatingIncomeLoss_i0"/>
            <w:bookmarkEnd w:id="86"/>
          </w:p>
        </w:tc>
      </w:tr>
      <w:tr>
        <w:trPr/>
        <w:tc>
          <w:tcPr>
            <w:tcW w:w="630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(2,772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(3,506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(8,088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(7,328</w:t>
            </w:r>
          </w:p>
        </w:tc>
        <w:tc>
          <w:tcPr>
            <w:tcW w:w="114" w:type="dxa"/>
            <w:tcBorders/>
            <w:shd w:fill="FFFFFF" w:val="clear"/>
            <w:vAlign w:val="center"/>
          </w:tcPr>
          <w:p>
            <w:pPr>
              <w:pStyle w:val="TableContents"/>
              <w:bidi w:val="0"/>
              <w:spacing w:before="0" w:after="283"/>
              <w:jc w:val="left"/>
              <w:rPr/>
            </w:pPr>
            <w:r>
              <w:rPr/>
              <w:t>)</w:t>
            </w:r>
            <w:bookmarkStart w:id="87" w:name="xdx_406_eus-gaap--NonoperatingIncomeExpe"/>
            <w:bookmarkEnd w:id="87"/>
          </w:p>
        </w:tc>
      </w:tr>
      <w:tr>
        <w:trPr/>
        <w:tc>
          <w:tcPr>
            <w:tcW w:w="630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8" w:name="xdx_404_eus-gaap--InterestAndOtherIncome"/>
            <w:bookmarkEnd w:id="88"/>
          </w:p>
        </w:tc>
      </w:tr>
      <w:tr>
        <w:trPr/>
        <w:tc>
          <w:tcPr>
            <w:tcW w:w="6305" w:type="dxa"/>
            <w:tcBorders/>
            <w:shd w:fill="FFFFFF" w:val="clear"/>
            <w:vAlign w:val="center"/>
          </w:tcPr>
          <w:p>
            <w:pPr>
              <w:pStyle w:val="TableContents"/>
              <w:bidi w:val="0"/>
              <w:spacing w:before="0" w:after="283"/>
              <w:jc w:val="left"/>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(40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(151</w:t>
            </w:r>
          </w:p>
        </w:tc>
        <w:tc>
          <w:tcPr>
            <w:tcW w:w="114" w:type="dxa"/>
            <w:tcBorders/>
            <w:shd w:fill="FFFFFF" w:val="clear"/>
            <w:vAlign w:val="center"/>
          </w:tcPr>
          <w:p>
            <w:pPr>
              <w:pStyle w:val="TableContents"/>
              <w:bidi w:val="0"/>
              <w:spacing w:before="0" w:after="283"/>
              <w:jc w:val="left"/>
              <w:rPr/>
            </w:pPr>
            <w:r>
              <w:rPr/>
              <w:t>)</w:t>
            </w:r>
            <w:bookmarkStart w:id="89" w:name="xdx_406_eus-gaap--InterestExpenseNonoper"/>
            <w:bookmarkEnd w:id="89"/>
          </w:p>
        </w:tc>
      </w:tr>
      <w:tr>
        <w:trPr/>
        <w:tc>
          <w:tcPr>
            <w:tcW w:w="630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321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114" w:type="dxa"/>
            <w:tcBorders/>
            <w:shd w:fill="CCEEFF" w:val="clear"/>
            <w:vAlign w:val="center"/>
          </w:tcPr>
          <w:p>
            <w:pPr>
              <w:pStyle w:val="TableContents"/>
              <w:bidi w:val="0"/>
              <w:spacing w:before="0" w:after="283"/>
              <w:jc w:val="left"/>
              <w:rPr/>
            </w:pPr>
            <w:r>
              <w:rPr/>
              <w:t> </w:t>
            </w:r>
            <w:bookmarkStart w:id="90" w:name="xdx_409_eus-gaap--OtherNonoperatingExpen"/>
            <w:bookmarkEnd w:id="90"/>
          </w:p>
        </w:tc>
      </w:tr>
      <w:tr>
        <w:trPr/>
        <w:tc>
          <w:tcPr>
            <w:tcW w:w="6305"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387</w:t>
            </w:r>
          </w:p>
        </w:tc>
        <w:tc>
          <w:tcPr>
            <w:tcW w:w="114" w:type="dxa"/>
            <w:tcBorders/>
            <w:shd w:fill="FFFFFF" w:val="clear"/>
            <w:vAlign w:val="center"/>
          </w:tcPr>
          <w:p>
            <w:pPr>
              <w:pStyle w:val="TableContents"/>
              <w:bidi w:val="0"/>
              <w:spacing w:before="0" w:after="283"/>
              <w:jc w:val="left"/>
              <w:rPr/>
            </w:pPr>
            <w:r>
              <w:rPr/>
              <w:t> </w:t>
            </w:r>
            <w:bookmarkStart w:id="91" w:name="xdx_406_eus-gaap--OtherNonoperatingIncom"/>
            <w:bookmarkEnd w:id="91"/>
          </w:p>
        </w:tc>
      </w:tr>
      <w:tr>
        <w:trPr/>
        <w:tc>
          <w:tcPr>
            <w:tcW w:w="6305" w:type="dxa"/>
            <w:tcBorders/>
            <w:shd w:fill="CCEEFF" w:val="clear"/>
            <w:vAlign w:val="center"/>
          </w:tcPr>
          <w:p>
            <w:pPr>
              <w:pStyle w:val="TableContents"/>
              <w:bidi w:val="0"/>
              <w:spacing w:before="0" w:after="283"/>
              <w:jc w:val="left"/>
              <w:rPr/>
            </w:pPr>
            <w:r>
              <w:rPr/>
              <w:t xml:space="preserve">Total other expense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287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CCEEFF" w:val="clear"/>
            <w:tcMar>
              <w:bottom w:w="28" w:type="dxa"/>
            </w:tcM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246</w:t>
            </w:r>
          </w:p>
        </w:tc>
        <w:tc>
          <w:tcPr>
            <w:tcW w:w="114" w:type="dxa"/>
            <w:tcBorders/>
            <w:shd w:fill="CCEEFF" w:val="clear"/>
            <w:vAlign w:val="center"/>
          </w:tcPr>
          <w:p>
            <w:pPr>
              <w:pStyle w:val="TableContents"/>
              <w:bidi w:val="0"/>
              <w:spacing w:before="0" w:after="283"/>
              <w:jc w:val="left"/>
              <w:rPr/>
            </w:pPr>
            <w:r>
              <w:rPr/>
              <w:t> </w:t>
            </w:r>
            <w:bookmarkStart w:id="92" w:name="xdx_400_eus-gaap--IncomeLossFromContinui"/>
            <w:bookmarkEnd w:id="92"/>
          </w:p>
        </w:tc>
      </w:tr>
      <w:tr>
        <w:trPr/>
        <w:tc>
          <w:tcPr>
            <w:tcW w:w="630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(3,059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(3,671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(8,651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(7,574</w:t>
            </w:r>
          </w:p>
        </w:tc>
        <w:tc>
          <w:tcPr>
            <w:tcW w:w="114" w:type="dxa"/>
            <w:tcBorders/>
            <w:shd w:fill="FFFFFF" w:val="clear"/>
            <w:vAlign w:val="center"/>
          </w:tcPr>
          <w:p>
            <w:pPr>
              <w:pStyle w:val="TableContents"/>
              <w:bidi w:val="0"/>
              <w:spacing w:before="0" w:after="283"/>
              <w:jc w:val="left"/>
              <w:rPr/>
            </w:pPr>
            <w:r>
              <w:rPr/>
              <w:t>)</w:t>
            </w:r>
            <w:bookmarkStart w:id="93" w:name="xdx_40F_eus-gaap--IncomeTaxExpenseBenefi"/>
            <w:bookmarkEnd w:id="93"/>
          </w:p>
        </w:tc>
      </w:tr>
      <w:tr>
        <w:trPr/>
        <w:tc>
          <w:tcPr>
            <w:tcW w:w="6305"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114" w:type="dxa"/>
            <w:tcBorders/>
            <w:shd w:fill="CCEEFF" w:val="clear"/>
            <w:vAlign w:val="center"/>
          </w:tcPr>
          <w:p>
            <w:pPr>
              <w:pStyle w:val="TableContents"/>
              <w:bidi w:val="0"/>
              <w:spacing w:before="0" w:after="283"/>
              <w:jc w:val="left"/>
              <w:rPr/>
            </w:pPr>
            <w:r>
              <w:rPr/>
              <w:t> </w:t>
            </w:r>
            <w:bookmarkStart w:id="94" w:name="xdx_403_eus-gaap--NetIncomeLoss_iT_mtCzv"/>
            <w:bookmarkEnd w:id="94"/>
          </w:p>
        </w:tc>
      </w:tr>
      <w:tr>
        <w:trPr/>
        <w:tc>
          <w:tcPr>
            <w:tcW w:w="63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jc w:val="right"/>
              <w:rPr/>
            </w:pPr>
            <w:r>
              <w:rPr/>
              <w:t>(3,059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FFFFFF" w:val="clear"/>
            <w:tcMar>
              <w:bottom w:w="28" w:type="dxa"/>
            </w:tcMar>
            <w:vAlign w:val="center"/>
          </w:tcPr>
          <w:p>
            <w:pPr>
              <w:pStyle w:val="TableContents"/>
              <w:bidi w:val="0"/>
              <w:spacing w:before="0" w:after="283"/>
              <w:jc w:val="right"/>
              <w:rPr/>
            </w:pPr>
            <w:r>
              <w:rPr/>
              <w:t>(3,671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(8,330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(7,526</w:t>
            </w:r>
          </w:p>
        </w:tc>
        <w:tc>
          <w:tcPr>
            <w:tcW w:w="114" w:type="dxa"/>
            <w:tcBorders/>
            <w:shd w:fill="FFFFFF" w:val="clear"/>
            <w:vAlign w:val="center"/>
          </w:tcPr>
          <w:p>
            <w:pPr>
              <w:pStyle w:val="TableContents"/>
              <w:bidi w:val="0"/>
              <w:spacing w:before="0" w:after="283"/>
              <w:jc w:val="left"/>
              <w:rPr/>
            </w:pPr>
            <w:r>
              <w:rPr/>
              <w:t>)</w:t>
            </w:r>
          </w:p>
        </w:tc>
      </w:tr>
      <w:tr>
        <w:trPr/>
        <w:tc>
          <w:tcPr>
            <w:tcW w:w="6305" w:type="dxa"/>
            <w:tcBorders/>
            <w:shd w:fill="CCEEFF" w:val="clear"/>
            <w:vAlign w:val="center"/>
          </w:tcPr>
          <w:p>
            <w:pPr>
              <w:pStyle w:val="TableContents"/>
              <w:bidi w:val="0"/>
              <w:spacing w:before="0" w:after="283"/>
              <w:jc w:val="left"/>
              <w:rPr/>
            </w:pPr>
            <w:r>
              <w:rPr/>
              <w:t>Net loss per share of common stock – Basic and Diluted</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bookmarkStart w:id="95" w:name="xdx_905_eus-gaap--EarningsPerShareDilute"/>
            <w:bookmarkStart w:id="96" w:name="xdx_905_eus-gaap--EarningsPerShareBasic_"/>
            <w:bookmarkEnd w:id="95"/>
            <w:bookmarkEnd w:id="96"/>
            <w:r>
              <w:rPr/>
              <w:t>(0.33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bookmarkStart w:id="97" w:name="xdx_90D_eus-gaap--EarningsPerShareDilute"/>
            <w:bookmarkStart w:id="98" w:name="xdx_901_eus-gaap--EarningsPerShareBasic_"/>
            <w:bookmarkEnd w:id="97"/>
            <w:bookmarkEnd w:id="98"/>
            <w:r>
              <w:rPr/>
              <w:t>(0.44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99" w:name="xdx_900_eus-gaap--EarningsPerShareDilute"/>
            <w:bookmarkStart w:id="100" w:name="xdx_906_eus-gaap--EarningsPerShareBasic_"/>
            <w:bookmarkEnd w:id="99"/>
            <w:bookmarkEnd w:id="100"/>
            <w:r>
              <w:rPr/>
              <w:t>(0.91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bookmarkStart w:id="101" w:name="xdx_90F_eus-gaap--EarningsPerShareDilute"/>
            <w:bookmarkStart w:id="102" w:name="xdx_903_eus-gaap--EarningsPerShareBasic_"/>
            <w:bookmarkEnd w:id="101"/>
            <w:bookmarkEnd w:id="102"/>
            <w:r>
              <w:rPr/>
              <w:t>(0.91</w:t>
            </w:r>
          </w:p>
        </w:tc>
        <w:tc>
          <w:tcPr>
            <w:tcW w:w="114" w:type="dxa"/>
            <w:tcBorders/>
            <w:shd w:fill="CCEEFF" w:val="clear"/>
            <w:vAlign w:val="center"/>
          </w:tcPr>
          <w:p>
            <w:pPr>
              <w:pStyle w:val="TableContents"/>
              <w:bidi w:val="0"/>
              <w:spacing w:before="0" w:after="283"/>
              <w:jc w:val="left"/>
              <w:rPr/>
            </w:pPr>
            <w:r>
              <w:rPr/>
              <w:t>)</w:t>
            </w:r>
          </w:p>
        </w:tc>
      </w:tr>
      <w:tr>
        <w:trPr/>
        <w:tc>
          <w:tcPr>
            <w:tcW w:w="6305" w:type="dxa"/>
            <w:tcBorders/>
            <w:shd w:fill="FFFFFF" w:val="clear"/>
            <w:vAlign w:val="center"/>
          </w:tcPr>
          <w:p>
            <w:pPr>
              <w:pStyle w:val="TableContents"/>
              <w:bidi w:val="0"/>
              <w:spacing w:before="0" w:after="283"/>
              <w:jc w:val="left"/>
              <w:rPr/>
            </w:pPr>
            <w:r>
              <w:rPr/>
              <w:t>Weighted average common shares outstanding – Basic and Diluted (see Note 11)</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bookmarkStart w:id="103" w:name="xdx_904_eus-gaap--WeightedAverageNumberO"/>
            <w:bookmarkStart w:id="104" w:name="xdx_90F_eus-gaap--WeightedAverageNumberO"/>
            <w:bookmarkEnd w:id="103"/>
            <w:bookmarkEnd w:id="104"/>
            <w:r>
              <w:rPr/>
              <w:t>9,404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bookmarkStart w:id="105" w:name="xdx_908_eus-gaap--WeightedAverageNumberO"/>
            <w:bookmarkStart w:id="106" w:name="xdx_90C_eus-gaap--WeightedAverageNumberO"/>
            <w:bookmarkEnd w:id="105"/>
            <w:bookmarkEnd w:id="106"/>
            <w:r>
              <w:rPr/>
              <w:t>8,316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107" w:name="xdx_90B_eus-gaap--WeightedAverageNumberO"/>
            <w:bookmarkStart w:id="108" w:name="xdx_901_eus-gaap--WeightedAverageNumberO"/>
            <w:bookmarkEnd w:id="107"/>
            <w:bookmarkEnd w:id="108"/>
            <w:r>
              <w:rPr/>
              <w:t>9,180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109" w:name="xdx_904_eus-gaap--WeightedAverageNumberO"/>
            <w:bookmarkStart w:id="110" w:name="xdx_90A_eus-gaap--WeightedAverageNumberO"/>
            <w:bookmarkEnd w:id="109"/>
            <w:bookmarkEnd w:id="110"/>
            <w:r>
              <w:rPr/>
              <w:t>8,302</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111" w:name="a_004"/>
      <w:bookmarkEnd w:id="111"/>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2" w:name="xdx_30A_113_pn3n3_zO5zK2el2Edg"/>
      <w:bookmarkStart w:id="113" w:name="xdx_30A_113_pn3n3_zO5zK2el2Edg"/>
      <w:bookmarkEnd w:id="113"/>
    </w:p>
    <w:tbl>
      <w:tblPr>
        <w:tblW w:w="8210" w:type="dxa"/>
        <w:jc w:val="left"/>
        <w:tblInd w:w="0" w:type="dxa"/>
        <w:tblLayout w:type="fixed"/>
        <w:tblCellMar>
          <w:top w:w="0" w:type="dxa"/>
          <w:left w:w="0" w:type="dxa"/>
          <w:bottom w:w="0" w:type="dxa"/>
          <w:right w:w="0" w:type="dxa"/>
        </w:tblCellMar>
      </w:tblPr>
      <w:tblGrid>
        <w:gridCol w:w="3770"/>
        <w:gridCol w:w="60"/>
        <w:gridCol w:w="181"/>
        <w:gridCol w:w="823"/>
        <w:gridCol w:w="123"/>
        <w:gridCol w:w="77"/>
        <w:gridCol w:w="181"/>
        <w:gridCol w:w="823"/>
        <w:gridCol w:w="95"/>
        <w:gridCol w:w="60"/>
        <w:gridCol w:w="156"/>
        <w:gridCol w:w="711"/>
        <w:gridCol w:w="106"/>
        <w:gridCol w:w="67"/>
        <w:gridCol w:w="156"/>
        <w:gridCol w:w="711"/>
        <w:gridCol w:w="110"/>
      </w:tblGrid>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4" w:name="xdx_49B_20260401__20260630_zU5K4TBbvqfb"/>
            <w:bookmarkEnd w:id="114"/>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115" w:name="xdx_497_20250401__20250630_zPjhsyLNLRe6"/>
            <w:bookmarkEnd w:id="115"/>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92_20260101__20260630_zzlNUcPM0TNf"/>
            <w:bookmarkEnd w:id="116"/>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117" w:name="xdx_49C_20250101__20250630_zlxOKc6xVs7b"/>
            <w:bookmarkEnd w:id="117"/>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18" w:name="xdx_401_eus-gaap--NetIncomeLoss_pn3n3_ma"/>
            <w:bookmarkEnd w:id="118"/>
          </w:p>
        </w:tc>
      </w:tr>
      <w:tr>
        <w:trPr/>
        <w:tc>
          <w:tcPr>
            <w:tcW w:w="37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(3,059</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(3,671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11" w:type="dxa"/>
            <w:tcBorders/>
            <w:shd w:fill="CCEEFF" w:val="clear"/>
            <w:vAlign w:val="center"/>
          </w:tcPr>
          <w:p>
            <w:pPr>
              <w:pStyle w:val="TableContents"/>
              <w:bidi w:val="0"/>
              <w:spacing w:before="0" w:after="283"/>
              <w:jc w:val="right"/>
              <w:rPr/>
            </w:pPr>
            <w:r>
              <w:rPr/>
              <w:t>(8,330</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11" w:type="dxa"/>
            <w:tcBorders/>
            <w:shd w:fill="CCEEFF" w:val="clear"/>
            <w:vAlign w:val="center"/>
          </w:tcPr>
          <w:p>
            <w:pPr>
              <w:pStyle w:val="TableContents"/>
              <w:bidi w:val="0"/>
              <w:spacing w:before="0" w:after="283"/>
              <w:jc w:val="right"/>
              <w:rPr/>
            </w:pPr>
            <w:r>
              <w:rPr/>
              <w:t>(7,526</w:t>
            </w:r>
          </w:p>
        </w:tc>
        <w:tc>
          <w:tcPr>
            <w:tcW w:w="110" w:type="dxa"/>
            <w:tcBorders/>
            <w:shd w:fill="CCEEFF" w:val="clear"/>
            <w:vAlign w:val="center"/>
          </w:tcPr>
          <w:p>
            <w:pPr>
              <w:pStyle w:val="TableContents"/>
              <w:bidi w:val="0"/>
              <w:spacing w:before="0" w:after="283"/>
              <w:jc w:val="left"/>
              <w:rPr/>
            </w:pPr>
            <w:r>
              <w:rPr/>
              <w:t>)</w:t>
            </w:r>
            <w:bookmarkStart w:id="119" w:name="xdx_40B_eus-gaap--OtherComprehensiveInco"/>
            <w:bookmarkEnd w:id="119"/>
          </w:p>
        </w:tc>
      </w:tr>
      <w:tr>
        <w:trPr/>
        <w:tc>
          <w:tcPr>
            <w:tcW w:w="3770"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C_eus-gaap--OtherComprehensiveInco"/>
            <w:bookmarkEnd w:id="120"/>
          </w:p>
        </w:tc>
      </w:tr>
      <w:tr>
        <w:trPr/>
        <w:tc>
          <w:tcPr>
            <w:tcW w:w="377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86</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(77</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110" w:type="dxa"/>
            <w:tcBorders/>
            <w:shd w:fill="CCEEFF" w:val="clear"/>
            <w:vAlign w:val="center"/>
          </w:tcPr>
          <w:p>
            <w:pPr>
              <w:pStyle w:val="TableContents"/>
              <w:bidi w:val="0"/>
              <w:spacing w:before="0" w:after="283"/>
              <w:jc w:val="left"/>
              <w:rPr/>
            </w:pPr>
            <w:r>
              <w:rPr/>
              <w:t>)</w:t>
            </w:r>
            <w:bookmarkStart w:id="121" w:name="xdx_406_eus-gaap--OtherComprehensiveInco"/>
            <w:bookmarkEnd w:id="121"/>
          </w:p>
        </w:tc>
      </w:tr>
      <w:tr>
        <w:trPr/>
        <w:tc>
          <w:tcPr>
            <w:tcW w:w="3770"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86</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(77</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110" w:type="dxa"/>
            <w:tcBorders/>
            <w:shd w:fill="FFFFFF" w:val="clear"/>
            <w:vAlign w:val="center"/>
          </w:tcPr>
          <w:p>
            <w:pPr>
              <w:pStyle w:val="TableContents"/>
              <w:bidi w:val="0"/>
              <w:spacing w:before="0" w:after="283"/>
              <w:jc w:val="left"/>
              <w:rPr/>
            </w:pPr>
            <w:r>
              <w:rPr/>
              <w:t>)</w:t>
            </w:r>
            <w:bookmarkStart w:id="122" w:name="xdx_401_eus-gaap--ComprehensiveIncomeNet"/>
            <w:bookmarkEnd w:id="122"/>
          </w:p>
        </w:tc>
      </w:tr>
      <w:tr>
        <w:trPr/>
        <w:tc>
          <w:tcPr>
            <w:tcW w:w="3770"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(2,973</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(3,760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pPr>
            <w:r>
              <w:rPr/>
              <w:t>(8,407</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pPr>
            <w:r>
              <w:rPr/>
              <w:t>(7,659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3" w:name="a_005"/>
      <w:bookmarkEnd w:id="123"/>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hd w:fill="FFFFFF" w:val="clear"/>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4" w:name="xdx_30E_114_pn3n3_z25PC9TWGwEh"/>
      <w:bookmarkStart w:id="125" w:name="xdx_30E_114_pn3n3_z25PC9TWGwEh"/>
      <w:bookmarkEnd w:id="125"/>
    </w:p>
    <w:tbl>
      <w:tblPr>
        <w:tblW w:w="10205" w:type="dxa"/>
        <w:jc w:val="left"/>
        <w:tblInd w:w="0" w:type="dxa"/>
        <w:tblLayout w:type="fixed"/>
        <w:tblCellMar>
          <w:top w:w="0" w:type="dxa"/>
          <w:left w:w="0" w:type="dxa"/>
          <w:bottom w:w="0" w:type="dxa"/>
          <w:right w:w="0" w:type="dxa"/>
        </w:tblCellMar>
      </w:tblPr>
      <w:tblGrid>
        <w:gridCol w:w="2715"/>
        <w:gridCol w:w="60"/>
        <w:gridCol w:w="68"/>
        <w:gridCol w:w="642"/>
        <w:gridCol w:w="60"/>
        <w:gridCol w:w="60"/>
        <w:gridCol w:w="300"/>
        <w:gridCol w:w="560"/>
        <w:gridCol w:w="60"/>
        <w:gridCol w:w="60"/>
        <w:gridCol w:w="140"/>
        <w:gridCol w:w="800"/>
        <w:gridCol w:w="95"/>
        <w:gridCol w:w="60"/>
        <w:gridCol w:w="188"/>
        <w:gridCol w:w="1182"/>
        <w:gridCol w:w="95"/>
        <w:gridCol w:w="60"/>
        <w:gridCol w:w="303"/>
        <w:gridCol w:w="995"/>
        <w:gridCol w:w="95"/>
        <w:gridCol w:w="60"/>
        <w:gridCol w:w="140"/>
        <w:gridCol w:w="1295"/>
        <w:gridCol w:w="112"/>
      </w:tblGrid>
      <w:tr>
        <w:trPr/>
        <w:tc>
          <w:tcPr>
            <w:tcW w:w="2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6_us-gaap--StatementEquityComponen"/>
            <w:bookmarkEnd w:id="126"/>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C_us-gaap--StatementEquityComponen"/>
            <w:bookmarkEnd w:id="127"/>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1_us-gaap--StatementEquityComponen"/>
            <w:bookmarkEnd w:id="128"/>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5_us-gaap--StatementEquityComponen"/>
            <w:bookmarkEnd w:id="129"/>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B_zcolnkVcW1Kb"/>
            <w:bookmarkEnd w:id="130"/>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12" w:type="dxa"/>
            <w:tcBorders/>
            <w:vAlign w:val="center"/>
          </w:tcPr>
          <w:p>
            <w:pPr>
              <w:pStyle w:val="TableContents"/>
              <w:bidi w:val="0"/>
              <w:spacing w:before="0" w:after="283"/>
              <w:jc w:val="left"/>
              <w:rPr/>
            </w:pPr>
            <w:r>
              <w:rPr/>
              <w:t> </w:t>
            </w:r>
          </w:p>
        </w:tc>
      </w:tr>
      <w:tr>
        <w:trPr/>
        <w:tc>
          <w:tcPr>
            <w:tcW w:w="2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18"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Stockholders’ Equity</w:t>
            </w:r>
          </w:p>
        </w:tc>
        <w:tc>
          <w:tcPr>
            <w:tcW w:w="112" w:type="dxa"/>
            <w:tcBorders/>
            <w:vAlign w:val="center"/>
          </w:tcPr>
          <w:p>
            <w:pPr>
              <w:pStyle w:val="TableContents"/>
              <w:bidi w:val="0"/>
              <w:spacing w:before="0" w:after="283"/>
              <w:jc w:val="left"/>
              <w:rPr/>
            </w:pPr>
            <w:r>
              <w:rPr/>
              <w:t> </w:t>
            </w:r>
          </w:p>
        </w:tc>
      </w:tr>
      <w:tr>
        <w:trPr/>
        <w:tc>
          <w:tcPr>
            <w:tcW w:w="2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2" w:type="dxa"/>
            <w:tcBorders/>
            <w:vAlign w:val="center"/>
          </w:tcPr>
          <w:p>
            <w:pPr>
              <w:pStyle w:val="TableContents"/>
              <w:bidi w:val="0"/>
              <w:spacing w:before="0" w:after="283"/>
              <w:jc w:val="left"/>
              <w:rPr/>
            </w:pPr>
            <w:r>
              <w:rPr/>
              <w:t> </w:t>
            </w:r>
          </w:p>
        </w:tc>
      </w:tr>
      <w:tr>
        <w:trPr/>
        <w:tc>
          <w:tcPr>
            <w:tcW w:w="2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jc w:val="left"/>
              <w:rPr/>
            </w:pPr>
            <w:r>
              <w:rPr/>
              <w:t> </w:t>
            </w:r>
            <w:bookmarkStart w:id="131" w:name="xdx_433_c20250101__20250331_eus-gaap--St"/>
            <w:bookmarkEnd w:id="131"/>
          </w:p>
        </w:tc>
      </w:tr>
      <w:tr>
        <w:trPr/>
        <w:tc>
          <w:tcPr>
            <w:tcW w:w="2715" w:type="dxa"/>
            <w:tcBorders/>
            <w:shd w:fill="CCEEFF" w:val="clear"/>
            <w:vAlign w:val="center"/>
          </w:tcPr>
          <w:p>
            <w:pPr>
              <w:pStyle w:val="TableContents"/>
              <w:bidi w:val="0"/>
              <w:spacing w:before="0" w:after="283"/>
              <w:jc w:val="left"/>
              <w:rPr/>
            </w:pPr>
            <w:r>
              <w:rPr/>
              <w:t>Balances as of January 1, 2025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2" w:name="xdx_98E_eus-gaap--SharesOutstanding_iS_p"/>
            <w:bookmarkEnd w:id="132"/>
          </w:p>
        </w:tc>
        <w:tc>
          <w:tcPr>
            <w:tcW w:w="642" w:type="dxa"/>
            <w:tcBorders/>
            <w:shd w:fill="CCEEFF" w:val="clear"/>
            <w:vAlign w:val="center"/>
          </w:tcPr>
          <w:p>
            <w:pPr>
              <w:pStyle w:val="TableContents"/>
              <w:bidi w:val="0"/>
              <w:spacing w:before="0" w:after="283"/>
              <w:jc w:val="right"/>
              <w:rPr/>
            </w:pPr>
            <w:r>
              <w:rPr/>
              <w:t>6,651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184,513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(177,090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7,544</w:t>
            </w:r>
          </w:p>
        </w:tc>
        <w:tc>
          <w:tcPr>
            <w:tcW w:w="112" w:type="dxa"/>
            <w:tcBorders/>
            <w:shd w:fill="CCEEFF" w:val="clear"/>
            <w:vAlign w:val="center"/>
          </w:tcPr>
          <w:p>
            <w:pPr>
              <w:pStyle w:val="TableContents"/>
              <w:bidi w:val="0"/>
              <w:spacing w:before="0" w:after="283"/>
              <w:jc w:val="left"/>
              <w:rPr/>
            </w:pPr>
            <w:r>
              <w:rPr/>
              <w:t> </w:t>
            </w:r>
            <w:bookmarkStart w:id="133" w:name="xdx_409_eus-gaap--NetIncomeLoss_zNTrsQLp"/>
            <w:bookmarkEnd w:id="133"/>
          </w:p>
        </w:tc>
      </w:tr>
      <w:tr>
        <w:trPr/>
        <w:tc>
          <w:tcPr>
            <w:tcW w:w="27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(3,855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r>
              <w:rPr/>
              <w:t>(3,855</w:t>
            </w:r>
          </w:p>
        </w:tc>
        <w:tc>
          <w:tcPr>
            <w:tcW w:w="112" w:type="dxa"/>
            <w:tcBorders/>
            <w:shd w:fill="FFFFFF" w:val="clear"/>
            <w:vAlign w:val="center"/>
          </w:tcPr>
          <w:p>
            <w:pPr>
              <w:pStyle w:val="TableContents"/>
              <w:bidi w:val="0"/>
              <w:spacing w:before="0" w:after="283"/>
              <w:jc w:val="left"/>
              <w:rPr/>
            </w:pPr>
            <w:r>
              <w:rPr/>
              <w:t>)</w:t>
            </w:r>
            <w:bookmarkStart w:id="134" w:name="xdx_402_eus-gaap--OtherComprehensiveInco"/>
            <w:bookmarkEnd w:id="134"/>
          </w:p>
        </w:tc>
      </w:tr>
      <w:tr>
        <w:trPr/>
        <w:tc>
          <w:tcPr>
            <w:tcW w:w="2715"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(44</w:t>
            </w:r>
          </w:p>
        </w:tc>
        <w:tc>
          <w:tcPr>
            <w:tcW w:w="112" w:type="dxa"/>
            <w:tcBorders/>
            <w:shd w:fill="CCEEFF" w:val="clear"/>
            <w:vAlign w:val="center"/>
          </w:tcPr>
          <w:p>
            <w:pPr>
              <w:pStyle w:val="TableContents"/>
              <w:bidi w:val="0"/>
              <w:spacing w:before="0" w:after="283"/>
              <w:jc w:val="left"/>
              <w:rPr/>
            </w:pPr>
            <w:r>
              <w:rPr/>
              <w:t>)</w:t>
            </w:r>
            <w:bookmarkStart w:id="135" w:name="xdx_403_eus-gaap--StockIssuedDuringPerio"/>
            <w:bookmarkEnd w:id="135"/>
          </w:p>
        </w:tc>
      </w:tr>
      <w:tr>
        <w:trPr/>
        <w:tc>
          <w:tcPr>
            <w:tcW w:w="2715" w:type="dxa"/>
            <w:tcBorders/>
            <w:shd w:fill="FFFFFF" w:val="clear"/>
            <w:vAlign w:val="center"/>
          </w:tcPr>
          <w:p>
            <w:pPr>
              <w:pStyle w:val="TableContents"/>
              <w:bidi w:val="0"/>
              <w:spacing w:before="0" w:after="283"/>
              <w:jc w:val="left"/>
              <w:rPr/>
            </w:pPr>
            <w:r>
              <w:rPr/>
              <w:t>Sale of common stock,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36" w:name="xdx_984_eus-gaap--StockIssuedDuringPerio"/>
            <w:bookmarkEnd w:id="136"/>
          </w:p>
        </w:tc>
        <w:tc>
          <w:tcPr>
            <w:tcW w:w="642"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179</w:t>
            </w:r>
          </w:p>
        </w:tc>
        <w:tc>
          <w:tcPr>
            <w:tcW w:w="112" w:type="dxa"/>
            <w:tcBorders/>
            <w:shd w:fill="FFFFFF" w:val="clear"/>
            <w:vAlign w:val="center"/>
          </w:tcPr>
          <w:p>
            <w:pPr>
              <w:pStyle w:val="TableContents"/>
              <w:bidi w:val="0"/>
              <w:spacing w:before="0" w:after="283"/>
              <w:jc w:val="left"/>
              <w:rPr/>
            </w:pPr>
            <w:r>
              <w:rPr/>
              <w:t> </w:t>
            </w:r>
            <w:bookmarkStart w:id="137" w:name="xdx_404_ecustom--StockIssuedDuringPeriod"/>
            <w:bookmarkEnd w:id="137"/>
          </w:p>
        </w:tc>
      </w:tr>
      <w:tr>
        <w:trPr/>
        <w:tc>
          <w:tcPr>
            <w:tcW w:w="2715" w:type="dxa"/>
            <w:tcBorders/>
            <w:shd w:fill="CCEEFF" w:val="clear"/>
            <w:vAlign w:val="center"/>
          </w:tcPr>
          <w:p>
            <w:pPr>
              <w:pStyle w:val="TableContents"/>
              <w:bidi w:val="0"/>
              <w:spacing w:before="0" w:after="283"/>
              <w:jc w:val="left"/>
              <w:rPr/>
            </w:pPr>
            <w:r>
              <w:rPr/>
              <w:t>Proceeds from the exercise of warrants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8" w:name="xdx_982_ecustom--StockIssuedDuringPeriod"/>
            <w:bookmarkEnd w:id="138"/>
          </w:p>
        </w:tc>
        <w:tc>
          <w:tcPr>
            <w:tcW w:w="642" w:type="dxa"/>
            <w:tcBorders/>
            <w:shd w:fill="CCEEFF" w:val="clear"/>
            <w:vAlign w:val="center"/>
          </w:tcPr>
          <w:p>
            <w:pPr>
              <w:pStyle w:val="TableContents"/>
              <w:bidi w:val="0"/>
              <w:spacing w:before="0" w:after="283"/>
              <w:jc w:val="right"/>
              <w:rPr/>
            </w:pPr>
            <w:r>
              <w:rPr/>
              <w:t>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w:t>
            </w:r>
          </w:p>
        </w:tc>
        <w:tc>
          <w:tcPr>
            <w:tcW w:w="112" w:type="dxa"/>
            <w:tcBorders/>
            <w:shd w:fill="CCEEFF" w:val="clear"/>
            <w:vAlign w:val="center"/>
          </w:tcPr>
          <w:p>
            <w:pPr>
              <w:pStyle w:val="TableContents"/>
              <w:bidi w:val="0"/>
              <w:spacing w:before="0" w:after="283"/>
              <w:jc w:val="left"/>
              <w:rPr/>
            </w:pPr>
            <w:r>
              <w:rPr/>
              <w:t> </w:t>
            </w:r>
            <w:bookmarkStart w:id="139" w:name="xdx_404_eus-gaap--StockIssuedDuringPerio"/>
            <w:bookmarkEnd w:id="139"/>
          </w:p>
        </w:tc>
      </w:tr>
      <w:tr>
        <w:trPr/>
        <w:tc>
          <w:tcPr>
            <w:tcW w:w="2715" w:type="dxa"/>
            <w:tcBorders/>
            <w:shd w:fill="FFFFFF" w:val="clear"/>
            <w:vAlign w:val="center"/>
          </w:tcPr>
          <w:p>
            <w:pPr>
              <w:pStyle w:val="TableContents"/>
              <w:bidi w:val="0"/>
              <w:spacing w:before="0" w:after="283"/>
              <w:jc w:val="left"/>
              <w:rPr/>
            </w:pPr>
            <w:r>
              <w:rPr/>
              <w:t>Shares issued for accrued bonus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40" w:name="xdx_982_eus-gaap--StockIssuedDuringPerio"/>
            <w:bookmarkEnd w:id="140"/>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189</w:t>
            </w:r>
          </w:p>
        </w:tc>
        <w:tc>
          <w:tcPr>
            <w:tcW w:w="112" w:type="dxa"/>
            <w:tcBorders/>
            <w:shd w:fill="FFFFFF" w:val="clear"/>
            <w:vAlign w:val="center"/>
          </w:tcPr>
          <w:p>
            <w:pPr>
              <w:pStyle w:val="TableContents"/>
              <w:bidi w:val="0"/>
              <w:spacing w:before="0" w:after="283"/>
              <w:jc w:val="left"/>
              <w:rPr/>
            </w:pPr>
            <w:r>
              <w:rPr/>
              <w:t> </w:t>
            </w:r>
            <w:bookmarkStart w:id="141" w:name="xdx_40F_eus-gaap--StockIssuedDuringPerio"/>
            <w:bookmarkEnd w:id="141"/>
          </w:p>
        </w:tc>
      </w:tr>
      <w:tr>
        <w:trPr/>
        <w:tc>
          <w:tcPr>
            <w:tcW w:w="2715" w:type="dxa"/>
            <w:tcBorders/>
            <w:shd w:fill="FFFFFF" w:val="clear"/>
            <w:vAlign w:val="center"/>
          </w:tcPr>
          <w:p>
            <w:pPr>
              <w:pStyle w:val="TableContents"/>
              <w:bidi w:val="0"/>
              <w:spacing w:before="0" w:after="283"/>
              <w:jc w:val="left"/>
              <w:rPr/>
            </w:pPr>
            <w:r>
              <w:rPr/>
              <w:t>Issuance of stock related to employee compensation,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42" w:name="xdx_985_eus-gaap--StockIssuedDuringPerio"/>
            <w:bookmarkEnd w:id="142"/>
          </w:p>
        </w:tc>
        <w:tc>
          <w:tcPr>
            <w:tcW w:w="642" w:type="dxa"/>
            <w:tcBorders/>
            <w:shd w:fill="FFFFFF" w:val="clear"/>
            <w:vAlign w:val="center"/>
          </w:tcPr>
          <w:p>
            <w:pPr>
              <w:pStyle w:val="TableContents"/>
              <w:bidi w:val="0"/>
              <w:spacing w:before="0" w:after="283"/>
              <w:jc w:val="right"/>
              <w:rPr/>
            </w:pPr>
            <w:r>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43" w:name="xdx_405_eus-gaap--AdjustmentsToAdditiona"/>
            <w:bookmarkEnd w:id="143"/>
          </w:p>
        </w:tc>
      </w:tr>
      <w:tr>
        <w:trPr/>
        <w:tc>
          <w:tcPr>
            <w:tcW w:w="271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540</w:t>
            </w:r>
          </w:p>
        </w:tc>
        <w:tc>
          <w:tcPr>
            <w:tcW w:w="112" w:type="dxa"/>
            <w:tcBorders/>
            <w:shd w:fill="CCEEFF" w:val="clear"/>
            <w:vAlign w:val="center"/>
          </w:tcPr>
          <w:p>
            <w:pPr>
              <w:pStyle w:val="TableContents"/>
              <w:bidi w:val="0"/>
              <w:spacing w:before="0" w:after="283"/>
              <w:jc w:val="left"/>
              <w:rPr/>
            </w:pPr>
            <w:r>
              <w:rPr/>
              <w:t> </w:t>
            </w:r>
            <w:bookmarkStart w:id="144" w:name="xdx_437_c20250401__20250630_eus-gaap--St"/>
            <w:bookmarkEnd w:id="144"/>
          </w:p>
        </w:tc>
      </w:tr>
      <w:tr>
        <w:trPr/>
        <w:tc>
          <w:tcPr>
            <w:tcW w:w="2715" w:type="dxa"/>
            <w:tcBorders/>
            <w:shd w:fill="FFFFFF" w:val="clear"/>
            <w:vAlign w:val="center"/>
          </w:tcPr>
          <w:p>
            <w:pPr>
              <w:pStyle w:val="TableContents"/>
              <w:bidi w:val="0"/>
              <w:spacing w:before="0" w:after="283"/>
              <w:jc w:val="left"/>
              <w:rPr/>
            </w:pPr>
            <w:r>
              <w:rPr/>
              <w:t>Balances as of March 31, 2025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45" w:name="xdx_98F_eus-gaap--SharesOutstanding_iS_p"/>
            <w:bookmarkEnd w:id="145"/>
          </w:p>
        </w:tc>
        <w:tc>
          <w:tcPr>
            <w:tcW w:w="642" w:type="dxa"/>
            <w:tcBorders/>
            <w:shd w:fill="FFFFFF" w:val="clear"/>
            <w:vAlign w:val="center"/>
          </w:tcPr>
          <w:p>
            <w:pPr>
              <w:pStyle w:val="TableContents"/>
              <w:bidi w:val="0"/>
              <w:spacing w:before="0" w:after="283"/>
              <w:jc w:val="right"/>
              <w:rPr/>
            </w:pPr>
            <w:r>
              <w:rPr/>
              <w:t>7,420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185,233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2" w:type="dxa"/>
            <w:tcBorders/>
            <w:shd w:fill="FFFFFF" w:val="clear"/>
            <w:vAlign w:val="center"/>
          </w:tcPr>
          <w:p>
            <w:pPr>
              <w:pStyle w:val="TableContents"/>
              <w:bidi w:val="0"/>
              <w:spacing w:before="0" w:after="283"/>
              <w:jc w:val="right"/>
              <w:rPr/>
            </w:pPr>
            <w:r>
              <w:rPr/>
              <w:t>(180,945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4,365</w:t>
            </w:r>
          </w:p>
        </w:tc>
        <w:tc>
          <w:tcPr>
            <w:tcW w:w="112" w:type="dxa"/>
            <w:tcBorders/>
            <w:shd w:fill="FFFFFF" w:val="clear"/>
            <w:vAlign w:val="center"/>
          </w:tcPr>
          <w:p>
            <w:pPr>
              <w:pStyle w:val="TableContents"/>
              <w:bidi w:val="0"/>
              <w:spacing w:before="0" w:after="283"/>
              <w:jc w:val="left"/>
              <w:rPr/>
            </w:pPr>
            <w:r>
              <w:rPr/>
              <w:t> </w:t>
            </w:r>
            <w:bookmarkStart w:id="146" w:name="xdx_409_eus-gaap--NetIncomeLoss_zgoZzePw"/>
            <w:bookmarkEnd w:id="146"/>
          </w:p>
        </w:tc>
      </w:tr>
      <w:tr>
        <w:trPr/>
        <w:tc>
          <w:tcPr>
            <w:tcW w:w="271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(3,671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(3,671</w:t>
            </w:r>
          </w:p>
        </w:tc>
        <w:tc>
          <w:tcPr>
            <w:tcW w:w="112" w:type="dxa"/>
            <w:tcBorders/>
            <w:shd w:fill="CCEEFF" w:val="clear"/>
            <w:vAlign w:val="center"/>
          </w:tcPr>
          <w:p>
            <w:pPr>
              <w:pStyle w:val="TableContents"/>
              <w:bidi w:val="0"/>
              <w:spacing w:before="0" w:after="283"/>
              <w:jc w:val="left"/>
              <w:rPr/>
            </w:pPr>
            <w:r>
              <w:rPr/>
              <w:t>)</w:t>
            </w:r>
            <w:bookmarkStart w:id="147" w:name="xdx_402_eus-gaap--OtherComprehensiveInco"/>
            <w:bookmarkEnd w:id="147"/>
          </w:p>
        </w:tc>
      </w:tr>
      <w:tr>
        <w:trPr/>
        <w:tc>
          <w:tcPr>
            <w:tcW w:w="2715"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(89</w:t>
            </w:r>
          </w:p>
        </w:tc>
        <w:tc>
          <w:tcPr>
            <w:tcW w:w="112" w:type="dxa"/>
            <w:tcBorders/>
            <w:shd w:fill="FFFFFF" w:val="clear"/>
            <w:vAlign w:val="center"/>
          </w:tcPr>
          <w:p>
            <w:pPr>
              <w:pStyle w:val="TableContents"/>
              <w:bidi w:val="0"/>
              <w:spacing w:before="0" w:after="283"/>
              <w:jc w:val="left"/>
              <w:rPr/>
            </w:pPr>
            <w:r>
              <w:rPr/>
              <w:t>)</w:t>
            </w:r>
            <w:bookmarkStart w:id="148" w:name="xdx_409_eus-gaap--StockIssuedDuringPerio"/>
            <w:bookmarkEnd w:id="148"/>
          </w:p>
        </w:tc>
      </w:tr>
      <w:tr>
        <w:trPr/>
        <w:tc>
          <w:tcPr>
            <w:tcW w:w="2715"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49" w:name="xdx_98E_eus-gaap--StockIssuedDuringPerio"/>
            <w:bookmarkEnd w:id="149"/>
          </w:p>
        </w:tc>
        <w:tc>
          <w:tcPr>
            <w:tcW w:w="642"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45</w:t>
            </w:r>
          </w:p>
        </w:tc>
        <w:tc>
          <w:tcPr>
            <w:tcW w:w="112" w:type="dxa"/>
            <w:tcBorders/>
            <w:shd w:fill="CCEEFF" w:val="clear"/>
            <w:vAlign w:val="center"/>
          </w:tcPr>
          <w:p>
            <w:pPr>
              <w:pStyle w:val="TableContents"/>
              <w:bidi w:val="0"/>
              <w:spacing w:before="0" w:after="283"/>
              <w:jc w:val="left"/>
              <w:rPr/>
            </w:pPr>
            <w:r>
              <w:rPr/>
              <w:t> </w:t>
            </w:r>
            <w:bookmarkStart w:id="150" w:name="xdx_400_eus-gaap--AdjustmentsToAdditiona"/>
            <w:bookmarkEnd w:id="150"/>
          </w:p>
        </w:tc>
      </w:tr>
      <w:tr>
        <w:trPr/>
        <w:tc>
          <w:tcPr>
            <w:tcW w:w="2715" w:type="dxa"/>
            <w:tcBorders/>
            <w:shd w:fill="FFFFFF" w:val="clear"/>
            <w:vAlign w:val="center"/>
          </w:tcPr>
          <w:p>
            <w:pPr>
              <w:pStyle w:val="TableContents"/>
              <w:bidi w:val="0"/>
              <w:spacing w:before="0" w:after="283"/>
              <w:jc w:val="left"/>
              <w:rPr/>
            </w:pPr>
            <w:r>
              <w:rPr/>
              <w:t>Equity issuance costs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(42</w:t>
            </w:r>
          </w:p>
        </w:tc>
        <w:tc>
          <w:tcPr>
            <w:tcW w:w="112" w:type="dxa"/>
            <w:tcBorders/>
            <w:shd w:fill="FFFFFF" w:val="clear"/>
            <w:vAlign w:val="center"/>
          </w:tcPr>
          <w:p>
            <w:pPr>
              <w:pStyle w:val="TableContents"/>
              <w:bidi w:val="0"/>
              <w:spacing w:before="0" w:after="283"/>
              <w:jc w:val="left"/>
              <w:rPr/>
            </w:pPr>
            <w:r>
              <w:rPr/>
              <w:t>)</w:t>
            </w:r>
            <w:bookmarkStart w:id="151" w:name="xdx_40F_eus-gaap--StockIssuedDuringPerio"/>
            <w:bookmarkEnd w:id="151"/>
          </w:p>
        </w:tc>
      </w:tr>
      <w:tr>
        <w:trPr/>
        <w:tc>
          <w:tcPr>
            <w:tcW w:w="2715" w:type="dxa"/>
            <w:tcBorders/>
            <w:shd w:fill="CCEEFF" w:val="clear"/>
            <w:vAlign w:val="center"/>
          </w:tcPr>
          <w:p>
            <w:pPr>
              <w:pStyle w:val="TableContents"/>
              <w:bidi w:val="0"/>
              <w:spacing w:before="0" w:after="283"/>
              <w:jc w:val="left"/>
              <w:rPr/>
            </w:pPr>
            <w:r>
              <w:rPr/>
              <w:t>Issuance of stock related to employee compensation, net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52" w:name="xdx_989_eus-gaap--StockIssuedDuringPerio"/>
            <w:bookmarkEnd w:id="152"/>
          </w:p>
        </w:tc>
        <w:tc>
          <w:tcPr>
            <w:tcW w:w="642"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53" w:name="xdx_405_eus-gaap--AdjustmentsToAdditiona"/>
            <w:bookmarkEnd w:id="153"/>
          </w:p>
        </w:tc>
      </w:tr>
      <w:tr>
        <w:trPr/>
        <w:tc>
          <w:tcPr>
            <w:tcW w:w="271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2" w:type="dxa"/>
            <w:tcBorders/>
            <w:shd w:fill="FFFFFF" w:val="clear"/>
            <w:vAlign w:val="center"/>
          </w:tcPr>
          <w:p>
            <w:pPr>
              <w:pStyle w:val="TableContents"/>
              <w:bidi w:val="0"/>
              <w:spacing w:before="0" w:after="283"/>
              <w:jc w:val="left"/>
              <w:rPr/>
            </w:pPr>
            <w:r>
              <w:rPr/>
              <w:t> </w:t>
            </w:r>
            <w:bookmarkStart w:id="154" w:name="xdx_436_c20250101__20250630_eus-gaap--St"/>
            <w:bookmarkEnd w:id="154"/>
          </w:p>
        </w:tc>
      </w:tr>
      <w:tr>
        <w:trPr/>
        <w:tc>
          <w:tcPr>
            <w:tcW w:w="2715" w:type="dxa"/>
            <w:tcBorders/>
            <w:shd w:fill="CCEEFF" w:val="clear"/>
            <w:vAlign w:val="center"/>
          </w:tcPr>
          <w:p>
            <w:pPr>
              <w:pStyle w:val="TableContents"/>
              <w:bidi w:val="0"/>
              <w:spacing w:before="0" w:after="283"/>
              <w:jc w:val="left"/>
              <w:rPr/>
            </w:pPr>
            <w:r>
              <w:rPr/>
              <w:t>Balances as of June 30, 2025</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5" w:name="xdx_98C_eus-gaap--SharesOutstanding_iE_p"/>
            <w:bookmarkEnd w:id="155"/>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pPr>
            <w:r>
              <w:rPr/>
              <w:t>7,466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185,741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(184,616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1,113</w:t>
            </w:r>
          </w:p>
        </w:tc>
        <w:tc>
          <w:tcPr>
            <w:tcW w:w="112" w:type="dxa"/>
            <w:tcBorders/>
            <w:shd w:fill="CCEEFF" w:val="clear"/>
            <w:vAlign w:val="center"/>
          </w:tcPr>
          <w:p>
            <w:pPr>
              <w:pStyle w:val="TableContents"/>
              <w:bidi w:val="0"/>
              <w:spacing w:before="0" w:after="283"/>
              <w:jc w:val="left"/>
              <w:rPr/>
            </w:pPr>
            <w:r>
              <w:rPr/>
              <w:t> </w:t>
            </w:r>
          </w:p>
        </w:tc>
      </w:tr>
      <w:tr>
        <w:trPr/>
        <w:tc>
          <w:tcPr>
            <w:tcW w:w="2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56" w:name="xdx_43F_c20260101__20260331_eus-gaap--St"/>
            <w:bookmarkEnd w:id="156"/>
          </w:p>
        </w:tc>
      </w:tr>
      <w:tr>
        <w:trPr/>
        <w:tc>
          <w:tcPr>
            <w:tcW w:w="2715" w:type="dxa"/>
            <w:tcBorders/>
            <w:shd w:fill="CCEEFF" w:val="clear"/>
            <w:vAlign w:val="center"/>
          </w:tcPr>
          <w:p>
            <w:pPr>
              <w:pStyle w:val="TableContents"/>
              <w:bidi w:val="0"/>
              <w:spacing w:before="0" w:after="283"/>
              <w:jc w:val="left"/>
              <w:rPr/>
            </w:pPr>
            <w:r>
              <w:rPr/>
              <w:t>Balances as of January 1, 2026</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57" w:name="xdx_985_eus-gaap--SharesOutstanding_iS_p"/>
            <w:bookmarkEnd w:id="157"/>
          </w:p>
        </w:tc>
        <w:tc>
          <w:tcPr>
            <w:tcW w:w="642" w:type="dxa"/>
            <w:tcBorders/>
            <w:shd w:fill="CCEEFF" w:val="clear"/>
            <w:vAlign w:val="center"/>
          </w:tcPr>
          <w:p>
            <w:pPr>
              <w:pStyle w:val="TableContents"/>
              <w:bidi w:val="0"/>
              <w:spacing w:before="0" w:after="283"/>
              <w:jc w:val="right"/>
              <w:rPr/>
            </w:pPr>
            <w:r>
              <w:rPr/>
              <w:t>8,004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189,240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(191,056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(1,709</w:t>
            </w:r>
          </w:p>
        </w:tc>
        <w:tc>
          <w:tcPr>
            <w:tcW w:w="112" w:type="dxa"/>
            <w:tcBorders/>
            <w:shd w:fill="CCEEFF" w:val="clear"/>
            <w:vAlign w:val="center"/>
          </w:tcPr>
          <w:p>
            <w:pPr>
              <w:pStyle w:val="TableContents"/>
              <w:bidi w:val="0"/>
              <w:spacing w:before="0" w:after="283"/>
              <w:jc w:val="left"/>
              <w:rPr/>
            </w:pPr>
            <w:r>
              <w:rPr/>
              <w:t>)</w:t>
            </w:r>
            <w:bookmarkStart w:id="158" w:name="xdx_409_eus-gaap--NetIncomeLoss_z3PqhT63"/>
            <w:bookmarkEnd w:id="158"/>
          </w:p>
        </w:tc>
      </w:tr>
      <w:tr>
        <w:trPr/>
        <w:tc>
          <w:tcPr>
            <w:tcW w:w="27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(5,271</w:t>
            </w:r>
          </w:p>
        </w:tc>
        <w:tc>
          <w:tcPr>
            <w:tcW w:w="112" w:type="dxa"/>
            <w:tcBorders/>
            <w:shd w:fill="FFFFFF" w:val="clear"/>
            <w:vAlign w:val="center"/>
          </w:tcPr>
          <w:p>
            <w:pPr>
              <w:pStyle w:val="TableContents"/>
              <w:bidi w:val="0"/>
              <w:spacing w:before="0" w:after="283"/>
              <w:jc w:val="left"/>
              <w:rPr/>
            </w:pPr>
            <w:r>
              <w:rPr/>
              <w:t>)</w:t>
            </w:r>
            <w:bookmarkStart w:id="159" w:name="xdx_402_eus-gaap--OtherComprehensiveInco"/>
            <w:bookmarkEnd w:id="159"/>
          </w:p>
        </w:tc>
      </w:tr>
      <w:tr>
        <w:trPr/>
        <w:tc>
          <w:tcPr>
            <w:tcW w:w="2715"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(163</w:t>
            </w:r>
          </w:p>
        </w:tc>
        <w:tc>
          <w:tcPr>
            <w:tcW w:w="112" w:type="dxa"/>
            <w:tcBorders/>
            <w:shd w:fill="CCEEFF" w:val="clear"/>
            <w:vAlign w:val="center"/>
          </w:tcPr>
          <w:p>
            <w:pPr>
              <w:pStyle w:val="TableContents"/>
              <w:bidi w:val="0"/>
              <w:spacing w:before="0" w:after="283"/>
              <w:jc w:val="left"/>
              <w:rPr/>
            </w:pPr>
            <w:r>
              <w:rPr/>
              <w:t>)</w:t>
            </w:r>
            <w:bookmarkStart w:id="160" w:name="xdx_409_eus-gaap--StockIssuedDuringPerio"/>
            <w:bookmarkEnd w:id="160"/>
          </w:p>
        </w:tc>
      </w:tr>
      <w:tr>
        <w:trPr/>
        <w:tc>
          <w:tcPr>
            <w:tcW w:w="2715" w:type="dxa"/>
            <w:tcBorders/>
            <w:shd w:fill="FFFFFF" w:val="clear"/>
            <w:vAlign w:val="center"/>
          </w:tcPr>
          <w:p>
            <w:pPr>
              <w:pStyle w:val="TableContents"/>
              <w:bidi w:val="0"/>
              <w:spacing w:before="0" w:after="283"/>
              <w:jc w:val="left"/>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61" w:name="xdx_984_eus-gaap--StockIssuedDuringPerio"/>
            <w:bookmarkEnd w:id="161"/>
          </w:p>
        </w:tc>
        <w:tc>
          <w:tcPr>
            <w:tcW w:w="642"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w:t>
            </w:r>
          </w:p>
        </w:tc>
        <w:tc>
          <w:tcPr>
            <w:tcW w:w="112" w:type="dxa"/>
            <w:tcBorders/>
            <w:shd w:fill="FFFFFF" w:val="clear"/>
            <w:vAlign w:val="center"/>
          </w:tcPr>
          <w:p>
            <w:pPr>
              <w:pStyle w:val="TableContents"/>
              <w:bidi w:val="0"/>
              <w:spacing w:before="0" w:after="283"/>
              <w:jc w:val="left"/>
              <w:rPr/>
            </w:pPr>
            <w:r>
              <w:rPr/>
              <w:t> </w:t>
            </w:r>
            <w:bookmarkStart w:id="162" w:name="xdx_404_ecustom--StockIssuedDuringPeriod"/>
            <w:bookmarkEnd w:id="162"/>
          </w:p>
        </w:tc>
      </w:tr>
      <w:tr>
        <w:trPr/>
        <w:tc>
          <w:tcPr>
            <w:tcW w:w="2715" w:type="dxa"/>
            <w:tcBorders/>
            <w:shd w:fill="CCEEFF" w:val="clear"/>
            <w:vAlign w:val="center"/>
          </w:tcPr>
          <w:p>
            <w:pPr>
              <w:pStyle w:val="TableContents"/>
              <w:bidi w:val="0"/>
              <w:spacing w:before="0" w:after="283"/>
              <w:jc w:val="left"/>
              <w:rPr/>
            </w:pPr>
            <w:r>
              <w:rPr/>
              <w:t>Proceeds from the exercise of warrants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63" w:name="xdx_98C_ecustom--StockIssuedDuringPeriod"/>
            <w:bookmarkEnd w:id="163"/>
          </w:p>
        </w:tc>
        <w:tc>
          <w:tcPr>
            <w:tcW w:w="642"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223</w:t>
            </w:r>
          </w:p>
        </w:tc>
        <w:tc>
          <w:tcPr>
            <w:tcW w:w="112" w:type="dxa"/>
            <w:tcBorders/>
            <w:shd w:fill="CCEEFF" w:val="clear"/>
            <w:vAlign w:val="center"/>
          </w:tcPr>
          <w:p>
            <w:pPr>
              <w:pStyle w:val="TableContents"/>
              <w:bidi w:val="0"/>
              <w:spacing w:before="0" w:after="283"/>
              <w:jc w:val="left"/>
              <w:rPr/>
            </w:pPr>
            <w:r>
              <w:rPr/>
              <w:t> </w:t>
            </w:r>
            <w:bookmarkStart w:id="164" w:name="xdx_402_eus-gaap--StockIssuedDuringPerio"/>
            <w:bookmarkEnd w:id="164"/>
          </w:p>
        </w:tc>
      </w:tr>
      <w:tr>
        <w:trPr/>
        <w:tc>
          <w:tcPr>
            <w:tcW w:w="2715" w:type="dxa"/>
            <w:tcBorders/>
            <w:shd w:fill="FFFFFF" w:val="clear"/>
            <w:vAlign w:val="center"/>
          </w:tcPr>
          <w:p>
            <w:pPr>
              <w:pStyle w:val="TableContents"/>
              <w:bidi w:val="0"/>
              <w:spacing w:before="0" w:after="283"/>
              <w:jc w:val="left"/>
              <w:rPr/>
            </w:pPr>
            <w:r>
              <w:rPr/>
              <w:t>Shares issued for accrued bonus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65" w:name="xdx_98D_eus-gaap--StockIssuedDuringPerio"/>
            <w:bookmarkEnd w:id="165"/>
          </w:p>
        </w:tc>
        <w:tc>
          <w:tcPr>
            <w:tcW w:w="642" w:type="dxa"/>
            <w:tcBorders/>
            <w:shd w:fill="FFFFFF" w:val="clear"/>
            <w:vAlign w:val="center"/>
          </w:tcPr>
          <w:p>
            <w:pPr>
              <w:pStyle w:val="TableContents"/>
              <w:bidi w:val="0"/>
              <w:spacing w:before="0" w:after="283"/>
              <w:jc w:val="right"/>
              <w:rPr/>
            </w:pPr>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189</w:t>
            </w:r>
          </w:p>
        </w:tc>
        <w:tc>
          <w:tcPr>
            <w:tcW w:w="112" w:type="dxa"/>
            <w:tcBorders/>
            <w:shd w:fill="FFFFFF" w:val="clear"/>
            <w:vAlign w:val="center"/>
          </w:tcPr>
          <w:p>
            <w:pPr>
              <w:pStyle w:val="TableContents"/>
              <w:bidi w:val="0"/>
              <w:spacing w:before="0" w:after="283"/>
              <w:jc w:val="left"/>
              <w:rPr/>
            </w:pPr>
            <w:r>
              <w:rPr/>
              <w:t> </w:t>
            </w:r>
            <w:bookmarkStart w:id="166" w:name="xdx_40F_eus-gaap--StockIssuedDuringPerio"/>
            <w:bookmarkEnd w:id="166"/>
          </w:p>
        </w:tc>
      </w:tr>
      <w:tr>
        <w:trPr/>
        <w:tc>
          <w:tcPr>
            <w:tcW w:w="2715" w:type="dxa"/>
            <w:tcBorders/>
            <w:shd w:fill="CCEEFF" w:val="clear"/>
            <w:vAlign w:val="center"/>
          </w:tcPr>
          <w:p>
            <w:pPr>
              <w:pStyle w:val="TableContents"/>
              <w:bidi w:val="0"/>
              <w:spacing w:before="0" w:after="283"/>
              <w:jc w:val="left"/>
              <w:rPr/>
            </w:pPr>
            <w:r>
              <w:rPr/>
              <w:t>Issuance of stock related to employee compensation, net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67" w:name="xdx_982_eus-gaap--StockIssuedDuringPerio"/>
            <w:bookmarkEnd w:id="167"/>
          </w:p>
        </w:tc>
        <w:tc>
          <w:tcPr>
            <w:tcW w:w="642"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68" w:name="xdx_405_eus-gaap--AdjustmentsToAdditiona"/>
            <w:bookmarkEnd w:id="168"/>
          </w:p>
        </w:tc>
      </w:tr>
      <w:tr>
        <w:trPr/>
        <w:tc>
          <w:tcPr>
            <w:tcW w:w="2715"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1,036</w:t>
            </w:r>
          </w:p>
        </w:tc>
        <w:tc>
          <w:tcPr>
            <w:tcW w:w="112" w:type="dxa"/>
            <w:tcBorders/>
            <w:shd w:fill="FFFFFF" w:val="clear"/>
            <w:vAlign w:val="center"/>
          </w:tcPr>
          <w:p>
            <w:pPr>
              <w:pStyle w:val="TableContents"/>
              <w:bidi w:val="0"/>
              <w:spacing w:before="0" w:after="283"/>
              <w:jc w:val="left"/>
              <w:rPr/>
            </w:pPr>
            <w:r>
              <w:rPr/>
              <w:t> </w:t>
            </w:r>
            <w:bookmarkStart w:id="169" w:name="xdx_43A_c20260401__20260630_eus-gaap--St"/>
            <w:bookmarkEnd w:id="169"/>
          </w:p>
        </w:tc>
      </w:tr>
      <w:tr>
        <w:trPr/>
        <w:tc>
          <w:tcPr>
            <w:tcW w:w="2715" w:type="dxa"/>
            <w:tcBorders/>
            <w:shd w:fill="CCEEFF" w:val="clear"/>
            <w:vAlign w:val="center"/>
          </w:tcPr>
          <w:p>
            <w:pPr>
              <w:pStyle w:val="TableContents"/>
              <w:bidi w:val="0"/>
              <w:spacing w:before="0" w:after="283"/>
              <w:jc w:val="left"/>
              <w:rPr/>
            </w:pPr>
            <w:r>
              <w:rPr/>
              <w:t>Balances as of March 31, 2026</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70" w:name="xdx_98E_eus-gaap--SharesOutstanding_iS_p"/>
            <w:bookmarkEnd w:id="170"/>
          </w:p>
        </w:tc>
        <w:tc>
          <w:tcPr>
            <w:tcW w:w="642" w:type="dxa"/>
            <w:tcBorders/>
            <w:shd w:fill="CCEEFF" w:val="clear"/>
            <w:vAlign w:val="center"/>
          </w:tcPr>
          <w:p>
            <w:pPr>
              <w:pStyle w:val="TableContents"/>
              <w:bidi w:val="0"/>
              <w:spacing w:before="0" w:after="283"/>
              <w:jc w:val="right"/>
              <w:rPr/>
            </w:pPr>
            <w:r>
              <w:rPr/>
              <w:t>8,126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(196,327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(5,688</w:t>
            </w:r>
          </w:p>
        </w:tc>
        <w:tc>
          <w:tcPr>
            <w:tcW w:w="112" w:type="dxa"/>
            <w:tcBorders/>
            <w:shd w:fill="CCEEFF" w:val="clear"/>
            <w:vAlign w:val="center"/>
          </w:tcPr>
          <w:p>
            <w:pPr>
              <w:pStyle w:val="TableContents"/>
              <w:bidi w:val="0"/>
              <w:spacing w:before="0" w:after="283"/>
              <w:jc w:val="left"/>
              <w:rPr/>
            </w:pPr>
            <w:r>
              <w:rPr/>
              <w:t>)</w:t>
            </w:r>
            <w:bookmarkStart w:id="171" w:name="xdx_409_eus-gaap--NetIncomeLoss_zyIblsFI"/>
            <w:bookmarkEnd w:id="171"/>
          </w:p>
        </w:tc>
      </w:tr>
      <w:tr>
        <w:trPr/>
        <w:tc>
          <w:tcPr>
            <w:tcW w:w="27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(3,059</w:t>
            </w:r>
          </w:p>
        </w:tc>
        <w:tc>
          <w:tcPr>
            <w:tcW w:w="112" w:type="dxa"/>
            <w:tcBorders/>
            <w:shd w:fill="FFFFFF" w:val="clear"/>
            <w:vAlign w:val="center"/>
          </w:tcPr>
          <w:p>
            <w:pPr>
              <w:pStyle w:val="TableContents"/>
              <w:bidi w:val="0"/>
              <w:spacing w:before="0" w:after="283"/>
              <w:jc w:val="left"/>
              <w:rPr/>
            </w:pPr>
            <w:r>
              <w:rPr/>
              <w:t>)</w:t>
            </w:r>
            <w:bookmarkStart w:id="172" w:name="xdx_402_eus-gaap--OtherComprehensiveInco"/>
            <w:bookmarkEnd w:id="172"/>
          </w:p>
        </w:tc>
      </w:tr>
      <w:tr>
        <w:trPr/>
        <w:tc>
          <w:tcPr>
            <w:tcW w:w="2715"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w:t>
            </w:r>
          </w:p>
        </w:tc>
        <w:tc>
          <w:tcPr>
            <w:tcW w:w="112" w:type="dxa"/>
            <w:tcBorders/>
            <w:shd w:fill="CCEEFF" w:val="clear"/>
            <w:vAlign w:val="center"/>
          </w:tcPr>
          <w:p>
            <w:pPr>
              <w:pStyle w:val="TableContents"/>
              <w:bidi w:val="0"/>
              <w:spacing w:before="0" w:after="283"/>
              <w:jc w:val="left"/>
              <w:rPr/>
            </w:pPr>
            <w:r>
              <w:rPr/>
              <w:t> </w:t>
            </w:r>
            <w:bookmarkStart w:id="173" w:name="xdx_403_eus-gaap--StockIssuedDuringPerio"/>
            <w:bookmarkEnd w:id="173"/>
          </w:p>
        </w:tc>
      </w:tr>
      <w:tr>
        <w:trPr/>
        <w:tc>
          <w:tcPr>
            <w:tcW w:w="2715" w:type="dxa"/>
            <w:tcBorders/>
            <w:shd w:fill="FFFFFF" w:val="clear"/>
            <w:vAlign w:val="center"/>
          </w:tcPr>
          <w:p>
            <w:pPr>
              <w:pStyle w:val="TableContents"/>
              <w:bidi w:val="0"/>
              <w:spacing w:before="0" w:after="283"/>
              <w:jc w:val="left"/>
              <w:rPr/>
            </w:pPr>
            <w:r>
              <w:rPr/>
              <w:t>Sale of common stock,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74" w:name="xdx_981_eus-gaap--StockIssuedDuringPerio"/>
            <w:bookmarkEnd w:id="174"/>
          </w:p>
        </w:tc>
        <w:tc>
          <w:tcPr>
            <w:tcW w:w="642" w:type="dxa"/>
            <w:tcBorders/>
            <w:shd w:fill="FFFFFF" w:val="clear"/>
            <w:vAlign w:val="center"/>
          </w:tcPr>
          <w:p>
            <w:pPr>
              <w:pStyle w:val="TableContents"/>
              <w:bidi w:val="0"/>
              <w:spacing w:before="0" w:after="283"/>
              <w:jc w:val="right"/>
              <w:rPr/>
            </w:pPr>
            <w:r>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3,868</w:t>
            </w:r>
          </w:p>
        </w:tc>
        <w:tc>
          <w:tcPr>
            <w:tcW w:w="112" w:type="dxa"/>
            <w:tcBorders/>
            <w:shd w:fill="FFFFFF" w:val="clear"/>
            <w:vAlign w:val="center"/>
          </w:tcPr>
          <w:p>
            <w:pPr>
              <w:pStyle w:val="TableContents"/>
              <w:bidi w:val="0"/>
              <w:spacing w:before="0" w:after="283"/>
              <w:jc w:val="left"/>
              <w:rPr/>
            </w:pPr>
            <w:r>
              <w:rPr/>
              <w:t> </w:t>
            </w:r>
            <w:bookmarkStart w:id="175" w:name="xdx_409_eus-gaap--StockIssuedDuringPerio"/>
            <w:bookmarkEnd w:id="175"/>
          </w:p>
        </w:tc>
      </w:tr>
      <w:tr>
        <w:trPr/>
        <w:tc>
          <w:tcPr>
            <w:tcW w:w="2715"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76" w:name="xdx_983_eus-gaap--StockIssuedDuringPerio"/>
            <w:bookmarkEnd w:id="176"/>
          </w:p>
        </w:tc>
        <w:tc>
          <w:tcPr>
            <w:tcW w:w="642" w:type="dxa"/>
            <w:tcBorders/>
            <w:shd w:fill="CCEEFF" w:val="cle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818</w:t>
            </w:r>
          </w:p>
        </w:tc>
        <w:tc>
          <w:tcPr>
            <w:tcW w:w="112" w:type="dxa"/>
            <w:tcBorders/>
            <w:shd w:fill="CCEEFF" w:val="clear"/>
            <w:vAlign w:val="center"/>
          </w:tcPr>
          <w:p>
            <w:pPr>
              <w:pStyle w:val="TableContents"/>
              <w:bidi w:val="0"/>
              <w:spacing w:before="0" w:after="283"/>
              <w:jc w:val="left"/>
              <w:rPr/>
            </w:pPr>
            <w:r>
              <w:rPr/>
              <w:t> </w:t>
            </w:r>
            <w:bookmarkStart w:id="177" w:name="xdx_404_ecustom--StockIssuedDuringPeriod"/>
            <w:bookmarkEnd w:id="177"/>
          </w:p>
        </w:tc>
      </w:tr>
      <w:tr>
        <w:trPr/>
        <w:tc>
          <w:tcPr>
            <w:tcW w:w="2715" w:type="dxa"/>
            <w:tcBorders/>
            <w:shd w:fill="FFFFFF" w:val="clear"/>
            <w:vAlign w:val="center"/>
          </w:tcPr>
          <w:p>
            <w:pPr>
              <w:pStyle w:val="TableContents"/>
              <w:bidi w:val="0"/>
              <w:spacing w:before="0" w:after="283"/>
              <w:jc w:val="left"/>
              <w:rPr/>
            </w:pPr>
            <w:r>
              <w:rPr/>
              <w:t>Proceeds from the exercise of warrants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78" w:name="xdx_989_ecustom--StockIssuedDuringPeriod"/>
            <w:bookmarkEnd w:id="178"/>
          </w:p>
        </w:tc>
        <w:tc>
          <w:tcPr>
            <w:tcW w:w="642"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57</w:t>
            </w:r>
          </w:p>
        </w:tc>
        <w:tc>
          <w:tcPr>
            <w:tcW w:w="112" w:type="dxa"/>
            <w:tcBorders/>
            <w:shd w:fill="FFFFFF" w:val="clear"/>
            <w:vAlign w:val="center"/>
          </w:tcPr>
          <w:p>
            <w:pPr>
              <w:pStyle w:val="TableContents"/>
              <w:bidi w:val="0"/>
              <w:spacing w:before="0" w:after="283"/>
              <w:jc w:val="left"/>
              <w:rPr/>
            </w:pPr>
            <w:r>
              <w:rPr/>
              <w:t> </w:t>
            </w:r>
            <w:bookmarkStart w:id="179" w:name="xdx_402_eus-gaap--StockIssuedDuringPerio"/>
            <w:bookmarkEnd w:id="179"/>
          </w:p>
        </w:tc>
      </w:tr>
      <w:tr>
        <w:trPr/>
        <w:tc>
          <w:tcPr>
            <w:tcW w:w="2715" w:type="dxa"/>
            <w:tcBorders/>
            <w:shd w:fill="CCEEFF" w:val="clear"/>
            <w:vAlign w:val="center"/>
          </w:tcPr>
          <w:p>
            <w:pPr>
              <w:pStyle w:val="TableContents"/>
              <w:bidi w:val="0"/>
              <w:spacing w:before="0" w:after="283"/>
              <w:jc w:val="left"/>
              <w:rPr/>
            </w:pPr>
            <w:r>
              <w:rPr/>
              <w:t>Shares issued for accrued bonus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80" w:name="xdx_981_eus-gaap--StockIssuedDuringPerio"/>
            <w:bookmarkEnd w:id="180"/>
          </w:p>
        </w:tc>
        <w:tc>
          <w:tcPr>
            <w:tcW w:w="642" w:type="dxa"/>
            <w:tcBorders/>
            <w:shd w:fill="CCEEFF" w:val="clear"/>
            <w:vAlign w:val="center"/>
          </w:tcPr>
          <w:p>
            <w:pPr>
              <w:pStyle w:val="TableContents"/>
              <w:bidi w:val="0"/>
              <w:spacing w:before="0" w:after="283"/>
              <w:jc w:val="right"/>
              <w:rPr/>
            </w:pPr>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373</w:t>
            </w:r>
          </w:p>
        </w:tc>
        <w:tc>
          <w:tcPr>
            <w:tcW w:w="112" w:type="dxa"/>
            <w:tcBorders/>
            <w:shd w:fill="CCEEFF" w:val="clear"/>
            <w:vAlign w:val="center"/>
          </w:tcPr>
          <w:p>
            <w:pPr>
              <w:pStyle w:val="TableContents"/>
              <w:bidi w:val="0"/>
              <w:spacing w:before="0" w:after="283"/>
              <w:jc w:val="left"/>
              <w:rPr/>
            </w:pPr>
            <w:r>
              <w:rPr/>
              <w:t> </w:t>
            </w:r>
            <w:bookmarkStart w:id="181" w:name="xdx_40F_eus-gaap--StockIssuedDuringPerio"/>
            <w:bookmarkEnd w:id="181"/>
          </w:p>
        </w:tc>
      </w:tr>
      <w:tr>
        <w:trPr/>
        <w:tc>
          <w:tcPr>
            <w:tcW w:w="2715" w:type="dxa"/>
            <w:tcBorders/>
            <w:shd w:fill="FFFFFF" w:val="clear"/>
            <w:vAlign w:val="center"/>
          </w:tcPr>
          <w:p>
            <w:pPr>
              <w:pStyle w:val="TableContents"/>
              <w:bidi w:val="0"/>
              <w:spacing w:before="0" w:after="283"/>
              <w:jc w:val="left"/>
              <w:rPr/>
            </w:pPr>
            <w:r>
              <w:rPr/>
              <w:t>Issuance of stock related to employee compensation,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82" w:name="xdx_989_eus-gaap--StockIssuedDuringPerio"/>
            <w:bookmarkEnd w:id="182"/>
          </w:p>
        </w:tc>
        <w:tc>
          <w:tcPr>
            <w:tcW w:w="642" w:type="dxa"/>
            <w:tcBorders/>
            <w:shd w:fill="FFFFFF" w:val="clear"/>
            <w:vAlign w:val="center"/>
          </w:tcPr>
          <w:p>
            <w:pPr>
              <w:pStyle w:val="TableContents"/>
              <w:bidi w:val="0"/>
              <w:spacing w:before="0" w:after="283"/>
              <w:jc w:val="right"/>
              <w:rPr/>
            </w:pPr>
            <w:r>
              <w:rPr/>
              <w:t>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3" w:name="xdx_405_eus-gaap--AdjustmentsToAdditiona"/>
            <w:bookmarkEnd w:id="183"/>
          </w:p>
        </w:tc>
      </w:tr>
      <w:tr>
        <w:trPr/>
        <w:tc>
          <w:tcPr>
            <w:tcW w:w="271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755</w:t>
            </w:r>
          </w:p>
        </w:tc>
        <w:tc>
          <w:tcPr>
            <w:tcW w:w="112" w:type="dxa"/>
            <w:tcBorders/>
            <w:shd w:fill="CCEEFF" w:val="clear"/>
            <w:vAlign w:val="center"/>
          </w:tcPr>
          <w:p>
            <w:pPr>
              <w:pStyle w:val="TableContents"/>
              <w:bidi w:val="0"/>
              <w:spacing w:before="0" w:after="283"/>
              <w:jc w:val="left"/>
              <w:rPr/>
            </w:pPr>
            <w:r>
              <w:rPr/>
              <w:t> </w:t>
            </w:r>
            <w:bookmarkStart w:id="184" w:name="xdx_43A_c20260401__20260630_eus-gaap--St"/>
            <w:bookmarkEnd w:id="184"/>
          </w:p>
        </w:tc>
      </w:tr>
      <w:tr>
        <w:trPr/>
        <w:tc>
          <w:tcPr>
            <w:tcW w:w="2715" w:type="dxa"/>
            <w:tcBorders/>
            <w:shd w:fill="FFFFFF" w:val="clear"/>
            <w:vAlign w:val="center"/>
          </w:tcPr>
          <w:p>
            <w:pPr>
              <w:pStyle w:val="TableContents"/>
              <w:bidi w:val="0"/>
              <w:spacing w:before="0" w:after="283"/>
              <w:jc w:val="left"/>
              <w:rPr/>
            </w:pPr>
            <w:r>
              <w:rPr/>
              <w:t>Balances as of June 30, 2026</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 w:name="xdx_988_eus-gaap--SharesOutstanding_iE_p"/>
            <w:bookmarkEnd w:id="185"/>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196,565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(199,386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(2,790</w:t>
            </w:r>
          </w:p>
        </w:tc>
        <w:tc>
          <w:tcPr>
            <w:tcW w:w="112"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6" w:name="a_006"/>
      <w:bookmarkEnd w:id="186"/>
      <w:r>
        <w:rPr>
          <w:rFonts w:ascii="Times New Roman;Times;Serif" w:hAnsi="Times New Roman;Times;Serif"/>
          <w:b/>
          <w:i w:val="false"/>
          <w:caps w:val="false"/>
          <w:smallCaps w:val="false"/>
          <w:sz w:val="20"/>
        </w:rPr>
        <w:t>ELECTROCORE, INC. AND SUBSIDIARIES</w:t>
        <w:b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br/>
        <w:t>(in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7" w:name="xdx_308_112_pn3n3_zzaloyK16U75"/>
      <w:bookmarkStart w:id="188" w:name="xdx_308_112_pn3n3_zzaloyK16U75"/>
      <w:bookmarkEnd w:id="188"/>
    </w:p>
    <w:tbl>
      <w:tblPr>
        <w:tblW w:w="9732" w:type="dxa"/>
        <w:jc w:val="left"/>
        <w:tblInd w:w="0" w:type="dxa"/>
        <w:tblLayout w:type="fixed"/>
        <w:tblCellMar>
          <w:top w:w="0" w:type="dxa"/>
          <w:left w:w="0" w:type="dxa"/>
          <w:bottom w:w="0" w:type="dxa"/>
          <w:right w:w="0" w:type="dxa"/>
        </w:tblCellMar>
      </w:tblPr>
      <w:tblGrid>
        <w:gridCol w:w="6830"/>
        <w:gridCol w:w="60"/>
        <w:gridCol w:w="224"/>
        <w:gridCol w:w="1018"/>
        <w:gridCol w:w="152"/>
        <w:gridCol w:w="96"/>
        <w:gridCol w:w="224"/>
        <w:gridCol w:w="1018"/>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 w:name="xdx_498_20260101__20260630_zx3qTkNb6tV6"/>
            <w:bookmarkEnd w:id="189"/>
          </w:p>
        </w:tc>
        <w:tc>
          <w:tcPr>
            <w:tcW w:w="12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190" w:name="xdx_496_20250101__20250630_zAx6kfQecs86"/>
            <w:bookmarkEnd w:id="190"/>
          </w:p>
        </w:tc>
        <w:tc>
          <w:tcPr>
            <w:tcW w:w="12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91" w:name="xdx_40A_eus-gaap--NetCashProvidedByUsedI"/>
            <w:bookmarkEnd w:id="191"/>
          </w:p>
        </w:tc>
      </w:tr>
      <w:tr>
        <w:trPr/>
        <w:tc>
          <w:tcPr>
            <w:tcW w:w="683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2" w:name="xdx_40D_eus-gaap--NetIncomeLoss_i01_maNC"/>
            <w:bookmarkEnd w:id="192"/>
          </w:p>
        </w:tc>
      </w:tr>
      <w:tr>
        <w:trPr/>
        <w:tc>
          <w:tcPr>
            <w:tcW w:w="68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(8,330</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(7,526</w:t>
            </w:r>
          </w:p>
        </w:tc>
        <w:tc>
          <w:tcPr>
            <w:tcW w:w="110" w:type="dxa"/>
            <w:tcBorders/>
            <w:shd w:fill="FFFFFF" w:val="clear"/>
            <w:vAlign w:val="center"/>
          </w:tcPr>
          <w:p>
            <w:pPr>
              <w:pStyle w:val="TableContents"/>
              <w:bidi w:val="0"/>
              <w:spacing w:before="0" w:after="283"/>
              <w:jc w:val="left"/>
              <w:rPr/>
            </w:pPr>
            <w:r>
              <w:rPr/>
              <w:t>)</w:t>
            </w:r>
            <w:bookmarkStart w:id="193" w:name="xdx_404_eus-gaap--AdjustmentsToReconcile"/>
            <w:bookmarkEnd w:id="193"/>
          </w:p>
        </w:tc>
      </w:tr>
      <w:tr>
        <w:trPr/>
        <w:tc>
          <w:tcPr>
            <w:tcW w:w="68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4" w:name="xdx_40F_eus-gaap--ShareBasedCompensation"/>
            <w:bookmarkEnd w:id="194"/>
          </w:p>
        </w:tc>
      </w:tr>
      <w:tr>
        <w:trPr/>
        <w:tc>
          <w:tcPr>
            <w:tcW w:w="683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1,791</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1,045</w:t>
            </w:r>
          </w:p>
        </w:tc>
        <w:tc>
          <w:tcPr>
            <w:tcW w:w="110" w:type="dxa"/>
            <w:tcBorders/>
            <w:shd w:fill="FFFFFF" w:val="clear"/>
            <w:vAlign w:val="center"/>
          </w:tcPr>
          <w:p>
            <w:pPr>
              <w:pStyle w:val="TableContents"/>
              <w:bidi w:val="0"/>
              <w:spacing w:before="0" w:after="283"/>
              <w:jc w:val="left"/>
              <w:rPr/>
            </w:pPr>
            <w:r>
              <w:rPr/>
              <w:t> </w:t>
            </w:r>
            <w:bookmarkStart w:id="195" w:name="xdx_408_eus-gaap--DepreciationAndAmortiz"/>
            <w:bookmarkEnd w:id="195"/>
          </w:p>
        </w:tc>
      </w:tr>
      <w:tr>
        <w:trPr/>
        <w:tc>
          <w:tcPr>
            <w:tcW w:w="6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27</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276</w:t>
            </w:r>
          </w:p>
        </w:tc>
        <w:tc>
          <w:tcPr>
            <w:tcW w:w="110" w:type="dxa"/>
            <w:tcBorders/>
            <w:shd w:fill="CCEEFF" w:val="clear"/>
            <w:vAlign w:val="center"/>
          </w:tcPr>
          <w:p>
            <w:pPr>
              <w:pStyle w:val="TableContents"/>
              <w:bidi w:val="0"/>
              <w:spacing w:before="0" w:after="283"/>
              <w:jc w:val="left"/>
              <w:rPr/>
            </w:pPr>
            <w:r>
              <w:rPr/>
              <w:t> </w:t>
            </w:r>
            <w:bookmarkStart w:id="196" w:name="xdx_400_eus-gaap--OperatingLeaseRightOfU"/>
            <w:bookmarkEnd w:id="196"/>
          </w:p>
        </w:tc>
      </w:tr>
      <w:tr>
        <w:trPr/>
        <w:tc>
          <w:tcPr>
            <w:tcW w:w="6830" w:type="dxa"/>
            <w:tcBorders/>
            <w:shd w:fill="FFFFFF" w:val="clear"/>
            <w:vAlign w:val="center"/>
          </w:tcPr>
          <w:p>
            <w:pPr>
              <w:pStyle w:val="TableContents"/>
              <w:bidi w:val="0"/>
              <w:spacing w:before="0" w:after="283"/>
              <w:jc w:val="left"/>
              <w:rPr/>
            </w:pPr>
            <w:r>
              <w:rPr/>
              <w:t>Amortization of right of use assets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53</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77</w:t>
            </w:r>
          </w:p>
        </w:tc>
        <w:tc>
          <w:tcPr>
            <w:tcW w:w="110" w:type="dxa"/>
            <w:tcBorders/>
            <w:shd w:fill="FFFFFF" w:val="clear"/>
            <w:vAlign w:val="center"/>
          </w:tcPr>
          <w:p>
            <w:pPr>
              <w:pStyle w:val="TableContents"/>
              <w:bidi w:val="0"/>
              <w:spacing w:before="0" w:after="283"/>
              <w:jc w:val="left"/>
              <w:rPr/>
            </w:pPr>
            <w:r>
              <w:rPr/>
              <w:t> </w:t>
            </w:r>
            <w:bookmarkStart w:id="197" w:name="xdx_40D_eus-gaap--AmortizationOfDebtDisc"/>
            <w:bookmarkEnd w:id="197"/>
          </w:p>
        </w:tc>
      </w:tr>
      <w:tr>
        <w:trPr/>
        <w:tc>
          <w:tcPr>
            <w:tcW w:w="6830"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161</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8" w:name="xdx_401_eus-gaap--InventoryWriteDown_i02"/>
            <w:bookmarkEnd w:id="198"/>
          </w:p>
        </w:tc>
      </w:tr>
      <w:tr>
        <w:trPr/>
        <w:tc>
          <w:tcPr>
            <w:tcW w:w="6830" w:type="dxa"/>
            <w:tcBorders/>
            <w:shd w:fill="FFFFFF" w:val="clear"/>
            <w:vAlign w:val="center"/>
          </w:tcPr>
          <w:p>
            <w:pPr>
              <w:pStyle w:val="TableContents"/>
              <w:bidi w:val="0"/>
              <w:spacing w:before="0" w:after="283"/>
              <w:jc w:val="left"/>
              <w:rPr/>
            </w:pPr>
            <w:r>
              <w:rPr/>
              <w:t>Inventory reserve charge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135</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9" w:name="xdx_404_eus-gaap--ProvisionForDoubtfulAc"/>
            <w:bookmarkEnd w:id="199"/>
          </w:p>
        </w:tc>
      </w:tr>
      <w:tr>
        <w:trPr/>
        <w:tc>
          <w:tcPr>
            <w:tcW w:w="6830" w:type="dxa"/>
            <w:tcBorders/>
            <w:shd w:fill="CCEEFF" w:val="clear"/>
            <w:vAlign w:val="center"/>
          </w:tcPr>
          <w:p>
            <w:pPr>
              <w:pStyle w:val="TableContents"/>
              <w:bidi w:val="0"/>
              <w:spacing w:before="0" w:after="283"/>
              <w:jc w:val="left"/>
              <w:rPr/>
            </w:pPr>
            <w:r>
              <w:rPr/>
              <w:t>Increase (decrease) in provision for credit losses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541</w:t>
            </w:r>
          </w:p>
        </w:tc>
        <w:tc>
          <w:tcPr>
            <w:tcW w:w="110" w:type="dxa"/>
            <w:tcBorders/>
            <w:shd w:fill="CCEEFF" w:val="clear"/>
            <w:vAlign w:val="center"/>
          </w:tcPr>
          <w:p>
            <w:pPr>
              <w:pStyle w:val="TableContents"/>
              <w:bidi w:val="0"/>
              <w:spacing w:before="0" w:after="283"/>
              <w:jc w:val="left"/>
              <w:rPr/>
            </w:pPr>
            <w:r>
              <w:rPr/>
              <w:t> </w:t>
            </w:r>
            <w:bookmarkStart w:id="200" w:name="xdx_406_eus-gaap--IncreaseDecreaseInOper"/>
            <w:bookmarkEnd w:id="200"/>
          </w:p>
        </w:tc>
      </w:tr>
      <w:tr>
        <w:trPr/>
        <w:tc>
          <w:tcPr>
            <w:tcW w:w="68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 w:name="xdx_403_eus-gaap--IncreaseDecreaseInAcco"/>
            <w:bookmarkEnd w:id="201"/>
          </w:p>
        </w:tc>
      </w:tr>
      <w:tr>
        <w:trPr/>
        <w:tc>
          <w:tcPr>
            <w:tcW w:w="683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109</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202" w:name="xdx_404_eus-gaap--IncreaseDecreaseInInve"/>
            <w:bookmarkEnd w:id="202"/>
          </w:p>
        </w:tc>
      </w:tr>
      <w:tr>
        <w:trPr/>
        <w:tc>
          <w:tcPr>
            <w:tcW w:w="68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(925</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249</w:t>
            </w:r>
          </w:p>
        </w:tc>
        <w:tc>
          <w:tcPr>
            <w:tcW w:w="110" w:type="dxa"/>
            <w:tcBorders/>
            <w:shd w:fill="FFFFFF" w:val="clear"/>
            <w:vAlign w:val="center"/>
          </w:tcPr>
          <w:p>
            <w:pPr>
              <w:pStyle w:val="TableContents"/>
              <w:bidi w:val="0"/>
              <w:spacing w:before="0" w:after="283"/>
              <w:jc w:val="left"/>
              <w:rPr/>
            </w:pPr>
            <w:r>
              <w:rPr/>
              <w:t> </w:t>
            </w:r>
            <w:bookmarkStart w:id="203" w:name="xdx_40F_eus-gaap--IncreaseDecreaseInPrep"/>
            <w:bookmarkEnd w:id="203"/>
          </w:p>
        </w:tc>
      </w:tr>
      <w:tr>
        <w:trPr/>
        <w:tc>
          <w:tcPr>
            <w:tcW w:w="683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632</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bookmarkStart w:id="204" w:name="xdx_403_eus-gaap--IncreaseDecreaseInAcco"/>
            <w:bookmarkEnd w:id="204"/>
          </w:p>
        </w:tc>
      </w:tr>
      <w:tr>
        <w:trPr/>
        <w:tc>
          <w:tcPr>
            <w:tcW w:w="68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(545</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714</w:t>
            </w:r>
          </w:p>
        </w:tc>
        <w:tc>
          <w:tcPr>
            <w:tcW w:w="110" w:type="dxa"/>
            <w:tcBorders/>
            <w:shd w:fill="FFFFFF" w:val="clear"/>
            <w:vAlign w:val="center"/>
          </w:tcPr>
          <w:p>
            <w:pPr>
              <w:pStyle w:val="TableContents"/>
              <w:bidi w:val="0"/>
              <w:spacing w:before="0" w:after="283"/>
              <w:jc w:val="left"/>
              <w:rPr/>
            </w:pPr>
            <w:r>
              <w:rPr/>
              <w:t> </w:t>
            </w:r>
            <w:bookmarkStart w:id="205" w:name="xdx_40B_eus-gaap--IncreaseDecreaseInAccr"/>
            <w:bookmarkEnd w:id="205"/>
          </w:p>
        </w:tc>
      </w:tr>
      <w:tr>
        <w:trPr/>
        <w:tc>
          <w:tcPr>
            <w:tcW w:w="6830" w:type="dxa"/>
            <w:tcBorders/>
            <w:shd w:fill="CCEEFF" w:val="clear"/>
            <w:vAlign w:val="center"/>
          </w:tcPr>
          <w:p>
            <w:pPr>
              <w:pStyle w:val="TableContents"/>
              <w:bidi w:val="0"/>
              <w:spacing w:before="0" w:after="283"/>
              <w:jc w:val="left"/>
              <w:rPr/>
            </w:pPr>
            <w:r>
              <w:rPr/>
              <w:t>Accrued expense and other current liabilities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368</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(428</w:t>
            </w:r>
          </w:p>
        </w:tc>
        <w:tc>
          <w:tcPr>
            <w:tcW w:w="110" w:type="dxa"/>
            <w:tcBorders/>
            <w:shd w:fill="CCEEFF" w:val="clear"/>
            <w:vAlign w:val="center"/>
          </w:tcPr>
          <w:p>
            <w:pPr>
              <w:pStyle w:val="TableContents"/>
              <w:bidi w:val="0"/>
              <w:spacing w:before="0" w:after="283"/>
              <w:jc w:val="left"/>
              <w:rPr/>
            </w:pPr>
            <w:r>
              <w:rPr/>
              <w:t>)</w:t>
            </w:r>
            <w:bookmarkStart w:id="206" w:name="xdx_40D_eus-gaap--IncreaseDecreaseInOthe"/>
            <w:bookmarkEnd w:id="206"/>
          </w:p>
        </w:tc>
      </w:tr>
      <w:tr>
        <w:trPr/>
        <w:tc>
          <w:tcPr>
            <w:tcW w:w="68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 </w:t>
            </w:r>
            <w:bookmarkStart w:id="207" w:name="xdx_402_eus-gaap--NetCashProvidedByUsedI"/>
            <w:bookmarkEnd w:id="207"/>
          </w:p>
        </w:tc>
      </w:tr>
      <w:tr>
        <w:trPr/>
        <w:tc>
          <w:tcPr>
            <w:tcW w:w="6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(6,526</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(4,978</w:t>
            </w:r>
          </w:p>
        </w:tc>
        <w:tc>
          <w:tcPr>
            <w:tcW w:w="110" w:type="dxa"/>
            <w:tcBorders/>
            <w:shd w:fill="CCEEFF" w:val="clear"/>
            <w:vAlign w:val="center"/>
          </w:tcPr>
          <w:p>
            <w:pPr>
              <w:pStyle w:val="TableContents"/>
              <w:bidi w:val="0"/>
              <w:spacing w:before="0" w:after="283"/>
              <w:jc w:val="left"/>
              <w:rPr/>
            </w:pPr>
            <w:r>
              <w:rPr/>
              <w:t>)</w:t>
            </w:r>
            <w:bookmarkStart w:id="208" w:name="xdx_40E_eus-gaap--NetCashProvidedByUsedI"/>
            <w:bookmarkEnd w:id="208"/>
          </w:p>
        </w:tc>
      </w:tr>
      <w:tr>
        <w:trPr/>
        <w:tc>
          <w:tcPr>
            <w:tcW w:w="683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 w:name="xdx_407_eus-gaap--PaymentsToAcquirePrope"/>
            <w:bookmarkEnd w:id="209"/>
          </w:p>
        </w:tc>
      </w:tr>
      <w:tr>
        <w:trPr/>
        <w:tc>
          <w:tcPr>
            <w:tcW w:w="683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bookmarkStart w:id="210" w:name="xdx_40E_ecustom--PaymentsForProceedsFrom"/>
            <w:bookmarkEnd w:id="210"/>
          </w:p>
        </w:tc>
      </w:tr>
      <w:tr>
        <w:trPr/>
        <w:tc>
          <w:tcPr>
            <w:tcW w:w="6830" w:type="dxa"/>
            <w:tcBorders/>
            <w:shd w:fill="FFFFFF" w:val="clear"/>
            <w:vAlign w:val="center"/>
          </w:tcPr>
          <w:p>
            <w:pPr>
              <w:pStyle w:val="TableContents"/>
              <w:bidi w:val="0"/>
              <w:spacing w:before="0" w:after="283"/>
              <w:jc w:val="left"/>
              <w:rPr/>
            </w:pPr>
            <w:r>
              <w:rPr/>
              <w:t>Sale of marketable securities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3,033</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4,747</w:t>
            </w:r>
          </w:p>
        </w:tc>
        <w:tc>
          <w:tcPr>
            <w:tcW w:w="110" w:type="dxa"/>
            <w:tcBorders/>
            <w:shd w:fill="FFFFFF" w:val="clear"/>
            <w:vAlign w:val="center"/>
          </w:tcPr>
          <w:p>
            <w:pPr>
              <w:pStyle w:val="TableContents"/>
              <w:bidi w:val="0"/>
              <w:spacing w:before="0" w:after="283"/>
              <w:jc w:val="left"/>
              <w:rPr/>
            </w:pPr>
            <w:r>
              <w:rPr/>
              <w:t> </w:t>
            </w:r>
            <w:bookmarkStart w:id="211" w:name="xdx_40C_eus-gaap--NetCashProvidedByUsedI"/>
            <w:bookmarkEnd w:id="211"/>
          </w:p>
        </w:tc>
      </w:tr>
      <w:tr>
        <w:trPr/>
        <w:tc>
          <w:tcPr>
            <w:tcW w:w="6830" w:type="dxa"/>
            <w:tcBorders/>
            <w:shd w:fill="CCEEFF" w:val="clear"/>
            <w:vAlign w:val="center"/>
          </w:tcPr>
          <w:p>
            <w:pPr>
              <w:pStyle w:val="TableContents"/>
              <w:bidi w:val="0"/>
              <w:spacing w:before="0" w:after="283"/>
              <w:jc w:val="left"/>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3,027</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4,685</w:t>
            </w:r>
          </w:p>
        </w:tc>
        <w:tc>
          <w:tcPr>
            <w:tcW w:w="110" w:type="dxa"/>
            <w:tcBorders/>
            <w:shd w:fill="CCEEFF" w:val="clear"/>
            <w:vAlign w:val="center"/>
          </w:tcPr>
          <w:p>
            <w:pPr>
              <w:pStyle w:val="TableContents"/>
              <w:bidi w:val="0"/>
              <w:spacing w:before="0" w:after="283"/>
              <w:jc w:val="left"/>
              <w:rPr/>
            </w:pPr>
            <w:r>
              <w:rPr/>
              <w:t> </w:t>
            </w:r>
            <w:bookmarkStart w:id="212" w:name="xdx_40F_eus-gaap--NetCashProvidedByUsedI"/>
            <w:bookmarkEnd w:id="212"/>
          </w:p>
        </w:tc>
      </w:tr>
      <w:tr>
        <w:trPr/>
        <w:tc>
          <w:tcPr>
            <w:tcW w:w="6830"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3" w:name="xdx_40E_eus-gaap--ProceedsFromWarrantExe"/>
            <w:bookmarkEnd w:id="213"/>
          </w:p>
        </w:tc>
      </w:tr>
      <w:tr>
        <w:trPr/>
        <w:tc>
          <w:tcPr>
            <w:tcW w:w="6830"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280</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214" w:name="xdx_400_eus-gaap--ProceedsFromStockOptio"/>
            <w:bookmarkEnd w:id="214"/>
          </w:p>
        </w:tc>
      </w:tr>
      <w:tr>
        <w:trPr/>
        <w:tc>
          <w:tcPr>
            <w:tcW w:w="6830" w:type="dxa"/>
            <w:tcBorders/>
            <w:shd w:fill="FFFFFF" w:val="clear"/>
            <w:vAlign w:val="center"/>
          </w:tcPr>
          <w:p>
            <w:pPr>
              <w:pStyle w:val="TableContents"/>
              <w:bidi w:val="0"/>
              <w:spacing w:before="0" w:after="283"/>
              <w:jc w:val="left"/>
              <w:rPr/>
            </w:pPr>
            <w:r>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826</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 </w:t>
            </w:r>
            <w:bookmarkStart w:id="215" w:name="xdx_40D_ecustom--ProceedsFromIssuanceOfE"/>
            <w:bookmarkEnd w:id="215"/>
          </w:p>
        </w:tc>
      </w:tr>
      <w:tr>
        <w:trPr/>
        <w:tc>
          <w:tcPr>
            <w:tcW w:w="6830" w:type="dxa"/>
            <w:tcBorders/>
            <w:shd w:fill="CCEEFF" w:val="clear"/>
            <w:vAlign w:val="center"/>
          </w:tcPr>
          <w:p>
            <w:pPr>
              <w:pStyle w:val="TableContents"/>
              <w:bidi w:val="0"/>
              <w:spacing w:before="0" w:after="283"/>
              <w:jc w:val="left"/>
              <w:rPr/>
            </w:pPr>
            <w:r>
              <w:rPr/>
              <w:t>Sale of common stock, net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3,868</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137</w:t>
            </w:r>
          </w:p>
        </w:tc>
        <w:tc>
          <w:tcPr>
            <w:tcW w:w="110" w:type="dxa"/>
            <w:tcBorders/>
            <w:shd w:fill="CCEEFF" w:val="clear"/>
            <w:vAlign w:val="center"/>
          </w:tcPr>
          <w:p>
            <w:pPr>
              <w:pStyle w:val="TableContents"/>
              <w:bidi w:val="0"/>
              <w:spacing w:before="0" w:after="283"/>
              <w:jc w:val="left"/>
              <w:rPr/>
            </w:pPr>
            <w:r>
              <w:rPr/>
              <w:t> </w:t>
            </w:r>
            <w:bookmarkStart w:id="216" w:name="xdx_40F_eus-gaap--NetCashProvidedByUsedI"/>
            <w:bookmarkEnd w:id="216"/>
          </w:p>
        </w:tc>
      </w:tr>
      <w:tr>
        <w:trPr/>
        <w:tc>
          <w:tcPr>
            <w:tcW w:w="68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4,974</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183</w:t>
            </w:r>
          </w:p>
        </w:tc>
        <w:tc>
          <w:tcPr>
            <w:tcW w:w="110" w:type="dxa"/>
            <w:tcBorders/>
            <w:shd w:fill="FFFFFF" w:val="clear"/>
            <w:vAlign w:val="center"/>
          </w:tcPr>
          <w:p>
            <w:pPr>
              <w:pStyle w:val="TableContents"/>
              <w:bidi w:val="0"/>
              <w:spacing w:before="0" w:after="283"/>
              <w:jc w:val="left"/>
              <w:rPr/>
            </w:pPr>
            <w:r>
              <w:rPr/>
              <w:t> </w:t>
            </w:r>
            <w:bookmarkStart w:id="217" w:name="xdx_404_eus-gaap--EffectOfExchangeRateOn"/>
            <w:bookmarkEnd w:id="217"/>
          </w:p>
        </w:tc>
      </w:tr>
      <w:tr>
        <w:trPr/>
        <w:tc>
          <w:tcPr>
            <w:tcW w:w="6830" w:type="dxa"/>
            <w:tcBorders/>
            <w:shd w:fill="CCEEFF" w:val="clear"/>
            <w:vAlign w:val="center"/>
          </w:tcPr>
          <w:p>
            <w:pPr>
              <w:pStyle w:val="TableContents"/>
              <w:bidi w:val="0"/>
              <w:spacing w:before="0" w:after="283"/>
              <w:jc w:val="left"/>
              <w:rPr/>
            </w:pPr>
            <w:r>
              <w:rPr/>
              <w:t>Effect of changes in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jc w:val="left"/>
              <w:rPr/>
            </w:pPr>
            <w:r>
              <w:rPr/>
              <w:t> </w:t>
            </w:r>
            <w:bookmarkStart w:id="218" w:name="xdx_40D_eus-gaap--CashCashEquivalentsRes"/>
            <w:bookmarkEnd w:id="218"/>
          </w:p>
        </w:tc>
      </w:tr>
      <w:tr>
        <w:trPr/>
        <w:tc>
          <w:tcPr>
            <w:tcW w:w="6830"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1,466</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(77</w:t>
            </w:r>
          </w:p>
        </w:tc>
        <w:tc>
          <w:tcPr>
            <w:tcW w:w="110" w:type="dxa"/>
            <w:tcBorders/>
            <w:shd w:fill="FFFFFF" w:val="clear"/>
            <w:vAlign w:val="center"/>
          </w:tcPr>
          <w:p>
            <w:pPr>
              <w:pStyle w:val="TableContents"/>
              <w:bidi w:val="0"/>
              <w:spacing w:before="0" w:after="283"/>
              <w:jc w:val="left"/>
              <w:rPr/>
            </w:pPr>
            <w:r>
              <w:rPr/>
              <w:t>)</w:t>
            </w:r>
            <w:bookmarkStart w:id="219" w:name="xdx_406_eus-gaap--CashCashEquivalentsRes"/>
            <w:bookmarkEnd w:id="219"/>
          </w:p>
        </w:tc>
      </w:tr>
      <w:tr>
        <w:trPr/>
        <w:tc>
          <w:tcPr>
            <w:tcW w:w="6830" w:type="dxa"/>
            <w:tcBorders/>
            <w:shd w:fill="CCEEFF" w:val="clear"/>
            <w:vAlign w:val="center"/>
          </w:tcPr>
          <w:p>
            <w:pPr>
              <w:pStyle w:val="TableContents"/>
              <w:bidi w:val="0"/>
              <w:spacing w:before="0" w:after="283"/>
              <w:jc w:val="left"/>
              <w:rPr/>
            </w:pPr>
            <w:r>
              <w:rPr/>
              <w:t>Cash and cash equivalents – beginning of year</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7,035</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3,700</w:t>
            </w:r>
          </w:p>
        </w:tc>
        <w:tc>
          <w:tcPr>
            <w:tcW w:w="110" w:type="dxa"/>
            <w:tcBorders/>
            <w:shd w:fill="CCEEFF" w:val="clear"/>
            <w:vAlign w:val="center"/>
          </w:tcPr>
          <w:p>
            <w:pPr>
              <w:pStyle w:val="TableContents"/>
              <w:bidi w:val="0"/>
              <w:spacing w:before="0" w:after="283"/>
              <w:jc w:val="left"/>
              <w:rPr/>
            </w:pPr>
            <w:r>
              <w:rPr/>
              <w:t> </w:t>
            </w:r>
            <w:bookmarkStart w:id="220" w:name="xdx_40A_eus-gaap--CashCashEquivalentsRes"/>
            <w:bookmarkEnd w:id="220"/>
          </w:p>
        </w:tc>
      </w:tr>
      <w:tr>
        <w:trPr/>
        <w:tc>
          <w:tcPr>
            <w:tcW w:w="6830" w:type="dxa"/>
            <w:tcBorders/>
            <w:shd w:fill="FFFFFF" w:val="clear"/>
            <w:vAlign w:val="center"/>
          </w:tcPr>
          <w:p>
            <w:pPr>
              <w:pStyle w:val="TableContents"/>
              <w:bidi w:val="0"/>
              <w:spacing w:before="0" w:after="283"/>
              <w:jc w:val="left"/>
              <w:rPr/>
            </w:pPr>
            <w:r>
              <w:rPr/>
              <w:t>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pPr>
            <w:r>
              <w:rPr/>
              <w:t>8,501</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pPr>
            <w:r>
              <w:rPr/>
              <w:t>3,623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1" w:name="xdx_407_eus-gaap--SupplementalCashFlowIn"/>
            <w:bookmarkEnd w:id="221"/>
          </w:p>
        </w:tc>
      </w:tr>
      <w:tr>
        <w:trPr/>
        <w:tc>
          <w:tcPr>
            <w:tcW w:w="6830" w:type="dxa"/>
            <w:tcBorders/>
            <w:shd w:fill="FFFFFF" w:val="clear"/>
            <w:vAlign w:val="center"/>
          </w:tcPr>
          <w:p>
            <w:pPr>
              <w:pStyle w:val="TableContents"/>
              <w:bidi w:val="0"/>
              <w:spacing w:before="0" w:after="283"/>
              <w:jc w:val="left"/>
              <w:rPr/>
            </w:pPr>
            <w:r>
              <w:rPr/>
              <w:t>Supplemental cash flows disclosures: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2" w:name="xdx_404_ecustom--ProceedsFromSaleOfState"/>
            <w:bookmarkEnd w:id="222"/>
          </w:p>
        </w:tc>
      </w:tr>
      <w:tr>
        <w:trPr/>
        <w:tc>
          <w:tcPr>
            <w:tcW w:w="6830" w:type="dxa"/>
            <w:tcBorders/>
            <w:shd w:fill="CCEEFF" w:val="clear"/>
            <w:vAlign w:val="center"/>
          </w:tcPr>
          <w:p>
            <w:pPr>
              <w:pStyle w:val="TableContents"/>
              <w:bidi w:val="0"/>
              <w:spacing w:before="0" w:after="283"/>
              <w:jc w:val="left"/>
              <w:rPr/>
            </w:pPr>
            <w:r>
              <w:rPr/>
              <w:t>Proceeds from sale of state net operating losses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321</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 </w:t>
            </w:r>
            <w:bookmarkStart w:id="223" w:name="xdx_40F_eus-gaap--InterestPaidNet_i01_zP"/>
            <w:bookmarkEnd w:id="223"/>
          </w:p>
        </w:tc>
      </w:tr>
      <w:tr>
        <w:trPr/>
        <w:tc>
          <w:tcPr>
            <w:tcW w:w="683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639</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bookmarkStart w:id="224" w:name="xdx_407_eus-gaap--NoncashInvestingAndFin"/>
            <w:bookmarkEnd w:id="224"/>
          </w:p>
        </w:tc>
      </w:tr>
      <w:tr>
        <w:trPr/>
        <w:tc>
          <w:tcPr>
            <w:tcW w:w="6830" w:type="dxa"/>
            <w:tcBorders/>
            <w:shd w:fill="CCEEFF" w:val="clear"/>
            <w:vAlign w:val="center"/>
          </w:tcPr>
          <w:p>
            <w:pPr>
              <w:pStyle w:val="TableContents"/>
              <w:bidi w:val="0"/>
              <w:spacing w:before="0" w:after="283"/>
              <w:jc w:val="left"/>
              <w:rPr/>
            </w:pPr>
            <w:r>
              <w:rPr/>
              <w:t>Supplemental schedule of noncash activity:</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5" w:name="xdx_400_ecustom--BonusesSettledThroughIs"/>
            <w:bookmarkEnd w:id="225"/>
          </w:p>
        </w:tc>
      </w:tr>
      <w:tr>
        <w:trPr/>
        <w:tc>
          <w:tcPr>
            <w:tcW w:w="6830" w:type="dxa"/>
            <w:tcBorders/>
            <w:shd w:fill="FFFFFF" w:val="clear"/>
            <w:vAlign w:val="center"/>
          </w:tcPr>
          <w:p>
            <w:pPr>
              <w:pStyle w:val="TableContents"/>
              <w:bidi w:val="0"/>
              <w:spacing w:before="0" w:after="283"/>
              <w:jc w:val="left"/>
              <w:rPr/>
            </w:pPr>
            <w:r>
              <w:rPr/>
              <w:t>Bonuses settled through the issuance of common stock</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562</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6" w:name="a_007"/>
      <w:bookmarkEnd w:id="226"/>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227" w:name="xdx_80A_eus-gaap--OrganizationConsolidat"/>
      <w:bookmarkEnd w:id="227"/>
      <w:r>
        <w:rPr>
          <w:rFonts w:ascii="Times New Roman;Times;Serif" w:hAnsi="Times New Roman;Times;Serif"/>
          <w:b/>
          <w:i w:val="false"/>
          <w:caps w:val="false"/>
          <w:smallCaps w:val="false"/>
          <w:sz w:val="20"/>
          <w:shd w:fill="FFFFFF" w:val="clear"/>
        </w:rPr>
        <w:t xml:space="preserve">Note 1. </w:t>
      </w:r>
      <w:bookmarkStart w:id="228" w:name="xdx_82E_zwl0ZhK65Ms8"/>
      <w:bookmarkEnd w:id="228"/>
      <w:r>
        <w:rPr>
          <w:rFonts w:ascii="Times New Roman;Times;Serif" w:hAnsi="Times New Roman;Times;Serif"/>
          <w:b/>
          <w:i w:val="false"/>
          <w:caps w:val="false"/>
          <w:smallCaps w:val="false"/>
          <w:sz w:val="20"/>
          <w:shd w:fill="FFFFFF" w:val="clear"/>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 and its subsidiaries (“electroCore” or the “Company”) is a bioelectronic technology company whose mission is to improve health and quality of life through innovative non-invasive, bioelectronic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electroCore, headquartered in Rockaway, NJ, has </w:t>
      </w:r>
      <w:bookmarkStart w:id="229" w:name="xdx_904_ecustom--NumberOfWhollyOwnedSubs"/>
      <w:bookmarkEnd w:id="229"/>
      <w:r>
        <w:rPr>
          <w:rFonts w:ascii="Times New Roman;Times;Serif" w:hAnsi="Times New Roman;Times;Serif"/>
          <w:b w:val="false"/>
          <w:i w:val="false"/>
          <w:caps w:val="false"/>
          <w:smallCaps w:val="false"/>
          <w:sz w:val="20"/>
        </w:rPr>
        <w:t>three wholly owned subsidiaries: electroCore U.K. Ltd, electroCore Germany GmbH and NeuroMetrix, Inc. (“NURO”). The Company acquired NURO on May 1, 2025. The Company has paused operations in Germany, with sales into the country and the rest of Europe being managed by electroCore U.K.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0" w:name="xdx_80B_eus-gaap--SignificantAccountingP"/>
      <w:bookmarkEnd w:id="230"/>
      <w:r>
        <w:rPr>
          <w:rFonts w:ascii="Times New Roman;Times;Serif" w:hAnsi="Times New Roman;Times;Serif"/>
          <w:b/>
          <w:i w:val="false"/>
          <w:caps w:val="false"/>
          <w:smallCaps w:val="false"/>
          <w:sz w:val="20"/>
        </w:rPr>
        <w:t xml:space="preserve">Note 2. </w:t>
      </w:r>
      <w:bookmarkStart w:id="231" w:name="xdx_824_zzSYIiKFVuv8"/>
      <w:bookmarkEnd w:id="231"/>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2" w:name="xdx_845_eus-gaap--BasisOfAccountingPolic"/>
      <w:bookmarkEnd w:id="232"/>
      <w:r>
        <w:rPr>
          <w:rFonts w:ascii="Times New Roman;Times;Serif" w:hAnsi="Times New Roman;Times;Serif"/>
          <w:b/>
          <w:i/>
          <w:caps w:val="false"/>
          <w:smallCaps w:val="false"/>
          <w:sz w:val="20"/>
        </w:rPr>
        <w:t xml:space="preserve">(a) </w:t>
      </w:r>
      <w:bookmarkStart w:id="233" w:name="xdx_866_zEGYPyH3sVXa"/>
      <w:bookmarkEnd w:id="233"/>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were prepared in conformity with accounting principles generally accepted in the United States of America (“U.S. GAAP”) and with instructions to Form 10-Q and Article 10 of Regulation S-X under the Securities Exchange Act of 1934, as amended. In the opinion of management, the Company has made all necessary adjustments, which include normal recurring adjustments necessary for a fair presentation of the Company’s condensed consolidated financial position and results of operations for the interim periods presented. Certain information and disclosures normally included in the annual consolidated financial statements prepared in accordance with U.S. GAAP have been condensed or omitted. These interim condensed consolidated financial statements should be read in conjunction with the audited consolidated financial statements and accompanying notes for the year ended December 31, 2025, included in the Company’s Annual Report on Form 10-K filed with the Securities and Exchange Commission on March 19, 2026. The results for the three and six months ended June 30, 2026, are not necessarily indicative of the results to be expected for a full year, 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4" w:name="xdx_848_eus-gaap--ConsolidationPolicyTex"/>
      <w:bookmarkEnd w:id="234"/>
      <w:r>
        <w:rPr>
          <w:rFonts w:ascii="Times New Roman;Times;Serif" w:hAnsi="Times New Roman;Times;Serif"/>
          <w:b/>
          <w:i/>
          <w:caps w:val="false"/>
          <w:smallCaps w:val="false"/>
          <w:sz w:val="20"/>
        </w:rPr>
        <w:t xml:space="preserve">(b) </w:t>
      </w:r>
      <w:bookmarkStart w:id="235" w:name="xdx_86C_ziSdkHiNqpal"/>
      <w:bookmarkEnd w:id="235"/>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electroCore and its wholly 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6" w:name="xdx_84A_eus-gaap--UseOfEstimates_zZzrkAf"/>
      <w:bookmarkEnd w:id="236"/>
      <w:r>
        <w:rPr>
          <w:rFonts w:ascii="Times New Roman;Times;Serif" w:hAnsi="Times New Roman;Times;Serif"/>
          <w:b/>
          <w:i/>
          <w:caps w:val="false"/>
          <w:smallCaps w:val="false"/>
          <w:sz w:val="20"/>
        </w:rPr>
        <w:t xml:space="preserve">(c) </w:t>
      </w:r>
      <w:bookmarkStart w:id="237" w:name="xdx_864_zjrcDM9ADkJf"/>
      <w:bookmarkEnd w:id="237"/>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revenue, licensed products and loss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8" w:name="xdx_841_eus-gaap--CashAndCashEquivalents"/>
      <w:bookmarkEnd w:id="238"/>
      <w:r>
        <w:rPr>
          <w:rFonts w:ascii="Times New Roman;Times;Serif" w:hAnsi="Times New Roman;Times;Serif"/>
          <w:b/>
          <w:i/>
          <w:caps w:val="false"/>
          <w:smallCaps w:val="false"/>
          <w:sz w:val="20"/>
        </w:rPr>
        <w:t xml:space="preserve">(d) </w:t>
      </w:r>
      <w:bookmarkStart w:id="239" w:name="xdx_86F_zFPdsFllyHSi"/>
      <w:bookmarkEnd w:id="239"/>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w:t>
      </w:r>
      <w:bookmarkStart w:id="240" w:name="xdx_905_eus-gaap--CashAndCashEquivalents"/>
      <w:bookmarkEnd w:id="240"/>
      <w:r>
        <w:rPr>
          <w:rFonts w:ascii="Times New Roman;Times;Serif" w:hAnsi="Times New Roman;Times;Serif"/>
          <w:b w:val="false"/>
          <w:i w:val="false"/>
          <w:caps w:val="false"/>
          <w:smallCaps w:val="false"/>
          <w:sz w:val="20"/>
        </w:rPr>
        <w:t>8.5 million include all highly liquid investments with an original maturity of six months or less when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equivalents represented funds held in an interest-bearing demand deposit account, U.S. treasury bills, and a money market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1" w:name="xdx_846_eus-gaap--MarketableSecuritiesPo"/>
      <w:bookmarkEnd w:id="241"/>
      <w:r>
        <w:rPr>
          <w:rFonts w:ascii="Times New Roman;Times;Serif" w:hAnsi="Times New Roman;Times;Serif"/>
          <w:b/>
          <w:i/>
          <w:caps w:val="false"/>
          <w:smallCaps w:val="false"/>
          <w:sz w:val="20"/>
        </w:rPr>
        <w:t xml:space="preserve">(e) </w:t>
      </w:r>
      <w:bookmarkStart w:id="242" w:name="xdx_862_z0n1NgNnvVH9"/>
      <w:bookmarkEnd w:id="242"/>
      <w:r>
        <w:rPr>
          <w:rFonts w:ascii="Times New Roman;Times;Serif" w:hAnsi="Times New Roman;Times;Serif"/>
          <w:b/>
          <w:i/>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carried at fair value, with unrealized gains and losses reported as accumulated other comprehensive income, except for losses from impairments which are determined to be other than temporary. Realized gains and losses and declines in value judged to be other-than-temporary are included in the determination of net loss and are included in interest and other income net. Fair values are based on quoted market prices at the reporting date. Interest and dividends on available-for-sale securities are included in Interest and other income. As of June 30, 2026, marketable securities amounted to $</w:t>
      </w:r>
      <w:bookmarkStart w:id="243" w:name="xdx_901_eus-gaap--MarketableSecuritiesCu"/>
      <w:bookmarkEnd w:id="243"/>
      <w:r>
        <w:rPr>
          <w:rFonts w:ascii="Times New Roman;Times;Serif" w:hAnsi="Times New Roman;Times;Serif"/>
          <w:b w:val="false"/>
          <w:i w:val="false"/>
          <w:caps w:val="false"/>
          <w:smallCaps w:val="false"/>
          <w:sz w:val="20"/>
        </w:rPr>
        <w:t>1.5 million and consisted of U.S. treasury bills. Unrealized gains or losses during 2026 and 2025 were not material.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4" w:name="xdx_84B_eus-gaap--NewAccountingPronounce"/>
      <w:bookmarkEnd w:id="244"/>
      <w:r>
        <w:rPr>
          <w:rFonts w:ascii="Times New Roman;Times;Serif" w:hAnsi="Times New Roman;Times;Serif"/>
          <w:b/>
          <w:i/>
          <w:caps w:val="false"/>
          <w:smallCaps w:val="false"/>
          <w:sz w:val="20"/>
        </w:rPr>
        <w:t xml:space="preserve">(f) </w:t>
      </w:r>
      <w:bookmarkStart w:id="245" w:name="xdx_866_zbFoXvgxGijd"/>
      <w:bookmarkEnd w:id="245"/>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Accounting Standards Update (ASU) No. 2024-03, </w:t>
      </w:r>
      <w:r>
        <w:rPr>
          <w:rFonts w:ascii="Times New Roman;Times;Serif" w:hAnsi="Times New Roman;Times;Serif"/>
          <w:b w:val="false"/>
          <w:i/>
          <w:caps w:val="false"/>
          <w:smallCaps w:val="false"/>
          <w:sz w:val="20"/>
        </w:rPr>
        <w:t>Income Statement (Topic 220): Reporting Comprehensive Income - Expense Disaggregation Disclosures, Disaggregation of Income Statement Expenses</w:t>
      </w:r>
      <w:r>
        <w:rPr>
          <w:rFonts w:ascii="Times New Roman;Times;Serif" w:hAnsi="Times New Roman;Times;Serif"/>
          <w:b w:val="false"/>
          <w:i w:val="false"/>
          <w:caps w:val="false"/>
          <w:smallCaps w:val="false"/>
          <w:sz w:val="20"/>
        </w:rPr>
        <w:t>, which requires public companies to disclose, in interim and annual reporting periods, additional information about certain expenses in the financial statements. The amendments in this pronouncement will be effective for annual periods beginning after December 15, 2026, and interim reporting periods beginning after December 15, 2027. Early adoption is permitted and is effective on either a prospective basis or retrospective basis. The Company is currently assessing the potential impacts of adoption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which provides a practical expedient for estimating expected credit losses for current accounts receivable and current contract assets that arise from transactions accounted for under Topic 606, Revenue from Contracts with Customers. ASU 2025-05 is effective for annual periods beginning after December 15, 2025 and interim periods within those annual reporting periods and should be applied prospectively, with early adoption permitted. The Company adopted this standard effective January 1, 2026 and have elected the practical expedient. This adoption did not materially affect the Company’s condensed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clarifies various topics in the Accounting Standards Codification to improve consistency and address technical corrections. Key improvements include clarifying the calculation of diluted earnings per share (EPS) when a loss from continuing operations exists. The amendments in this update are effective for the Company beginning January 1, 2027, with early adoption permitted. The Company is assessing the impact of adopting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Interim Reporting (Topic 270): Narrow Scope Improvements</w:t>
      </w:r>
      <w:r>
        <w:rPr>
          <w:rFonts w:ascii="Times New Roman;Times;Serif" w:hAnsi="Times New Roman;Times;Serif"/>
          <w:b w:val="false"/>
          <w:i w:val="false"/>
          <w:caps w:val="false"/>
          <w:smallCaps w:val="false"/>
          <w:sz w:val="20"/>
        </w:rPr>
        <w:t>. This update clarifies the applicability of interim reporting guidance and the form and content of interim financial statements. It also establishes a disclosure principle requiring an entity to disclose material events and changes occurring since the end of the last annual reporting period. ASU 2025-11 is effective for the Company for interim periods within annual reporting periods beginning after December 15, 2027, with early adoption permitted. The Company is assessing the impact of adopting this standard.</w:t>
      </w:r>
    </w:p>
    <w:p>
      <w:pPr>
        <w:pStyle w:val="TextBody"/>
        <w:bidi w:val="0"/>
        <w:spacing w:before="0" w:after="0"/>
        <w:ind w:left="0" w:right="0" w:hanging="0"/>
        <w:jc w:val="both"/>
        <w:rPr>
          <w:caps w:val="false"/>
          <w:smallCaps w:val="false"/>
        </w:rPr>
      </w:pPr>
      <w:bookmarkStart w:id="246" w:name="xdx_858_zPAceAobgsZb"/>
      <w:bookmarkEnd w:id="24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7" w:name="xdx_80B_ecustom--LiquidityCreditRisksAnd"/>
      <w:bookmarkEnd w:id="247"/>
      <w:r>
        <w:rPr>
          <w:rFonts w:ascii="Times New Roman;Times;Serif" w:hAnsi="Times New Roman;Times;Serif"/>
          <w:b/>
          <w:i w:val="false"/>
          <w:caps w:val="false"/>
          <w:smallCaps w:val="false"/>
          <w:sz w:val="20"/>
        </w:rPr>
        <w:t xml:space="preserve">Note 3. </w:t>
      </w:r>
      <w:bookmarkStart w:id="248" w:name="xdx_824_zEHP7yr88srh"/>
      <w:bookmarkEnd w:id="248"/>
      <w:r>
        <w:rPr>
          <w:rFonts w:ascii="Times New Roman;Times;Serif" w:hAnsi="Times New Roman;Times;Serif"/>
          <w:b/>
          <w:i w:val="false"/>
          <w:caps w:val="false"/>
          <w:smallCaps w:val="false"/>
          <w:sz w:val="20"/>
        </w:rPr>
        <w:t>Liquidity, Credit Risks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significant net losses, and it expects to continue to incur net losses for the near future as it works to increase market acceptance of its prescription (Rx) devices and general wellness and human performance products. The Company has never been profitable and has incurred net losses and negative cash used in operations each year since its inception. The Company incurred net losses of $</w:t>
      </w:r>
      <w:bookmarkStart w:id="249" w:name="xdx_90C_eus-gaap--NetIncomeLoss_iN_pn5n6"/>
      <w:bookmarkEnd w:id="249"/>
      <w:r>
        <w:rPr>
          <w:rFonts w:ascii="Times New Roman;Times;Serif" w:hAnsi="Times New Roman;Times;Serif"/>
          <w:b w:val="false"/>
          <w:i w:val="false"/>
          <w:caps w:val="false"/>
          <w:smallCaps w:val="false"/>
          <w:sz w:val="20"/>
        </w:rPr>
        <w:t>8.3 million and $</w:t>
      </w:r>
      <w:bookmarkStart w:id="250" w:name="xdx_904_eus-gaap--NetIncomeLoss_iN_pn5n6"/>
      <w:bookmarkEnd w:id="250"/>
      <w:r>
        <w:rPr>
          <w:rFonts w:ascii="Times New Roman;Times;Serif" w:hAnsi="Times New Roman;Times;Serif"/>
          <w:b w:val="false"/>
          <w:i w:val="false"/>
          <w:caps w:val="false"/>
          <w:smallCaps w:val="false"/>
          <w:sz w:val="20"/>
        </w:rPr>
        <w:t>7.5 million and used cash in its operations of $</w:t>
      </w:r>
      <w:bookmarkStart w:id="251" w:name="xdx_90A_eus-gaap--NetCashProvidedByUsedI"/>
      <w:bookmarkEnd w:id="251"/>
      <w:r>
        <w:rPr>
          <w:rFonts w:ascii="Times New Roman;Times;Serif" w:hAnsi="Times New Roman;Times;Serif"/>
          <w:b w:val="false"/>
          <w:i w:val="false"/>
          <w:caps w:val="false"/>
          <w:smallCaps w:val="false"/>
          <w:sz w:val="20"/>
        </w:rPr>
        <w:t>6.5 million and $</w:t>
      </w:r>
      <w:bookmarkStart w:id="252" w:name="xdx_908_eus-gaap--NetCashProvidedByUsedI"/>
      <w:bookmarkEnd w:id="252"/>
      <w:r>
        <w:rPr>
          <w:rFonts w:ascii="Times New Roman;Times;Serif" w:hAnsi="Times New Roman;Times;Serif"/>
          <w:b w:val="false"/>
          <w:i w:val="false"/>
          <w:caps w:val="false"/>
          <w:smallCaps w:val="false"/>
          <w:sz w:val="20"/>
        </w:rPr>
        <w:t>5.0 million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funded its operations with the proceeds of equity and debt financings. During the three and six months ended June 30, 2026, the Company received net proceeds of approximately $</w:t>
      </w:r>
      <w:bookmarkStart w:id="253" w:name="xdx_900_eus-gaap--SaleOfStockConsiderati"/>
      <w:bookmarkEnd w:id="253"/>
      <w:r>
        <w:rPr>
          <w:rFonts w:ascii="Times New Roman;Times;Serif" w:hAnsi="Times New Roman;Times;Serif"/>
          <w:b w:val="false"/>
          <w:i w:val="false"/>
          <w:caps w:val="false"/>
          <w:smallCaps w:val="false"/>
          <w:sz w:val="20"/>
        </w:rPr>
        <w:t>4.8 million and $</w:t>
      </w:r>
      <w:bookmarkStart w:id="254" w:name="xdx_906_eus-gaap--SaleOfStockConsiderati"/>
      <w:bookmarkEnd w:id="254"/>
      <w:r>
        <w:rPr>
          <w:rFonts w:ascii="Times New Roman;Times;Serif" w:hAnsi="Times New Roman;Times;Serif"/>
          <w:b w:val="false"/>
          <w:i w:val="false"/>
          <w:caps w:val="false"/>
          <w:smallCaps w:val="false"/>
          <w:sz w:val="20"/>
        </w:rPr>
        <w:t>5.0 million, respectively, from the exercise of warrants and options, and usage of our Sales Agreement (as defined below). As of June 30, 2026, the Company’s cash, cash equivalents and marketable securities totalled $</w:t>
      </w:r>
      <w:bookmarkStart w:id="255" w:name="xdx_90F_eus-gaap--CashCashEquivalentsAnd"/>
      <w:bookmarkEnd w:id="255"/>
      <w:r>
        <w:rPr>
          <w:rFonts w:ascii="Times New Roman;Times;Serif" w:hAnsi="Times New Roman;Times;Serif"/>
          <w:b w:val="false"/>
          <w:i w:val="false"/>
          <w:caps w:val="false"/>
          <w:smallCaps w:val="false"/>
          <w:sz w:val="20"/>
        </w:rPr>
        <w:t>10.0 million (“Cash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our Form S-3 registration statement (File No. 333-284477), or the 2025 Shelf Registration Statement, was declared effective by the SEC. The 2025 Shelf Registration Statement relates to the potential offering and issuance from time to time of common stock, preferred stock, warrants, rights, debt securities and units, up to an aggregate amount of $</w:t>
      </w:r>
      <w:bookmarkStart w:id="256" w:name="xdx_906_ecustom--PotentialCashInflowsFro"/>
      <w:bookmarkEnd w:id="256"/>
      <w:r>
        <w:rPr>
          <w:rFonts w:ascii="Times New Roman;Times;Serif" w:hAnsi="Times New Roman;Times;Serif"/>
          <w:b w:val="false"/>
          <w:i w:val="false"/>
          <w:caps w:val="false"/>
          <w:smallCaps w:val="false"/>
          <w:sz w:val="20"/>
        </w:rPr>
        <w:t>100.0 million. The proposed maximum offering price per unit and the proposed maximum aggregate offering price per class of security in any future offering under the 2025 Shelf Registration Statement will be determined from time to time by us in connection with the issuance by us of the securities registered under the 2025 Shelf Registration Statement. As of July 31, 2026, we have $</w:t>
      </w:r>
      <w:bookmarkStart w:id="257" w:name="xdx_90D_ecustom--PotentialCashInflowsFro"/>
      <w:bookmarkEnd w:id="257"/>
      <w:r>
        <w:rPr>
          <w:rFonts w:ascii="Times New Roman;Times;Serif" w:hAnsi="Times New Roman;Times;Serif"/>
          <w:b w:val="false"/>
          <w:i w:val="false"/>
          <w:caps w:val="false"/>
          <w:smallCaps w:val="false"/>
          <w:sz w:val="20"/>
        </w:rPr>
        <w:t>95.9 million remaining for potential issuance under the 2025 Shelf Registration Statement (including $</w:t>
      </w:r>
      <w:bookmarkStart w:id="258" w:name="xdx_909_ecustom--RemainingValueAvailable"/>
      <w:bookmarkEnd w:id="258"/>
      <w:r>
        <w:rPr>
          <w:rFonts w:ascii="Times New Roman;Times;Serif" w:hAnsi="Times New Roman;Times;Serif"/>
          <w:b w:val="false"/>
          <w:i w:val="false"/>
          <w:caps w:val="false"/>
          <w:smallCaps w:val="false"/>
          <w:sz w:val="20"/>
        </w:rPr>
        <w:t>15.7 million under the Sales Agreement (as defined below)). If we raise additional funds by issuing equity or debt securities, either through the sale of securities pursuant to a registration statement or by other means, our existing stockholders may experience dilution, and the new equity or debt securities may have rights, preferences and privileges senior to those of our existing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we entered into an At The Market Offering Agreement (the “Sales Agreement”) with H.C. Wainwright &amp; Co., LLC (“Wainwright”), whereby the Company may offer and sell shares of its common stock from time to time having an aggregate offering price of up to $</w:t>
      </w:r>
      <w:bookmarkStart w:id="259" w:name="xdx_90F_eus-gaap--ProceedsFromIssuanceOf"/>
      <w:bookmarkEnd w:id="259"/>
      <w:r>
        <w:rPr>
          <w:rFonts w:ascii="Times New Roman;Times;Serif" w:hAnsi="Times New Roman;Times;Serif"/>
          <w:b w:val="false"/>
          <w:i w:val="false"/>
          <w:caps w:val="false"/>
          <w:smallCaps w:val="false"/>
          <w:sz w:val="20"/>
        </w:rPr>
        <w:t xml:space="preserve">20.0 million by any method deemed to be an “at-the-market” offering (“ATM”) as defined in Rule 415 of the Securities Act, or any other method specified in the Sales Agreement. For the three and six months ended June 30, 2026, the Company sold </w:t>
      </w:r>
      <w:bookmarkStart w:id="260" w:name="xdx_909_eus-gaap--SaleOfStockNumberOfSha"/>
      <w:bookmarkEnd w:id="260"/>
      <w:r>
        <w:rPr>
          <w:rFonts w:ascii="Times New Roman;Times;Serif" w:hAnsi="Times New Roman;Times;Serif"/>
          <w:b w:val="false"/>
          <w:i w:val="false"/>
          <w:caps w:val="false"/>
          <w:smallCaps w:val="false"/>
          <w:sz w:val="20"/>
        </w:rPr>
        <w:t>494,601 shares of its common stock at a weighted average price of $</w:t>
      </w:r>
      <w:bookmarkStart w:id="261" w:name="xdx_90C_eus-gaap--SaleOfStockPricePerSha"/>
      <w:bookmarkEnd w:id="261"/>
      <w:r>
        <w:rPr>
          <w:rFonts w:ascii="Times New Roman;Times;Serif" w:hAnsi="Times New Roman;Times;Serif"/>
          <w:b w:val="false"/>
          <w:i w:val="false"/>
          <w:caps w:val="false"/>
          <w:smallCaps w:val="false"/>
          <w:sz w:val="20"/>
        </w:rPr>
        <w:t>8.17 per share, net of issuance costs for approximately $</w:t>
      </w:r>
      <w:bookmarkStart w:id="262" w:name="xdx_904_ecustom--ProceedsFromIssuanceOfE"/>
      <w:bookmarkEnd w:id="262"/>
      <w:r>
        <w:rPr>
          <w:rFonts w:ascii="Times New Roman;Times;Serif" w:hAnsi="Times New Roman;Times;Serif"/>
          <w:b w:val="false"/>
          <w:i w:val="false"/>
          <w:caps w:val="false"/>
          <w:smallCaps w:val="false"/>
          <w:sz w:val="20"/>
        </w:rPr>
        <w:t xml:space="preserve">3.9 million in net proceeds, pursuant to the Sales Agreement. No sales were made pursuant to the Sales Agreement during the three months ended March 31, 2026. Subsequent to June 30, 2026, the Company sold </w:t>
      </w:r>
      <w:bookmarkStart w:id="263" w:name="xdx_90D_eus-gaap--SaleOfStockNumberOfSha"/>
      <w:bookmarkEnd w:id="263"/>
      <w:r>
        <w:rPr>
          <w:rFonts w:ascii="Times New Roman;Times;Serif" w:hAnsi="Times New Roman;Times;Serif"/>
          <w:b w:val="false"/>
          <w:i w:val="false"/>
          <w:caps w:val="false"/>
          <w:smallCaps w:val="false"/>
          <w:sz w:val="20"/>
        </w:rPr>
        <w:t>10,745 shares of its common stock at a weighted average price of $</w:t>
      </w:r>
      <w:bookmarkStart w:id="264" w:name="xdx_906_eus-gaap--SaleOfStockPricePerSha"/>
      <w:bookmarkEnd w:id="264"/>
      <w:r>
        <w:rPr>
          <w:rFonts w:ascii="Times New Roman;Times;Serif" w:hAnsi="Times New Roman;Times;Serif"/>
          <w:b w:val="false"/>
          <w:i w:val="false"/>
          <w:caps w:val="false"/>
          <w:smallCaps w:val="false"/>
          <w:sz w:val="20"/>
        </w:rPr>
        <w:t>8.35 per share, net of issuance costs, for approximately $</w:t>
      </w:r>
      <w:bookmarkStart w:id="265" w:name="xdx_90C_eus-gaap--ProceedsFromIssuanceOr"/>
      <w:bookmarkEnd w:id="265"/>
      <w:r>
        <w:rPr>
          <w:rFonts w:ascii="Times New Roman;Times;Serif" w:hAnsi="Times New Roman;Times;Serif"/>
          <w:b w:val="false"/>
          <w:i w:val="false"/>
          <w:caps w:val="false"/>
          <w:smallCaps w:val="false"/>
          <w:sz w:val="20"/>
        </w:rPr>
        <w:t>86,200 in net proceeds, pursuant 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“LSA Closing Date”), we, and our wholly owned subsidiary, NURO, each as borrowers, entered into a Loan and Security Agreement (the “Loan and Security Agreement”), with Avenue Opportunities Fund II, L.P. (“Avenue”). The Loan and Security Agreement provided for term loans in an aggregate principal amount of up to $</w:t>
      </w:r>
      <w:bookmarkStart w:id="266" w:name="xdx_905_ecustom--DebtInstrumentOriginalA"/>
      <w:bookmarkEnd w:id="266"/>
      <w:r>
        <w:rPr>
          <w:rFonts w:ascii="Times New Roman;Times;Serif" w:hAnsi="Times New Roman;Times;Serif"/>
          <w:b w:val="false"/>
          <w:i w:val="false"/>
          <w:caps w:val="false"/>
          <w:smallCaps w:val="false"/>
          <w:sz w:val="20"/>
        </w:rPr>
        <w:t>12.0 million, of which $</w:t>
      </w:r>
      <w:bookmarkStart w:id="267" w:name="xdx_900_eus-gaap--DebtInstrumentIssuedPr"/>
      <w:bookmarkEnd w:id="267"/>
      <w:r>
        <w:rPr>
          <w:rFonts w:ascii="Times New Roman;Times;Serif" w:hAnsi="Times New Roman;Times;Serif"/>
          <w:b w:val="false"/>
          <w:i w:val="false"/>
          <w:caps w:val="false"/>
          <w:smallCaps w:val="false"/>
          <w:sz w:val="20"/>
        </w:rPr>
        <w:t>7.5 million was advanced on the LSA Closing Date and the remaining availability expired on December 31, 2025. See “Note 9 – Long-Term Debt” for further information regarding the Loan and Security Agreement,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remainder of 2026, we intend to continue to make targeted investments in sales, marketing, and research and development to continue driving commercial activities. We have historically funded our operations from the sale of our common stock and debt financing and may continue to do so through utilization of the at-the-market facility pursuant to the Sales Agreement, or other equity or debt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expected cash flow from operations and expected access to capital from existing and/or future debt and equity sources, the Company’s currently forecasted cash is less than the requirements to fund its operating expenses and capital expenditure requirements, as currently planned, for at least the next 12 months from the date the accompanying condensed consolidated financial statements are issued. These factors raise substantial doubt regarding the Company’s ability to continue as a going concern. There remain significant risks and uncertainties regarding the Company’s business, financial condition and results of operations. Due to these risks and uncertainties, there can be no assurance that we will have sufficient cash flow and liquidity to fund our planned activities, which could force us to significantly reduce or curtail our activities and, ultimately, potentially cease operations. The accompanying condensed consolidated financial statements do not include any adjustment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Revenue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earns a significant amount of its revenue in the United States from the United States Department of Veterans Affairs, or VA, channel pursuant to its qualifying contract under the Federal Supply Schedule, or FSS, and open market sales to individual VA facilities. For the three months ended June 30, 2026 and 2025, sales to the VA accounted for </w:t>
      </w:r>
      <w:bookmarkStart w:id="268" w:name="xdx_905_eus-gaap--ConcentrationRiskPerce"/>
      <w:bookmarkEnd w:id="268"/>
      <w:r>
        <w:rPr>
          <w:rFonts w:ascii="Times New Roman;Times;Serif" w:hAnsi="Times New Roman;Times;Serif"/>
          <w:b w:val="false"/>
          <w:i w:val="false"/>
          <w:caps w:val="false"/>
          <w:smallCaps w:val="false"/>
          <w:sz w:val="20"/>
        </w:rPr>
        <w:t xml:space="preserve">75.8% and </w:t>
      </w:r>
      <w:bookmarkStart w:id="269" w:name="xdx_902_eus-gaap--ConcentrationRiskPerce"/>
      <w:bookmarkEnd w:id="269"/>
      <w:r>
        <w:rPr>
          <w:rFonts w:ascii="Times New Roman;Times;Serif" w:hAnsi="Times New Roman;Times;Serif"/>
          <w:b w:val="false"/>
          <w:i w:val="false"/>
          <w:caps w:val="false"/>
          <w:smallCaps w:val="false"/>
          <w:sz w:val="20"/>
        </w:rPr>
        <w:t xml:space="preserve">71.8%, respectively. For the six months ended June 30, 2026 and 2025, the VA accounted for </w:t>
      </w:r>
      <w:bookmarkStart w:id="270" w:name="xdx_90C_eus-gaap--ConcentrationRiskPerce"/>
      <w:bookmarkEnd w:id="270"/>
      <w:r>
        <w:rPr>
          <w:rFonts w:ascii="Times New Roman;Times;Serif" w:hAnsi="Times New Roman;Times;Serif"/>
          <w:b w:val="false"/>
          <w:i w:val="false"/>
          <w:caps w:val="false"/>
          <w:smallCaps w:val="false"/>
          <w:sz w:val="20"/>
        </w:rPr>
        <w:t xml:space="preserve">75.3% and </w:t>
      </w:r>
      <w:bookmarkStart w:id="271" w:name="xdx_90C_eus-gaap--ConcentrationRiskPerce"/>
      <w:bookmarkEnd w:id="271"/>
      <w:r>
        <w:rPr>
          <w:rFonts w:ascii="Times New Roman;Times;Serif" w:hAnsi="Times New Roman;Times;Serif"/>
          <w:b w:val="false"/>
          <w:i w:val="false"/>
          <w:caps w:val="false"/>
          <w:smallCaps w:val="false"/>
          <w:sz w:val="20"/>
        </w:rPr>
        <w:t>71.1% of net sales,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sales through our non-exclusive distribution agreement with Lovell Government Services, or Lovell, accounted for more than 10% of our VA net sales. As of June 30, 2026 and December 31, 2025, Lovell and one of our customers in the United Kingdom accounted for more than 10% of our accounts receivable, respectively. During the three and six months ended June 30, 2026 and 2025, sales associated with no single facility accounted for more than 10% of the total VA net sales. Lovell is a Service-Disabled Veteran-Owned Small Business (SDVOSB) offering medical and pharmaceutical goods and services to federal healthcare providers. During the three and six months ended June 30, 2026 and 2025, one facility accounted for more than 10% of net sales from the United Kingdom National Health Service (“NHS”). During the remainder of 2026, we intend to generate the majority of sales in the VA channel through our agreement with Lovell.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foreign currency exchange risks related to revenue and operating expenses in currencies other than the local currencies in which it operates. The Company is exposed to currency risk from the potential changes in the functional currency values of its assets, liabilities, and cash flows denominated in foreign currencies.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2" w:name="xdx_80B_eus-gaap--RevenueFromContractWit"/>
      <w:bookmarkEnd w:id="272"/>
      <w:r>
        <w:rPr>
          <w:rFonts w:ascii="Times New Roman;Times;Serif" w:hAnsi="Times New Roman;Times;Serif"/>
          <w:b/>
          <w:i w:val="false"/>
          <w:caps w:val="false"/>
          <w:smallCaps w:val="false"/>
          <w:sz w:val="20"/>
        </w:rPr>
        <w:t xml:space="preserve">Note 4. </w:t>
      </w:r>
      <w:bookmarkStart w:id="273" w:name="xdx_825_zuWYBE1SQwMg"/>
      <w:bookmarkEnd w:id="273"/>
      <w:r>
        <w:rPr>
          <w:rFonts w:ascii="Times New Roman;Times;Serif" w:hAnsi="Times New Roman;Times;Serif"/>
          <w:b/>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74" w:name="xdx_893_eus-gaap--DisaggregationOfRevenu"/>
      <w:bookmarkEnd w:id="274"/>
      <w:r>
        <w:rPr>
          <w:rFonts w:ascii="Times New Roman;Times;Serif" w:hAnsi="Times New Roman;Times;Serif"/>
          <w:b w:val="false"/>
          <w:i w:val="false"/>
          <w:caps w:val="false"/>
          <w:smallCaps w:val="false"/>
          <w:sz w:val="20"/>
        </w:rPr>
        <w:t>The following tables present product net sales disaggregated by Channel and Geographic Market (in thousands):</w:t>
      </w:r>
    </w:p>
    <w:p>
      <w:pPr>
        <w:pStyle w:val="TextBody"/>
        <w:bidi w:val="0"/>
        <w:spacing w:before="0" w:after="0"/>
        <w:ind w:left="0" w:right="0" w:hanging="0"/>
        <w:jc w:val="left"/>
        <w:rPr>
          <w:caps w:val="false"/>
          <w:smallCaps w:val="false"/>
        </w:rPr>
      </w:pPr>
      <w:r>
        <w:rPr>
          <w:caps w:val="false"/>
          <w:smallCaps w:val="false"/>
        </w:rPr>
        <w:t> </w:t>
      </w:r>
      <w:bookmarkStart w:id="275" w:name="xdx_8B1_zbgk93vDSUHg"/>
      <w:bookmarkEnd w:id="275"/>
      <w:r>
        <w:rPr>
          <w:rFonts w:ascii="Times New Roman;Times;Serif" w:hAnsi="Times New Roman;Times;Serif"/>
          <w:b w:val="false"/>
          <w:i w:val="false"/>
          <w:caps w:val="false"/>
          <w:smallCaps w:val="false"/>
          <w:sz w:val="20"/>
        </w:rPr>
        <w:t>Schedule of Net Sales Disaggregated By Channel</w:t>
      </w:r>
    </w:p>
    <w:tbl>
      <w:tblPr>
        <w:tblW w:w="5602" w:type="dxa"/>
        <w:jc w:val="left"/>
        <w:tblInd w:w="0" w:type="dxa"/>
        <w:tblLayout w:type="fixed"/>
        <w:tblCellMar>
          <w:top w:w="0" w:type="dxa"/>
          <w:left w:w="0" w:type="dxa"/>
          <w:bottom w:w="28" w:type="dxa"/>
          <w:right w:w="0" w:type="dxa"/>
        </w:tblCellMar>
      </w:tblPr>
      <w:tblGrid>
        <w:gridCol w:w="2435"/>
        <w:gridCol w:w="60"/>
        <w:gridCol w:w="279"/>
        <w:gridCol w:w="1118"/>
        <w:gridCol w:w="119"/>
        <w:gridCol w:w="119"/>
        <w:gridCol w:w="279"/>
        <w:gridCol w:w="1118"/>
        <w:gridCol w:w="75"/>
      </w:tblGrid>
      <w:tr>
        <w:trPr/>
        <w:tc>
          <w:tcPr>
            <w:tcW w:w="24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Channel:</w:t>
            </w:r>
          </w:p>
        </w:tc>
        <w:tc>
          <w:tcPr>
            <w:tcW w:w="60" w:type="dxa"/>
            <w:tcBorders/>
            <w:tcMar>
              <w:bottom w:w="0" w:type="dxa"/>
            </w:tcMar>
            <w:vAlign w:val="center"/>
          </w:tcPr>
          <w:p>
            <w:pPr>
              <w:pStyle w:val="TableContents"/>
              <w:bidi w:val="0"/>
              <w:spacing w:before="0" w:after="283"/>
              <w:jc w:val="left"/>
              <w:rPr/>
            </w:pPr>
            <w:r>
              <w:rPr/>
              <w:t> </w:t>
            </w:r>
            <w:bookmarkStart w:id="276" w:name="xdx_497_20260401__20260630_zGkfwbKKtfh8"/>
            <w:bookmarkEnd w:id="276"/>
          </w:p>
        </w:tc>
        <w:tc>
          <w:tcPr>
            <w:tcW w:w="13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9"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bookmarkStart w:id="277" w:name="xdx_49C_20250401__20250630_zoNSglLzoGBg"/>
            <w:bookmarkEnd w:id="277"/>
          </w:p>
        </w:tc>
        <w:tc>
          <w:tcPr>
            <w:tcW w:w="13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2" w:type="dxa"/>
            <w:gridSpan w:val="6"/>
            <w:tcBorders>
              <w:bottom w:val="single" w:sz="8" w:space="0" w:color="000000"/>
            </w:tcBorders>
            <w:vAlign w:val="center"/>
          </w:tcPr>
          <w:p>
            <w:pPr>
              <w:pStyle w:val="TableContents"/>
              <w:bidi w:val="0"/>
              <w:spacing w:before="0" w:after="283"/>
              <w:jc w:val="center"/>
              <w:rPr>
                <w:b/>
              </w:rPr>
            </w:pPr>
            <w:r>
              <w:rPr>
                <w:b/>
              </w:rPr>
              <w:t>Three months ended June 30,</w:t>
            </w:r>
          </w:p>
        </w:tc>
        <w:tc>
          <w:tcPr>
            <w:tcW w:w="75"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8" w:space="0" w:color="000000"/>
            </w:tcBorders>
            <w:vAlign w:val="center"/>
          </w:tcPr>
          <w:p>
            <w:pPr>
              <w:pStyle w:val="TableContents"/>
              <w:bidi w:val="0"/>
              <w:spacing w:before="0" w:after="283"/>
              <w:jc w:val="left"/>
              <w:rPr>
                <w:b/>
              </w:rPr>
            </w:pPr>
            <w:r>
              <w:rPr>
                <w:b/>
              </w:rPr>
              <w:t>Channel:</w:t>
            </w:r>
          </w:p>
        </w:tc>
        <w:tc>
          <w:tcPr>
            <w:tcW w:w="60" w:type="dxa"/>
            <w:tcBorders/>
            <w:tcMar>
              <w:bottom w:w="0" w:type="dxa"/>
            </w:tcMar>
            <w:vAlign w:val="center"/>
          </w:tcPr>
          <w:p>
            <w:pPr>
              <w:pStyle w:val="TableContents"/>
              <w:bidi w:val="0"/>
              <w:spacing w:before="0" w:after="283"/>
              <w:jc w:val="left"/>
              <w:rPr/>
            </w:pPr>
            <w:r>
              <w:rPr/>
              <w:t> </w:t>
            </w:r>
          </w:p>
        </w:tc>
        <w:tc>
          <w:tcPr>
            <w:tcW w:w="1397" w:type="dxa"/>
            <w:gridSpan w:val="2"/>
            <w:tcBorders>
              <w:bottom w:val="single" w:sz="8" w:space="0" w:color="000000"/>
            </w:tcBorders>
            <w:vAlign w:val="center"/>
          </w:tcPr>
          <w:p>
            <w:pPr>
              <w:pStyle w:val="TableContents"/>
              <w:bidi w:val="0"/>
              <w:spacing w:before="0" w:after="283"/>
              <w:jc w:val="center"/>
              <w:rPr>
                <w:b/>
              </w:rPr>
            </w:pPr>
            <w:r>
              <w:rPr>
                <w:b/>
              </w:rPr>
              <w:t>2026</w:t>
            </w:r>
          </w:p>
        </w:tc>
        <w:tc>
          <w:tcPr>
            <w:tcW w:w="119"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397"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bookmarkStart w:id="278" w:name="xdx_40C_eus-gaap--RevenueFromContractWit"/>
            <w:bookmarkEnd w:id="278"/>
          </w:p>
        </w:tc>
      </w:tr>
      <w:tr>
        <w:trPr/>
        <w:tc>
          <w:tcPr>
            <w:tcW w:w="2435" w:type="dxa"/>
            <w:tcBorders/>
            <w:shd w:fill="CCEEFF" w:val="clear"/>
            <w:tcMar>
              <w:bottom w:w="0" w:type="dxa"/>
            </w:tcMar>
            <w:vAlign w:val="center"/>
          </w:tcPr>
          <w:p>
            <w:pPr>
              <w:pStyle w:val="TableContents"/>
              <w:bidi w:val="0"/>
              <w:spacing w:before="0" w:after="283"/>
              <w:jc w:val="left"/>
              <w:rPr/>
            </w:pPr>
            <w:r>
              <w:rPr/>
              <w:t>United States – Rx</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w:t>
            </w:r>
          </w:p>
        </w:tc>
        <w:tc>
          <w:tcPr>
            <w:tcW w:w="1118" w:type="dxa"/>
            <w:tcBorders/>
            <w:shd w:fill="CCEEFF" w:val="clear"/>
            <w:tcMar>
              <w:bottom w:w="0" w:type="dxa"/>
            </w:tcMar>
            <w:vAlign w:val="center"/>
          </w:tcPr>
          <w:p>
            <w:pPr>
              <w:pStyle w:val="TableContents"/>
              <w:bidi w:val="0"/>
              <w:spacing w:before="0" w:after="283"/>
              <w:jc w:val="right"/>
              <w:rPr/>
            </w:pPr>
            <w:r>
              <w:rPr/>
              <w:t>7,447</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w:t>
            </w:r>
          </w:p>
        </w:tc>
        <w:tc>
          <w:tcPr>
            <w:tcW w:w="1118" w:type="dxa"/>
            <w:tcBorders/>
            <w:shd w:fill="CCEEFF" w:val="clear"/>
            <w:tcMar>
              <w:bottom w:w="0" w:type="dxa"/>
            </w:tcMar>
            <w:vAlign w:val="center"/>
          </w:tcPr>
          <w:p>
            <w:pPr>
              <w:pStyle w:val="TableContents"/>
              <w:bidi w:val="0"/>
              <w:spacing w:before="0" w:after="283"/>
              <w:jc w:val="right"/>
              <w:rPr/>
            </w:pPr>
            <w:r>
              <w:rPr/>
              <w:t>5,693</w:t>
            </w:r>
          </w:p>
        </w:tc>
        <w:tc>
          <w:tcPr>
            <w:tcW w:w="75" w:type="dxa"/>
            <w:tcBorders/>
            <w:shd w:fill="CCEEFF" w:val="clear"/>
            <w:tcMar>
              <w:bottom w:w="0" w:type="dxa"/>
            </w:tcMar>
            <w:vAlign w:val="center"/>
          </w:tcPr>
          <w:p>
            <w:pPr>
              <w:pStyle w:val="TableContents"/>
              <w:bidi w:val="0"/>
              <w:spacing w:before="0" w:after="283"/>
              <w:jc w:val="left"/>
              <w:rPr/>
            </w:pPr>
            <w:r>
              <w:rPr/>
              <w:t> </w:t>
            </w:r>
            <w:bookmarkStart w:id="279" w:name="xdx_40A_eus-gaap--RevenueFromContractWit"/>
            <w:bookmarkEnd w:id="279"/>
          </w:p>
        </w:tc>
      </w:tr>
      <w:tr>
        <w:trPr/>
        <w:tc>
          <w:tcPr>
            <w:tcW w:w="2435" w:type="dxa"/>
            <w:tcBorders/>
            <w:shd w:fill="FFFFFF" w:val="clear"/>
            <w:tcMar>
              <w:bottom w:w="0" w:type="dxa"/>
            </w:tcMar>
            <w:vAlign w:val="center"/>
          </w:tcPr>
          <w:p>
            <w:pPr>
              <w:pStyle w:val="TableContents"/>
              <w:bidi w:val="0"/>
              <w:spacing w:before="0" w:after="283"/>
              <w:jc w:val="left"/>
              <w:rPr/>
            </w:pPr>
            <w:r>
              <w:rPr/>
              <w:t>General Wellness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1,306</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1,014</w:t>
            </w:r>
          </w:p>
        </w:tc>
        <w:tc>
          <w:tcPr>
            <w:tcW w:w="75" w:type="dxa"/>
            <w:tcBorders/>
            <w:shd w:fill="FFFFFF" w:val="clear"/>
            <w:tcMar>
              <w:bottom w:w="0" w:type="dxa"/>
            </w:tcMar>
            <w:vAlign w:val="center"/>
          </w:tcPr>
          <w:p>
            <w:pPr>
              <w:pStyle w:val="TableContents"/>
              <w:bidi w:val="0"/>
              <w:spacing w:before="0" w:after="283"/>
              <w:jc w:val="left"/>
              <w:rPr/>
            </w:pPr>
            <w:r>
              <w:rPr/>
              <w:t> </w:t>
            </w:r>
            <w:bookmarkStart w:id="280" w:name="xdx_406_eus-gaap--RevenueFromContractWit"/>
            <w:bookmarkEnd w:id="280"/>
          </w:p>
        </w:tc>
      </w:tr>
      <w:tr>
        <w:trPr/>
        <w:tc>
          <w:tcPr>
            <w:tcW w:w="2435" w:type="dxa"/>
            <w:tcBorders/>
            <w:shd w:fill="CCEEFF" w:val="clear"/>
            <w:tcMar>
              <w:bottom w:w="0" w:type="dxa"/>
            </w:tcMar>
            <w:vAlign w:val="center"/>
          </w:tcPr>
          <w:p>
            <w:pPr>
              <w:pStyle w:val="TableContents"/>
              <w:bidi w:val="0"/>
              <w:spacing w:before="0" w:after="283"/>
              <w:jc w:val="left"/>
              <w:rPr/>
            </w:pPr>
            <w:r>
              <w:rPr/>
              <w:t>Outside the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503</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469</w:t>
            </w:r>
          </w:p>
        </w:tc>
        <w:tc>
          <w:tcPr>
            <w:tcW w:w="75" w:type="dxa"/>
            <w:tcBorders/>
            <w:shd w:fill="CCEEFF" w:val="clear"/>
            <w:tcMar>
              <w:bottom w:w="0" w:type="dxa"/>
            </w:tcMar>
            <w:vAlign w:val="center"/>
          </w:tcPr>
          <w:p>
            <w:pPr>
              <w:pStyle w:val="TableContents"/>
              <w:bidi w:val="0"/>
              <w:spacing w:before="0" w:after="283"/>
              <w:jc w:val="left"/>
              <w:rPr/>
            </w:pPr>
            <w:r>
              <w:rPr/>
              <w:t> </w:t>
            </w:r>
            <w:bookmarkStart w:id="281" w:name="xdx_40A_eus-gaap--RevenueFromContractWit"/>
            <w:bookmarkEnd w:id="281"/>
          </w:p>
        </w:tc>
      </w:tr>
      <w:tr>
        <w:trPr/>
        <w:tc>
          <w:tcPr>
            <w:tcW w:w="2435" w:type="dxa"/>
            <w:tcBorders/>
            <w:shd w:fill="FFFFFF" w:val="clear"/>
            <w:tcMar>
              <w:bottom w:w="0" w:type="dxa"/>
            </w:tcMar>
            <w:vAlign w:val="center"/>
          </w:tcPr>
          <w:p>
            <w:pPr>
              <w:pStyle w:val="TableContents"/>
              <w:bidi w:val="0"/>
              <w:spacing w:before="0" w:after="283"/>
              <w:jc w:val="left"/>
              <w:rPr/>
            </w:pPr>
            <w:r>
              <w:rPr/>
              <w:t>TAC-STIM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185</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181</w:t>
            </w:r>
          </w:p>
        </w:tc>
        <w:tc>
          <w:tcPr>
            <w:tcW w:w="75" w:type="dxa"/>
            <w:tcBorders/>
            <w:shd w:fill="FFFFFF" w:val="clear"/>
            <w:tcMar>
              <w:bottom w:w="0" w:type="dxa"/>
            </w:tcMar>
            <w:vAlign w:val="center"/>
          </w:tcPr>
          <w:p>
            <w:pPr>
              <w:pStyle w:val="TableContents"/>
              <w:bidi w:val="0"/>
              <w:spacing w:before="0" w:after="283"/>
              <w:jc w:val="left"/>
              <w:rPr/>
            </w:pPr>
            <w:r>
              <w:rPr/>
              <w:t> </w:t>
            </w:r>
            <w:bookmarkStart w:id="282" w:name="xdx_406_eus-gaap--RevenueFromContractWit"/>
            <w:bookmarkEnd w:id="282"/>
          </w:p>
        </w:tc>
      </w:tr>
      <w:tr>
        <w:trPr/>
        <w:tc>
          <w:tcPr>
            <w:tcW w:w="2435" w:type="dxa"/>
            <w:tcBorders/>
            <w:shd w:fill="CCEEFF" w:val="clear"/>
            <w:tcMar>
              <w:bottom w:w="0" w:type="dxa"/>
            </w:tcMar>
            <w:vAlign w:val="center"/>
          </w:tcPr>
          <w:p>
            <w:pPr>
              <w:pStyle w:val="TableContents"/>
              <w:bidi w:val="0"/>
              <w:spacing w:before="0" w:after="283"/>
              <w:jc w:val="left"/>
              <w:rPr/>
            </w:pPr>
            <w:r>
              <w:rPr/>
              <w:t>In-License /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r>
              <w:rPr/>
              <w:t>9</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279" w:type="dxa"/>
            <w:tcBorders>
              <w:bottom w:val="single" w:sz="8" w:space="0" w:color="000000"/>
            </w:tcBorders>
            <w:shd w:fill="CCEEFF" w:val="clear"/>
            <w:vAlign w:val="center"/>
          </w:tcPr>
          <w:p>
            <w:pPr>
              <w:pStyle w:val="TableContents"/>
              <w:bidi w:val="0"/>
              <w:spacing w:before="0" w:after="283"/>
              <w:jc w:val="left"/>
              <w:rPr/>
            </w:pPr>
            <w:r>
              <w:rPr/>
              <w:t> </w:t>
            </w:r>
          </w:p>
        </w:tc>
        <w:tc>
          <w:tcPr>
            <w:tcW w:w="1118" w:type="dxa"/>
            <w:tcBorders>
              <w:bottom w:val="single" w:sz="8" w:space="0" w:color="000000"/>
            </w:tcBorders>
            <w:shd w:fill="CCEEFF" w:val="cle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bookmarkStart w:id="283" w:name="xdx_40B_eus-gaap--RevenueFromContractWit"/>
            <w:bookmarkEnd w:id="283"/>
          </w:p>
        </w:tc>
      </w:tr>
      <w:tr>
        <w:trPr/>
        <w:tc>
          <w:tcPr>
            <w:tcW w:w="2435" w:type="dxa"/>
            <w:tcBorders/>
            <w:shd w:fill="FFFFFF" w:val="clear"/>
            <w:tcMar>
              <w:bottom w:w="0" w:type="dxa"/>
            </w:tcMar>
            <w:vAlign w:val="center"/>
          </w:tcPr>
          <w:p>
            <w:pPr>
              <w:pStyle w:val="TableContents"/>
              <w:bidi w:val="0"/>
              <w:spacing w:before="0" w:after="283"/>
              <w:jc w:val="left"/>
              <w:rPr/>
            </w:pPr>
            <w:r>
              <w:rPr/>
              <w:t>Total Net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vAlign w:val="center"/>
          </w:tcPr>
          <w:p>
            <w:pPr>
              <w:pStyle w:val="TableContents"/>
              <w:bidi w:val="0"/>
              <w:spacing w:before="0" w:after="283"/>
              <w:jc w:val="left"/>
              <w:rPr/>
            </w:pPr>
            <w:r>
              <w:rPr/>
              <w:t>$</w:t>
            </w:r>
          </w:p>
        </w:tc>
        <w:tc>
          <w:tcPr>
            <w:tcW w:w="1118" w:type="dxa"/>
            <w:tcBorders>
              <w:bottom w:val="double" w:sz="6" w:space="0" w:color="000000"/>
            </w:tcBorders>
            <w:shd w:fill="FFFFFF" w:val="clear"/>
            <w:vAlign w:val="center"/>
          </w:tcPr>
          <w:p>
            <w:pPr>
              <w:pStyle w:val="TableContents"/>
              <w:bidi w:val="0"/>
              <w:spacing w:before="0" w:after="283"/>
              <w:jc w:val="right"/>
              <w:rPr/>
            </w:pPr>
            <w:r>
              <w:rPr/>
              <w:t>9,450</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vAlign w:val="center"/>
          </w:tcPr>
          <w:p>
            <w:pPr>
              <w:pStyle w:val="TableContents"/>
              <w:bidi w:val="0"/>
              <w:spacing w:before="0" w:after="283"/>
              <w:jc w:val="left"/>
              <w:rPr/>
            </w:pPr>
            <w:r>
              <w:rPr/>
              <w:t>$</w:t>
            </w:r>
          </w:p>
        </w:tc>
        <w:tc>
          <w:tcPr>
            <w:tcW w:w="1118" w:type="dxa"/>
            <w:tcBorders>
              <w:bottom w:val="double" w:sz="6" w:space="0" w:color="000000"/>
            </w:tcBorders>
            <w:shd w:fill="FFFFFF" w:val="clear"/>
            <w:vAlign w:val="center"/>
          </w:tcPr>
          <w:p>
            <w:pPr>
              <w:pStyle w:val="TableContents"/>
              <w:bidi w:val="0"/>
              <w:spacing w:before="0" w:after="283"/>
              <w:jc w:val="right"/>
              <w:rPr/>
            </w:pPr>
            <w:r>
              <w:rPr/>
              <w:t>7,381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302" w:type="dxa"/>
        <w:jc w:val="left"/>
        <w:tblInd w:w="0" w:type="dxa"/>
        <w:tblLayout w:type="fixed"/>
        <w:tblCellMar>
          <w:top w:w="0" w:type="dxa"/>
          <w:left w:w="0" w:type="dxa"/>
          <w:bottom w:w="28" w:type="dxa"/>
          <w:right w:w="0" w:type="dxa"/>
        </w:tblCellMar>
      </w:tblPr>
      <w:tblGrid>
        <w:gridCol w:w="2435"/>
        <w:gridCol w:w="60"/>
        <w:gridCol w:w="217"/>
        <w:gridCol w:w="1056"/>
        <w:gridCol w:w="93"/>
        <w:gridCol w:w="93"/>
        <w:gridCol w:w="217"/>
        <w:gridCol w:w="1056"/>
        <w:gridCol w:w="75"/>
      </w:tblGrid>
      <w:tr>
        <w:trPr/>
        <w:tc>
          <w:tcPr>
            <w:tcW w:w="24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Channel:</w:t>
            </w:r>
          </w:p>
        </w:tc>
        <w:tc>
          <w:tcPr>
            <w:tcW w:w="60" w:type="dxa"/>
            <w:tcBorders/>
            <w:tcMar>
              <w:bottom w:w="0" w:type="dxa"/>
            </w:tcMar>
            <w:vAlign w:val="center"/>
          </w:tcPr>
          <w:p>
            <w:pPr>
              <w:pStyle w:val="TableContents"/>
              <w:bidi w:val="0"/>
              <w:spacing w:before="0" w:after="283"/>
              <w:jc w:val="left"/>
              <w:rPr/>
            </w:pPr>
            <w:r>
              <w:rPr/>
              <w:t> </w:t>
            </w:r>
            <w:bookmarkStart w:id="284" w:name="xdx_49D_20260101__20260630_zHoDXY5QsXx8"/>
            <w:bookmarkEnd w:id="284"/>
          </w:p>
        </w:tc>
        <w:tc>
          <w:tcPr>
            <w:tcW w:w="127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3"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bookmarkStart w:id="285" w:name="xdx_49E_20250101__20250630_zdrjbqxJLeo2"/>
            <w:bookmarkEnd w:id="285"/>
          </w:p>
        </w:tc>
        <w:tc>
          <w:tcPr>
            <w:tcW w:w="127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2" w:type="dxa"/>
            <w:gridSpan w:val="6"/>
            <w:tcBorders>
              <w:bottom w:val="single" w:sz="8" w:space="0" w:color="000000"/>
            </w:tcBorders>
            <w:vAlign w:val="center"/>
          </w:tcPr>
          <w:p>
            <w:pPr>
              <w:pStyle w:val="TableContents"/>
              <w:bidi w:val="0"/>
              <w:spacing w:before="0" w:after="283"/>
              <w:jc w:val="center"/>
              <w:rPr>
                <w:b/>
              </w:rPr>
            </w:pPr>
            <w:r>
              <w:rPr>
                <w:b/>
              </w:rPr>
              <w:t>Six months ended June 30,</w:t>
            </w:r>
          </w:p>
        </w:tc>
        <w:tc>
          <w:tcPr>
            <w:tcW w:w="75"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8" w:space="0" w:color="000000"/>
            </w:tcBorders>
            <w:vAlign w:val="center"/>
          </w:tcPr>
          <w:p>
            <w:pPr>
              <w:pStyle w:val="TableContents"/>
              <w:bidi w:val="0"/>
              <w:spacing w:before="0" w:after="283"/>
              <w:jc w:val="left"/>
              <w:rPr>
                <w:b/>
              </w:rPr>
            </w:pPr>
            <w:r>
              <w:rPr>
                <w:b/>
              </w:rPr>
              <w:t>Channel:</w:t>
            </w:r>
          </w:p>
        </w:tc>
        <w:tc>
          <w:tcPr>
            <w:tcW w:w="60" w:type="dxa"/>
            <w:tcBorders/>
            <w:tcMar>
              <w:bottom w:w="0" w:type="dxa"/>
            </w:tcMar>
            <w:vAlign w:val="center"/>
          </w:tcPr>
          <w:p>
            <w:pPr>
              <w:pStyle w:val="TableContents"/>
              <w:bidi w:val="0"/>
              <w:spacing w:before="0" w:after="283"/>
              <w:jc w:val="left"/>
              <w:rPr/>
            </w:pPr>
            <w:r>
              <w:rPr/>
              <w:t> </w:t>
            </w:r>
          </w:p>
        </w:tc>
        <w:tc>
          <w:tcPr>
            <w:tcW w:w="1273" w:type="dxa"/>
            <w:gridSpan w:val="2"/>
            <w:tcBorders>
              <w:bottom w:val="single" w:sz="8" w:space="0" w:color="000000"/>
            </w:tcBorders>
            <w:vAlign w:val="center"/>
          </w:tcPr>
          <w:p>
            <w:pPr>
              <w:pStyle w:val="TableContents"/>
              <w:bidi w:val="0"/>
              <w:spacing w:before="0" w:after="283"/>
              <w:jc w:val="center"/>
              <w:rPr>
                <w:b/>
              </w:rPr>
            </w:pPr>
            <w:r>
              <w:rPr>
                <w:b/>
              </w:rPr>
              <w:t>2026</w:t>
            </w:r>
          </w:p>
        </w:tc>
        <w:tc>
          <w:tcPr>
            <w:tcW w:w="93"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1273"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bookmarkStart w:id="286" w:name="xdx_401_eus-gaap--RevenueFromContractWit"/>
            <w:bookmarkEnd w:id="286"/>
          </w:p>
        </w:tc>
      </w:tr>
      <w:tr>
        <w:trPr/>
        <w:tc>
          <w:tcPr>
            <w:tcW w:w="2435" w:type="dxa"/>
            <w:tcBorders/>
            <w:shd w:fill="CCEEFF" w:val="clear"/>
            <w:tcMar>
              <w:bottom w:w="0" w:type="dxa"/>
            </w:tcMar>
            <w:vAlign w:val="center"/>
          </w:tcPr>
          <w:p>
            <w:pPr>
              <w:pStyle w:val="TableContents"/>
              <w:bidi w:val="0"/>
              <w:spacing w:before="0" w:after="283"/>
              <w:jc w:val="left"/>
              <w:rPr/>
            </w:pPr>
            <w:r>
              <w:rPr/>
              <w:t>United States – Rx</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14,868</w:t>
            </w:r>
          </w:p>
        </w:tc>
        <w:tc>
          <w:tcPr>
            <w:tcW w:w="93"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10,703</w:t>
            </w:r>
          </w:p>
        </w:tc>
        <w:tc>
          <w:tcPr>
            <w:tcW w:w="75" w:type="dxa"/>
            <w:tcBorders/>
            <w:shd w:fill="CCEEFF" w:val="clear"/>
            <w:tcMar>
              <w:bottom w:w="0" w:type="dxa"/>
            </w:tcMar>
            <w:vAlign w:val="center"/>
          </w:tcPr>
          <w:p>
            <w:pPr>
              <w:pStyle w:val="TableContents"/>
              <w:bidi w:val="0"/>
              <w:spacing w:before="0" w:after="283"/>
              <w:jc w:val="left"/>
              <w:rPr/>
            </w:pPr>
            <w:r>
              <w:rPr/>
              <w:t> </w:t>
            </w:r>
            <w:bookmarkStart w:id="287" w:name="xdx_40B_eus-gaap--RevenueFromContractWit"/>
            <w:bookmarkEnd w:id="287"/>
          </w:p>
        </w:tc>
      </w:tr>
      <w:tr>
        <w:trPr/>
        <w:tc>
          <w:tcPr>
            <w:tcW w:w="2435" w:type="dxa"/>
            <w:tcBorders/>
            <w:shd w:fill="FFFFFF" w:val="clear"/>
            <w:tcMar>
              <w:bottom w:w="0" w:type="dxa"/>
            </w:tcMar>
            <w:vAlign w:val="center"/>
          </w:tcPr>
          <w:p>
            <w:pPr>
              <w:pStyle w:val="TableContents"/>
              <w:bidi w:val="0"/>
              <w:spacing w:before="0" w:after="283"/>
              <w:jc w:val="left"/>
              <w:rPr/>
            </w:pPr>
            <w:r>
              <w:rPr/>
              <w:t>General Wellness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2,894</w:t>
            </w:r>
          </w:p>
        </w:tc>
        <w:tc>
          <w:tcPr>
            <w:tcW w:w="93"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2,114</w:t>
            </w:r>
          </w:p>
        </w:tc>
        <w:tc>
          <w:tcPr>
            <w:tcW w:w="75" w:type="dxa"/>
            <w:tcBorders/>
            <w:shd w:fill="FFFFFF" w:val="clear"/>
            <w:tcMar>
              <w:bottom w:w="0" w:type="dxa"/>
            </w:tcMar>
            <w:vAlign w:val="center"/>
          </w:tcPr>
          <w:p>
            <w:pPr>
              <w:pStyle w:val="TableContents"/>
              <w:bidi w:val="0"/>
              <w:spacing w:before="0" w:after="283"/>
              <w:jc w:val="left"/>
              <w:rPr/>
            </w:pPr>
            <w:r>
              <w:rPr/>
              <w:t> </w:t>
            </w:r>
            <w:bookmarkStart w:id="288" w:name="xdx_404_eus-gaap--RevenueFromContractWit"/>
            <w:bookmarkEnd w:id="288"/>
          </w:p>
        </w:tc>
      </w:tr>
      <w:tr>
        <w:trPr/>
        <w:tc>
          <w:tcPr>
            <w:tcW w:w="2435" w:type="dxa"/>
            <w:tcBorders/>
            <w:shd w:fill="CCEEFF" w:val="clear"/>
            <w:tcMar>
              <w:bottom w:w="0" w:type="dxa"/>
            </w:tcMar>
            <w:vAlign w:val="center"/>
          </w:tcPr>
          <w:p>
            <w:pPr>
              <w:pStyle w:val="TableContents"/>
              <w:bidi w:val="0"/>
              <w:spacing w:before="0" w:after="283"/>
              <w:jc w:val="left"/>
              <w:rPr/>
            </w:pPr>
            <w:r>
              <w:rPr/>
              <w:t>Outside the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1,005</w:t>
            </w:r>
          </w:p>
        </w:tc>
        <w:tc>
          <w:tcPr>
            <w:tcW w:w="93"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967</w:t>
            </w:r>
          </w:p>
        </w:tc>
        <w:tc>
          <w:tcPr>
            <w:tcW w:w="75" w:type="dxa"/>
            <w:tcBorders/>
            <w:shd w:fill="CCEEFF" w:val="clear"/>
            <w:tcMar>
              <w:bottom w:w="0" w:type="dxa"/>
            </w:tcMar>
            <w:vAlign w:val="center"/>
          </w:tcPr>
          <w:p>
            <w:pPr>
              <w:pStyle w:val="TableContents"/>
              <w:bidi w:val="0"/>
              <w:spacing w:before="0" w:after="283"/>
              <w:jc w:val="left"/>
              <w:rPr/>
            </w:pPr>
            <w:r>
              <w:rPr/>
              <w:t> </w:t>
            </w:r>
            <w:bookmarkStart w:id="289" w:name="xdx_400_eus-gaap--RevenueFromContractWit"/>
            <w:bookmarkEnd w:id="289"/>
          </w:p>
        </w:tc>
      </w:tr>
      <w:tr>
        <w:trPr/>
        <w:tc>
          <w:tcPr>
            <w:tcW w:w="2435" w:type="dxa"/>
            <w:tcBorders/>
            <w:shd w:fill="FFFFFF" w:val="clear"/>
            <w:tcMar>
              <w:bottom w:w="0" w:type="dxa"/>
            </w:tcMar>
            <w:vAlign w:val="center"/>
          </w:tcPr>
          <w:p>
            <w:pPr>
              <w:pStyle w:val="TableContents"/>
              <w:bidi w:val="0"/>
              <w:spacing w:before="0" w:after="283"/>
              <w:jc w:val="left"/>
              <w:rPr/>
            </w:pPr>
            <w:r>
              <w:rPr/>
              <w:t>TAC-STIM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227</w:t>
            </w:r>
          </w:p>
        </w:tc>
        <w:tc>
          <w:tcPr>
            <w:tcW w:w="93"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271</w:t>
            </w:r>
          </w:p>
        </w:tc>
        <w:tc>
          <w:tcPr>
            <w:tcW w:w="75" w:type="dxa"/>
            <w:tcBorders/>
            <w:shd w:fill="FFFFFF" w:val="clear"/>
            <w:tcMar>
              <w:bottom w:w="0" w:type="dxa"/>
            </w:tcMar>
            <w:vAlign w:val="center"/>
          </w:tcPr>
          <w:p>
            <w:pPr>
              <w:pStyle w:val="TableContents"/>
              <w:bidi w:val="0"/>
              <w:spacing w:before="0" w:after="283"/>
              <w:jc w:val="left"/>
              <w:rPr/>
            </w:pPr>
            <w:r>
              <w:rPr/>
              <w:t> </w:t>
            </w:r>
            <w:bookmarkStart w:id="290" w:name="xdx_407_eus-gaap--RevenueFromContractWit"/>
            <w:bookmarkEnd w:id="290"/>
          </w:p>
        </w:tc>
      </w:tr>
      <w:tr>
        <w:trPr/>
        <w:tc>
          <w:tcPr>
            <w:tcW w:w="2435" w:type="dxa"/>
            <w:tcBorders/>
            <w:shd w:fill="CCEEFF" w:val="clear"/>
            <w:tcMar>
              <w:bottom w:w="0" w:type="dxa"/>
            </w:tcMar>
            <w:vAlign w:val="center"/>
          </w:tcPr>
          <w:p>
            <w:pPr>
              <w:pStyle w:val="TableContents"/>
              <w:bidi w:val="0"/>
              <w:spacing w:before="0" w:after="283"/>
              <w:jc w:val="left"/>
              <w:rPr/>
            </w:pPr>
            <w:r>
              <w:rPr/>
              <w:t>In-License /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single" w:sz="8" w:space="0" w:color="000000"/>
            </w:tcBorders>
            <w:shd w:fill="CCEEFF" w:val="clear"/>
            <w:vAlign w:val="center"/>
          </w:tcPr>
          <w:p>
            <w:pPr>
              <w:pStyle w:val="TableContents"/>
              <w:bidi w:val="0"/>
              <w:spacing w:before="0" w:after="283"/>
              <w:jc w:val="left"/>
              <w:rPr/>
            </w:pPr>
            <w:r>
              <w:rPr/>
              <w:t> </w:t>
            </w:r>
          </w:p>
        </w:tc>
        <w:tc>
          <w:tcPr>
            <w:tcW w:w="1056" w:type="dxa"/>
            <w:tcBorders>
              <w:bottom w:val="single" w:sz="8" w:space="0" w:color="000000"/>
            </w:tcBorders>
            <w:shd w:fill="CCEEFF" w:val="clear"/>
            <w:vAlign w:val="center"/>
          </w:tcPr>
          <w:p>
            <w:pPr>
              <w:pStyle w:val="TableContents"/>
              <w:bidi w:val="0"/>
              <w:spacing w:before="0" w:after="283"/>
              <w:jc w:val="right"/>
              <w:rPr/>
            </w:pPr>
            <w:r>
              <w:rPr/>
              <w:t>40</w:t>
            </w:r>
          </w:p>
        </w:tc>
        <w:tc>
          <w:tcPr>
            <w:tcW w:w="93"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single" w:sz="8" w:space="0" w:color="000000"/>
            </w:tcBorders>
            <w:shd w:fill="CCEEFF" w:val="clear"/>
            <w:vAlign w:val="center"/>
          </w:tcPr>
          <w:p>
            <w:pPr>
              <w:pStyle w:val="TableContents"/>
              <w:bidi w:val="0"/>
              <w:spacing w:before="0" w:after="283"/>
              <w:jc w:val="left"/>
              <w:rPr/>
            </w:pPr>
            <w:r>
              <w:rPr/>
              <w:t> </w:t>
            </w:r>
          </w:p>
        </w:tc>
        <w:tc>
          <w:tcPr>
            <w:tcW w:w="1056" w:type="dxa"/>
            <w:tcBorders>
              <w:bottom w:val="single" w:sz="8" w:space="0" w:color="000000"/>
            </w:tcBorders>
            <w:shd w:fill="CCEEFF" w:val="clear"/>
            <w:vAlign w:val="center"/>
          </w:tcPr>
          <w:p>
            <w:pPr>
              <w:pStyle w:val="TableContents"/>
              <w:bidi w:val="0"/>
              <w:spacing w:before="0" w:after="283"/>
              <w:jc w:val="right"/>
              <w:rPr/>
            </w:pPr>
            <w:r>
              <w:rPr/>
              <w:t>45</w:t>
            </w:r>
          </w:p>
        </w:tc>
        <w:tc>
          <w:tcPr>
            <w:tcW w:w="75" w:type="dxa"/>
            <w:tcBorders/>
            <w:shd w:fill="CCEEFF" w:val="clear"/>
            <w:tcMar>
              <w:bottom w:w="0" w:type="dxa"/>
            </w:tcMar>
            <w:vAlign w:val="center"/>
          </w:tcPr>
          <w:p>
            <w:pPr>
              <w:pStyle w:val="TableContents"/>
              <w:bidi w:val="0"/>
              <w:spacing w:before="0" w:after="283"/>
              <w:jc w:val="left"/>
              <w:rPr/>
            </w:pPr>
            <w:r>
              <w:rPr/>
              <w:t> </w:t>
            </w:r>
            <w:bookmarkStart w:id="291" w:name="xdx_40B_eus-gaap--RevenueFromContractWit"/>
            <w:bookmarkEnd w:id="291"/>
          </w:p>
        </w:tc>
      </w:tr>
      <w:tr>
        <w:trPr/>
        <w:tc>
          <w:tcPr>
            <w:tcW w:w="2435" w:type="dxa"/>
            <w:tcBorders/>
            <w:shd w:fill="FFFFFF" w:val="clear"/>
            <w:tcMar>
              <w:bottom w:w="0" w:type="dxa"/>
            </w:tcMar>
            <w:vAlign w:val="center"/>
          </w:tcPr>
          <w:p>
            <w:pPr>
              <w:pStyle w:val="TableContents"/>
              <w:bidi w:val="0"/>
              <w:spacing w:before="0" w:after="283"/>
              <w:jc w:val="left"/>
              <w:rPr/>
            </w:pPr>
            <w:r>
              <w:rPr/>
              <w:t>Total Net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vAlign w:val="center"/>
          </w:tcPr>
          <w:p>
            <w:pPr>
              <w:pStyle w:val="TableContents"/>
              <w:bidi w:val="0"/>
              <w:spacing w:before="0" w:after="283"/>
              <w:jc w:val="left"/>
              <w:rPr/>
            </w:pPr>
            <w:r>
              <w:rPr/>
              <w:t>$</w:t>
            </w:r>
          </w:p>
        </w:tc>
        <w:tc>
          <w:tcPr>
            <w:tcW w:w="1056" w:type="dxa"/>
            <w:tcBorders>
              <w:bottom w:val="double" w:sz="6" w:space="0" w:color="000000"/>
            </w:tcBorders>
            <w:shd w:fill="FFFFFF" w:val="clear"/>
            <w:vAlign w:val="center"/>
          </w:tcPr>
          <w:p>
            <w:pPr>
              <w:pStyle w:val="TableContents"/>
              <w:bidi w:val="0"/>
              <w:spacing w:before="0" w:after="283"/>
              <w:jc w:val="right"/>
              <w:rPr/>
            </w:pPr>
            <w:r>
              <w:rPr/>
              <w:t>19,034</w:t>
            </w:r>
          </w:p>
        </w:tc>
        <w:tc>
          <w:tcPr>
            <w:tcW w:w="93"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vAlign w:val="center"/>
          </w:tcPr>
          <w:p>
            <w:pPr>
              <w:pStyle w:val="TableContents"/>
              <w:bidi w:val="0"/>
              <w:spacing w:before="0" w:after="283"/>
              <w:jc w:val="left"/>
              <w:rPr/>
            </w:pPr>
            <w:r>
              <w:rPr/>
              <w:t>$</w:t>
            </w:r>
          </w:p>
        </w:tc>
        <w:tc>
          <w:tcPr>
            <w:tcW w:w="1056" w:type="dxa"/>
            <w:tcBorders>
              <w:bottom w:val="double" w:sz="6" w:space="0" w:color="000000"/>
            </w:tcBorders>
            <w:shd w:fill="FFFFFF" w:val="clear"/>
            <w:vAlign w:val="center"/>
          </w:tcPr>
          <w:p>
            <w:pPr>
              <w:pStyle w:val="TableContents"/>
              <w:bidi w:val="0"/>
              <w:spacing w:before="0" w:after="283"/>
              <w:jc w:val="right"/>
              <w:rPr/>
            </w:pPr>
            <w:r>
              <w:rPr/>
              <w:t>14,100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292" w:name="xdx_8A3_zWr3ilWbfQW6"/>
      <w:bookmarkEnd w:id="292"/>
      <w:r>
        <w:rPr/>
        <w:t> </w:t>
      </w:r>
    </w:p>
    <w:p>
      <w:pPr>
        <w:pStyle w:val="TextBody"/>
        <w:bidi w:val="0"/>
        <w:spacing w:before="0" w:after="283"/>
        <w:jc w:val="left"/>
        <w:rPr/>
      </w:pPr>
      <w:bookmarkStart w:id="293" w:name="xdx_89F_eus-gaap--ScheduleOfRevenuesFrom"/>
      <w:bookmarkEnd w:id="293"/>
      <w:r>
        <w:rPr/>
        <w:t> </w:t>
      </w:r>
      <w:bookmarkStart w:id="294" w:name="xdx_8B9_zZyDEIPMhKca"/>
      <w:bookmarkEnd w:id="294"/>
      <w:r>
        <w:rPr>
          <w:rFonts w:ascii="Times New Roman;Times;Serif" w:hAnsi="Times New Roman;Times;Serif"/>
          <w:sz w:val="20"/>
        </w:rPr>
        <w:t>Schedule of Net Sales Disaggregated By Geographic Market</w:t>
      </w:r>
    </w:p>
    <w:tbl>
      <w:tblPr>
        <w:tblW w:w="4897" w:type="dxa"/>
        <w:jc w:val="left"/>
        <w:tblInd w:w="0" w:type="dxa"/>
        <w:tblLayout w:type="fixed"/>
        <w:tblCellMar>
          <w:top w:w="0" w:type="dxa"/>
          <w:left w:w="0" w:type="dxa"/>
          <w:bottom w:w="28" w:type="dxa"/>
          <w:right w:w="0" w:type="dxa"/>
        </w:tblCellMar>
      </w:tblPr>
      <w:tblGrid>
        <w:gridCol w:w="1730"/>
        <w:gridCol w:w="60"/>
        <w:gridCol w:w="279"/>
        <w:gridCol w:w="1118"/>
        <w:gridCol w:w="119"/>
        <w:gridCol w:w="119"/>
        <w:gridCol w:w="279"/>
        <w:gridCol w:w="1118"/>
        <w:gridCol w:w="75"/>
      </w:tblGrid>
      <w:tr>
        <w:trPr/>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Geographic:</w:t>
            </w:r>
          </w:p>
        </w:tc>
        <w:tc>
          <w:tcPr>
            <w:tcW w:w="60" w:type="dxa"/>
            <w:tcBorders/>
            <w:tcMar>
              <w:bottom w:w="0" w:type="dxa"/>
            </w:tcMar>
            <w:vAlign w:val="center"/>
          </w:tcPr>
          <w:p>
            <w:pPr>
              <w:pStyle w:val="TableContents"/>
              <w:bidi w:val="0"/>
              <w:spacing w:before="0" w:after="283"/>
              <w:jc w:val="left"/>
              <w:rPr/>
            </w:pPr>
            <w:r>
              <w:rPr/>
              <w:t> </w:t>
            </w:r>
            <w:bookmarkStart w:id="295" w:name="xdx_496_20260401__20260630_zge71MfCCSb5"/>
            <w:bookmarkEnd w:id="295"/>
          </w:p>
        </w:tc>
        <w:tc>
          <w:tcPr>
            <w:tcW w:w="13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9"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bookmarkStart w:id="296" w:name="xdx_497_20250401__20250630_zLrkjKs1Mb12"/>
            <w:bookmarkEnd w:id="296"/>
          </w:p>
        </w:tc>
        <w:tc>
          <w:tcPr>
            <w:tcW w:w="13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032" w:type="dxa"/>
            <w:gridSpan w:val="6"/>
            <w:tcBorders>
              <w:bottom w:val="single" w:sz="8" w:space="0" w:color="000000"/>
            </w:tcBorders>
            <w:vAlign w:val="center"/>
          </w:tcPr>
          <w:p>
            <w:pPr>
              <w:pStyle w:val="TableContents"/>
              <w:bidi w:val="0"/>
              <w:spacing w:before="0" w:after="283"/>
              <w:jc w:val="center"/>
              <w:rPr>
                <w:b/>
              </w:rPr>
            </w:pPr>
            <w:r>
              <w:rPr>
                <w:b/>
              </w:rPr>
              <w:t>Three months ended June 30,</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left"/>
              <w:rPr>
                <w:b/>
              </w:rPr>
            </w:pPr>
            <w:r>
              <w:rPr>
                <w:b/>
              </w:rPr>
              <w:t>Geographic:</w:t>
            </w:r>
          </w:p>
        </w:tc>
        <w:tc>
          <w:tcPr>
            <w:tcW w:w="60" w:type="dxa"/>
            <w:tcBorders/>
            <w:tcMar>
              <w:bottom w:w="0" w:type="dxa"/>
            </w:tcMar>
            <w:vAlign w:val="center"/>
          </w:tcPr>
          <w:p>
            <w:pPr>
              <w:pStyle w:val="TableContents"/>
              <w:bidi w:val="0"/>
              <w:spacing w:before="0" w:after="283"/>
              <w:jc w:val="left"/>
              <w:rPr/>
            </w:pPr>
            <w:r>
              <w:rPr/>
              <w:t> </w:t>
            </w:r>
          </w:p>
        </w:tc>
        <w:tc>
          <w:tcPr>
            <w:tcW w:w="1397" w:type="dxa"/>
            <w:gridSpan w:val="2"/>
            <w:tcBorders>
              <w:bottom w:val="single" w:sz="8" w:space="0" w:color="000000"/>
            </w:tcBorders>
            <w:vAlign w:val="center"/>
          </w:tcPr>
          <w:p>
            <w:pPr>
              <w:pStyle w:val="TableContents"/>
              <w:bidi w:val="0"/>
              <w:spacing w:before="0" w:after="283"/>
              <w:jc w:val="center"/>
              <w:rPr>
                <w:b/>
              </w:rPr>
            </w:pPr>
            <w:r>
              <w:rPr>
                <w:b/>
              </w:rPr>
              <w:t>2026</w:t>
            </w:r>
          </w:p>
        </w:tc>
        <w:tc>
          <w:tcPr>
            <w:tcW w:w="119"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397"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b/>
              </w:rPr>
            </w:pPr>
            <w:r>
              <w:rPr>
                <w:b/>
              </w:rPr>
              <w:t>Product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97" w:name="xdx_404_eus-gaap--RevenueFromContractWit"/>
            <w:bookmarkEnd w:id="297"/>
          </w:p>
        </w:tc>
      </w:tr>
      <w:tr>
        <w:trPr/>
        <w:tc>
          <w:tcPr>
            <w:tcW w:w="1730" w:type="dxa"/>
            <w:tcBorders/>
            <w:shd w:fill="FFFFFF" w:val="clear"/>
            <w:tcMar>
              <w:bottom w:w="0" w:type="dxa"/>
            </w:tcMar>
            <w:vAlign w:val="center"/>
          </w:tcPr>
          <w:p>
            <w:pPr>
              <w:pStyle w:val="TableContents"/>
              <w:bidi w:val="0"/>
              <w:spacing w:before="0" w:after="283"/>
              <w:jc w:val="left"/>
              <w:rPr/>
            </w:pPr>
            <w:r>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w:t>
            </w:r>
          </w:p>
        </w:tc>
        <w:tc>
          <w:tcPr>
            <w:tcW w:w="1118" w:type="dxa"/>
            <w:tcBorders/>
            <w:shd w:fill="FFFFFF" w:val="clear"/>
            <w:tcMar>
              <w:bottom w:w="0" w:type="dxa"/>
            </w:tcMar>
            <w:vAlign w:val="center"/>
          </w:tcPr>
          <w:p>
            <w:pPr>
              <w:pStyle w:val="TableContents"/>
              <w:bidi w:val="0"/>
              <w:spacing w:before="0" w:after="283"/>
              <w:jc w:val="right"/>
              <w:rPr/>
            </w:pPr>
            <w:r>
              <w:rPr/>
              <w:t>8,947</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w:t>
            </w:r>
          </w:p>
        </w:tc>
        <w:tc>
          <w:tcPr>
            <w:tcW w:w="1118" w:type="dxa"/>
            <w:tcBorders/>
            <w:shd w:fill="FFFFFF" w:val="clear"/>
            <w:tcMar>
              <w:bottom w:w="0" w:type="dxa"/>
            </w:tcMar>
            <w:vAlign w:val="center"/>
          </w:tcPr>
          <w:p>
            <w:pPr>
              <w:pStyle w:val="TableContents"/>
              <w:bidi w:val="0"/>
              <w:spacing w:before="0" w:after="283"/>
              <w:jc w:val="right"/>
              <w:rPr/>
            </w:pPr>
            <w:r>
              <w:rPr/>
              <w:t>6,895</w:t>
            </w:r>
          </w:p>
        </w:tc>
        <w:tc>
          <w:tcPr>
            <w:tcW w:w="75" w:type="dxa"/>
            <w:tcBorders/>
            <w:shd w:fill="FFFFFF" w:val="clear"/>
            <w:tcMar>
              <w:bottom w:w="0" w:type="dxa"/>
            </w:tcMar>
            <w:vAlign w:val="center"/>
          </w:tcPr>
          <w:p>
            <w:pPr>
              <w:pStyle w:val="TableContents"/>
              <w:bidi w:val="0"/>
              <w:spacing w:before="0" w:after="283"/>
              <w:jc w:val="left"/>
              <w:rPr/>
            </w:pPr>
            <w:r>
              <w:rPr/>
              <w:t> </w:t>
            </w:r>
            <w:bookmarkStart w:id="298" w:name="xdx_404_eus-gaap--RevenueFromContractWit"/>
            <w:bookmarkEnd w:id="298"/>
          </w:p>
        </w:tc>
      </w:tr>
      <w:tr>
        <w:trPr/>
        <w:tc>
          <w:tcPr>
            <w:tcW w:w="1730" w:type="dxa"/>
            <w:tcBorders/>
            <w:shd w:fill="CCEEFF" w:val="clear"/>
            <w:tcMar>
              <w:bottom w:w="0" w:type="dxa"/>
            </w:tcMar>
            <w:vAlign w:val="center"/>
          </w:tcPr>
          <w:p>
            <w:pPr>
              <w:pStyle w:val="TableContents"/>
              <w:bidi w:val="0"/>
              <w:spacing w:before="0" w:after="283"/>
              <w:jc w:val="left"/>
              <w:rPr/>
            </w:pPr>
            <w:r>
              <w:rPr/>
              <w:t>United Kingdom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463</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433</w:t>
            </w:r>
          </w:p>
        </w:tc>
        <w:tc>
          <w:tcPr>
            <w:tcW w:w="75" w:type="dxa"/>
            <w:tcBorders/>
            <w:shd w:fill="CCEEFF" w:val="clear"/>
            <w:tcMar>
              <w:bottom w:w="0" w:type="dxa"/>
            </w:tcMar>
            <w:vAlign w:val="center"/>
          </w:tcPr>
          <w:p>
            <w:pPr>
              <w:pStyle w:val="TableContents"/>
              <w:bidi w:val="0"/>
              <w:spacing w:before="0" w:after="283"/>
              <w:jc w:val="left"/>
              <w:rPr/>
            </w:pPr>
            <w:r>
              <w:rPr/>
              <w:t> </w:t>
            </w:r>
            <w:bookmarkStart w:id="299" w:name="xdx_406_eus-gaap--RevenueFromContractWit"/>
            <w:bookmarkEnd w:id="299"/>
          </w:p>
        </w:tc>
      </w:tr>
      <w:tr>
        <w:trPr/>
        <w:tc>
          <w:tcPr>
            <w:tcW w:w="1730" w:type="dxa"/>
            <w:tcBorders/>
            <w:shd w:fill="FFFFFF" w:val="clear"/>
            <w:tcMar>
              <w:bottom w:w="0" w:type="dxa"/>
            </w:tcMar>
            <w:vAlign w:val="center"/>
          </w:tcPr>
          <w:p>
            <w:pPr>
              <w:pStyle w:val="TableContents"/>
              <w:bidi w:val="0"/>
              <w:spacing w:before="0" w:after="283"/>
              <w:jc w:val="left"/>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40</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118" w:type="dxa"/>
            <w:tcBorders/>
            <w:shd w:fill="FFFFFF" w:val="clear"/>
            <w:tcMar>
              <w:bottom w:w="0" w:type="dxa"/>
            </w:tcMar>
            <w:vAlign w:val="center"/>
          </w:tcPr>
          <w:p>
            <w:pPr>
              <w:pStyle w:val="TableContents"/>
              <w:bidi w:val="0"/>
              <w:spacing w:before="0" w:after="283"/>
              <w:jc w:val="right"/>
              <w:rPr/>
            </w:pPr>
            <w:r>
              <w:rPr/>
              <w:t>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b/>
              </w:rPr>
            </w:pPr>
            <w:r>
              <w:rPr>
                <w:b/>
              </w:rPr>
              <w:t>License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1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300" w:name="xdx_400_eus-gaap--RevenueFromContractWit"/>
            <w:bookmarkEnd w:id="300"/>
          </w:p>
        </w:tc>
      </w:tr>
      <w:tr>
        <w:trPr/>
        <w:tc>
          <w:tcPr>
            <w:tcW w:w="1730" w:type="dxa"/>
            <w:tcBorders/>
            <w:shd w:fill="FFFFFF" w:val="clear"/>
            <w:tcMar>
              <w:bottom w:w="0" w:type="dxa"/>
            </w:tcMar>
            <w:vAlign w:val="center"/>
          </w:tcPr>
          <w:p>
            <w:pPr>
              <w:pStyle w:val="TableContents"/>
              <w:bidi w:val="0"/>
              <w:spacing w:before="0" w:after="283"/>
              <w:jc w:val="left"/>
              <w:rPr/>
            </w:pPr>
            <w:r>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bottom w:val="single" w:sz="8" w:space="0" w:color="000000"/>
            </w:tcBorders>
            <w:shd w:fill="FFFFFF" w:val="clear"/>
            <w:vAlign w:val="center"/>
          </w:tcPr>
          <w:p>
            <w:pPr>
              <w:pStyle w:val="TableContents"/>
              <w:bidi w:val="0"/>
              <w:spacing w:before="0" w:after="283"/>
              <w:jc w:val="left"/>
              <w:rPr/>
            </w:pPr>
            <w:r>
              <w:rPr/>
              <w:t> </w:t>
            </w:r>
          </w:p>
        </w:tc>
        <w:tc>
          <w:tcPr>
            <w:tcW w:w="1118" w:type="dxa"/>
            <w:tcBorders>
              <w:bottom w:val="single" w:sz="8" w:space="0" w:color="000000"/>
            </w:tcBorders>
            <w:shd w:fill="FFFFFF" w:val="clear"/>
            <w:vAlign w:val="center"/>
          </w:tcPr>
          <w:p>
            <w:pPr>
              <w:pStyle w:val="TableContents"/>
              <w:bidi w:val="0"/>
              <w:spacing w:before="0" w:after="283"/>
              <w:jc w:val="right"/>
              <w:rPr/>
            </w:pPr>
            <w:r>
              <w:rPr/>
              <w:t>-</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279" w:type="dxa"/>
            <w:tcBorders>
              <w:bottom w:val="single" w:sz="8" w:space="0" w:color="000000"/>
            </w:tcBorders>
            <w:shd w:fill="FFFFFF" w:val="clear"/>
            <w:vAlign w:val="center"/>
          </w:tcPr>
          <w:p>
            <w:pPr>
              <w:pStyle w:val="TableContents"/>
              <w:bidi w:val="0"/>
              <w:spacing w:before="0" w:after="283"/>
              <w:jc w:val="left"/>
              <w:rPr/>
            </w:pPr>
            <w:r>
              <w:rPr/>
              <w:t> </w:t>
            </w:r>
          </w:p>
        </w:tc>
        <w:tc>
          <w:tcPr>
            <w:tcW w:w="1118" w:type="dxa"/>
            <w:tcBorders>
              <w:bottom w:val="single" w:sz="8" w:space="0" w:color="000000"/>
            </w:tcBorders>
            <w:shd w:fill="FFFFFF" w:val="clear"/>
            <w:vAlign w:val="center"/>
          </w:tcPr>
          <w:p>
            <w:pPr>
              <w:pStyle w:val="TableContents"/>
              <w:bidi w:val="0"/>
              <w:spacing w:before="0" w:after="283"/>
              <w:jc w:val="right"/>
              <w:rPr/>
            </w:pPr>
            <w:r>
              <w:rPr/>
              <w:t>17</w:t>
            </w:r>
          </w:p>
        </w:tc>
        <w:tc>
          <w:tcPr>
            <w:tcW w:w="75" w:type="dxa"/>
            <w:tcBorders/>
            <w:shd w:fill="FFFFFF" w:val="clear"/>
            <w:tcMar>
              <w:bottom w:w="0" w:type="dxa"/>
            </w:tcMar>
            <w:vAlign w:val="center"/>
          </w:tcPr>
          <w:p>
            <w:pPr>
              <w:pStyle w:val="TableContents"/>
              <w:bidi w:val="0"/>
              <w:spacing w:before="0" w:after="283"/>
              <w:jc w:val="left"/>
              <w:rPr/>
            </w:pPr>
            <w:r>
              <w:rPr/>
              <w:t> </w:t>
            </w:r>
            <w:bookmarkStart w:id="301" w:name="xdx_405_eus-gaap--RevenueFromContractWit"/>
            <w:bookmarkEnd w:id="301"/>
          </w:p>
        </w:tc>
      </w:tr>
      <w:tr>
        <w:trPr/>
        <w:tc>
          <w:tcPr>
            <w:tcW w:w="1730" w:type="dxa"/>
            <w:tcBorders/>
            <w:shd w:fill="CCEEFF" w:val="clear"/>
            <w:tcMar>
              <w:bottom w:w="0" w:type="dxa"/>
            </w:tcMar>
            <w:vAlign w:val="center"/>
          </w:tcPr>
          <w:p>
            <w:pPr>
              <w:pStyle w:val="TableContents"/>
              <w:bidi w:val="0"/>
              <w:spacing w:before="0" w:after="283"/>
              <w:jc w:val="left"/>
              <w:rPr/>
            </w:pPr>
            <w:r>
              <w:rPr/>
              <w:t>Total Net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bottom w:val="double" w:sz="6" w:space="0" w:color="000000"/>
            </w:tcBorders>
            <w:shd w:fill="CCEEFF" w:val="clear"/>
            <w:vAlign w:val="center"/>
          </w:tcPr>
          <w:p>
            <w:pPr>
              <w:pStyle w:val="TableContents"/>
              <w:bidi w:val="0"/>
              <w:spacing w:before="0" w:after="283"/>
              <w:jc w:val="left"/>
              <w:rPr/>
            </w:pPr>
            <w:r>
              <w:rPr/>
              <w:t>$</w:t>
            </w:r>
          </w:p>
        </w:tc>
        <w:tc>
          <w:tcPr>
            <w:tcW w:w="1118" w:type="dxa"/>
            <w:tcBorders>
              <w:bottom w:val="double" w:sz="6" w:space="0" w:color="000000"/>
            </w:tcBorders>
            <w:shd w:fill="CCEEFF" w:val="clear"/>
            <w:vAlign w:val="center"/>
          </w:tcPr>
          <w:p>
            <w:pPr>
              <w:pStyle w:val="TableContents"/>
              <w:bidi w:val="0"/>
              <w:spacing w:before="0" w:after="283"/>
              <w:jc w:val="right"/>
              <w:rPr/>
            </w:pPr>
            <w:r>
              <w:rPr/>
              <w:t>9,450</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279" w:type="dxa"/>
            <w:tcBorders>
              <w:bottom w:val="double" w:sz="6" w:space="0" w:color="000000"/>
            </w:tcBorders>
            <w:shd w:fill="CCEEFF" w:val="clear"/>
            <w:vAlign w:val="center"/>
          </w:tcPr>
          <w:p>
            <w:pPr>
              <w:pStyle w:val="TableContents"/>
              <w:bidi w:val="0"/>
              <w:spacing w:before="0" w:after="283"/>
              <w:jc w:val="left"/>
              <w:rPr/>
            </w:pPr>
            <w:r>
              <w:rPr/>
              <w:t>$</w:t>
            </w:r>
          </w:p>
        </w:tc>
        <w:tc>
          <w:tcPr>
            <w:tcW w:w="1118" w:type="dxa"/>
            <w:tcBorders>
              <w:bottom w:val="double" w:sz="6" w:space="0" w:color="000000"/>
            </w:tcBorders>
            <w:shd w:fill="CCEEFF" w:val="clear"/>
            <w:vAlign w:val="center"/>
          </w:tcPr>
          <w:p>
            <w:pPr>
              <w:pStyle w:val="TableContents"/>
              <w:bidi w:val="0"/>
              <w:spacing w:before="0" w:after="283"/>
              <w:jc w:val="right"/>
              <w:rPr/>
            </w:pPr>
            <w:r>
              <w:rPr/>
              <w:t>7,381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597" w:type="dxa"/>
        <w:jc w:val="left"/>
        <w:tblInd w:w="0" w:type="dxa"/>
        <w:tblLayout w:type="fixed"/>
        <w:tblCellMar>
          <w:top w:w="0" w:type="dxa"/>
          <w:left w:w="0" w:type="dxa"/>
          <w:bottom w:w="28" w:type="dxa"/>
          <w:right w:w="0" w:type="dxa"/>
        </w:tblCellMar>
      </w:tblPr>
      <w:tblGrid>
        <w:gridCol w:w="1730"/>
        <w:gridCol w:w="60"/>
        <w:gridCol w:w="217"/>
        <w:gridCol w:w="1056"/>
        <w:gridCol w:w="93"/>
        <w:gridCol w:w="93"/>
        <w:gridCol w:w="217"/>
        <w:gridCol w:w="1056"/>
        <w:gridCol w:w="75"/>
      </w:tblGrid>
      <w:tr>
        <w:trPr/>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Geographic:</w:t>
            </w:r>
          </w:p>
        </w:tc>
        <w:tc>
          <w:tcPr>
            <w:tcW w:w="60" w:type="dxa"/>
            <w:tcBorders/>
            <w:tcMar>
              <w:bottom w:w="0" w:type="dxa"/>
            </w:tcMar>
            <w:vAlign w:val="center"/>
          </w:tcPr>
          <w:p>
            <w:pPr>
              <w:pStyle w:val="TableContents"/>
              <w:bidi w:val="0"/>
              <w:spacing w:before="0" w:after="283"/>
              <w:jc w:val="left"/>
              <w:rPr/>
            </w:pPr>
            <w:r>
              <w:rPr/>
              <w:t> </w:t>
            </w:r>
            <w:bookmarkStart w:id="302" w:name="xdx_493_20260101__20260630_zM9W2YFVWeM6"/>
            <w:bookmarkEnd w:id="302"/>
          </w:p>
        </w:tc>
        <w:tc>
          <w:tcPr>
            <w:tcW w:w="127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3"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bookmarkStart w:id="303" w:name="xdx_49D_20250101__20250630_zxGeC0F572A1"/>
            <w:bookmarkEnd w:id="303"/>
          </w:p>
        </w:tc>
        <w:tc>
          <w:tcPr>
            <w:tcW w:w="127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32" w:type="dxa"/>
            <w:gridSpan w:val="6"/>
            <w:tcBorders>
              <w:bottom w:val="single" w:sz="8" w:space="0" w:color="000000"/>
            </w:tcBorders>
            <w:vAlign w:val="center"/>
          </w:tcPr>
          <w:p>
            <w:pPr>
              <w:pStyle w:val="TableContents"/>
              <w:bidi w:val="0"/>
              <w:spacing w:before="0" w:after="283"/>
              <w:jc w:val="center"/>
              <w:rPr>
                <w:b/>
              </w:rPr>
            </w:pPr>
            <w:r>
              <w:rPr>
                <w:b/>
              </w:rPr>
              <w:t>Six months ended June 30,</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left"/>
              <w:rPr>
                <w:b/>
              </w:rPr>
            </w:pPr>
            <w:r>
              <w:rPr>
                <w:b/>
              </w:rPr>
              <w:t>Geographic:</w:t>
            </w:r>
          </w:p>
        </w:tc>
        <w:tc>
          <w:tcPr>
            <w:tcW w:w="60" w:type="dxa"/>
            <w:tcBorders/>
            <w:tcMar>
              <w:bottom w:w="0" w:type="dxa"/>
            </w:tcMar>
            <w:vAlign w:val="center"/>
          </w:tcPr>
          <w:p>
            <w:pPr>
              <w:pStyle w:val="TableContents"/>
              <w:bidi w:val="0"/>
              <w:spacing w:before="0" w:after="283"/>
              <w:jc w:val="left"/>
              <w:rPr/>
            </w:pPr>
            <w:r>
              <w:rPr/>
              <w:t> </w:t>
            </w:r>
          </w:p>
        </w:tc>
        <w:tc>
          <w:tcPr>
            <w:tcW w:w="1273" w:type="dxa"/>
            <w:gridSpan w:val="2"/>
            <w:tcBorders>
              <w:bottom w:val="single" w:sz="8" w:space="0" w:color="000000"/>
            </w:tcBorders>
            <w:vAlign w:val="center"/>
          </w:tcPr>
          <w:p>
            <w:pPr>
              <w:pStyle w:val="TableContents"/>
              <w:bidi w:val="0"/>
              <w:spacing w:before="0" w:after="283"/>
              <w:jc w:val="center"/>
              <w:rPr>
                <w:b/>
              </w:rPr>
            </w:pPr>
            <w:r>
              <w:rPr>
                <w:b/>
              </w:rPr>
              <w:t>2026</w:t>
            </w:r>
          </w:p>
        </w:tc>
        <w:tc>
          <w:tcPr>
            <w:tcW w:w="93"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1273"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b/>
              </w:rPr>
            </w:pPr>
            <w:r>
              <w:rPr>
                <w:b/>
              </w:rPr>
              <w:t>Product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304" w:name="xdx_404_eus-gaap--RevenueFromContractWit"/>
            <w:bookmarkEnd w:id="304"/>
          </w:p>
        </w:tc>
      </w:tr>
      <w:tr>
        <w:trPr/>
        <w:tc>
          <w:tcPr>
            <w:tcW w:w="1730" w:type="dxa"/>
            <w:tcBorders/>
            <w:shd w:fill="FFFFFF" w:val="clear"/>
            <w:tcMar>
              <w:bottom w:w="0" w:type="dxa"/>
            </w:tcMar>
            <w:vAlign w:val="center"/>
          </w:tcPr>
          <w:p>
            <w:pPr>
              <w:pStyle w:val="TableContents"/>
              <w:bidi w:val="0"/>
              <w:spacing w:before="0" w:after="283"/>
              <w:jc w:val="left"/>
              <w:rPr/>
            </w:pPr>
            <w:r>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1056" w:type="dxa"/>
            <w:tcBorders/>
            <w:shd w:fill="FFFFFF" w:val="clear"/>
            <w:tcMar>
              <w:bottom w:w="0" w:type="dxa"/>
            </w:tcMar>
            <w:vAlign w:val="center"/>
          </w:tcPr>
          <w:p>
            <w:pPr>
              <w:pStyle w:val="TableContents"/>
              <w:bidi w:val="0"/>
              <w:spacing w:before="0" w:after="283"/>
              <w:jc w:val="right"/>
              <w:rPr/>
            </w:pPr>
            <w:r>
              <w:rPr/>
              <w:t>18,012</w:t>
            </w:r>
          </w:p>
        </w:tc>
        <w:tc>
          <w:tcPr>
            <w:tcW w:w="93"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1056" w:type="dxa"/>
            <w:tcBorders/>
            <w:shd w:fill="FFFFFF" w:val="clear"/>
            <w:tcMar>
              <w:bottom w:w="0" w:type="dxa"/>
            </w:tcMar>
            <w:vAlign w:val="center"/>
          </w:tcPr>
          <w:p>
            <w:pPr>
              <w:pStyle w:val="TableContents"/>
              <w:bidi w:val="0"/>
              <w:spacing w:before="0" w:after="283"/>
              <w:jc w:val="right"/>
              <w:rPr/>
            </w:pPr>
            <w:r>
              <w:rPr/>
              <w:t>13,101</w:t>
            </w:r>
          </w:p>
        </w:tc>
        <w:tc>
          <w:tcPr>
            <w:tcW w:w="75" w:type="dxa"/>
            <w:tcBorders/>
            <w:shd w:fill="FFFFFF" w:val="clear"/>
            <w:tcMar>
              <w:bottom w:w="0" w:type="dxa"/>
            </w:tcMar>
            <w:vAlign w:val="center"/>
          </w:tcPr>
          <w:p>
            <w:pPr>
              <w:pStyle w:val="TableContents"/>
              <w:bidi w:val="0"/>
              <w:spacing w:before="0" w:after="283"/>
              <w:jc w:val="left"/>
              <w:rPr/>
            </w:pPr>
            <w:r>
              <w:rPr/>
              <w:t> </w:t>
            </w:r>
            <w:bookmarkStart w:id="305" w:name="xdx_404_eus-gaap--RevenueFromContractWit"/>
            <w:bookmarkEnd w:id="305"/>
          </w:p>
        </w:tc>
      </w:tr>
      <w:tr>
        <w:trPr/>
        <w:tc>
          <w:tcPr>
            <w:tcW w:w="1730" w:type="dxa"/>
            <w:tcBorders/>
            <w:shd w:fill="CCEEFF" w:val="clear"/>
            <w:tcMar>
              <w:bottom w:w="0" w:type="dxa"/>
            </w:tcMar>
            <w:vAlign w:val="center"/>
          </w:tcPr>
          <w:p>
            <w:pPr>
              <w:pStyle w:val="TableContents"/>
              <w:bidi w:val="0"/>
              <w:spacing w:before="0" w:after="283"/>
              <w:jc w:val="left"/>
              <w:rPr/>
            </w:pPr>
            <w:r>
              <w:rPr/>
              <w:t>United Kingdom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929</w:t>
            </w:r>
          </w:p>
        </w:tc>
        <w:tc>
          <w:tcPr>
            <w:tcW w:w="93"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884</w:t>
            </w:r>
          </w:p>
        </w:tc>
        <w:tc>
          <w:tcPr>
            <w:tcW w:w="75" w:type="dxa"/>
            <w:tcBorders/>
            <w:shd w:fill="CCEEFF" w:val="clear"/>
            <w:tcMar>
              <w:bottom w:w="0" w:type="dxa"/>
            </w:tcMar>
            <w:vAlign w:val="center"/>
          </w:tcPr>
          <w:p>
            <w:pPr>
              <w:pStyle w:val="TableContents"/>
              <w:bidi w:val="0"/>
              <w:spacing w:before="0" w:after="283"/>
              <w:jc w:val="left"/>
              <w:rPr/>
            </w:pPr>
            <w:r>
              <w:rPr/>
              <w:t> </w:t>
            </w:r>
            <w:bookmarkStart w:id="306" w:name="xdx_401_eus-gaap--RevenueFromContractWit"/>
            <w:bookmarkEnd w:id="306"/>
          </w:p>
        </w:tc>
      </w:tr>
      <w:tr>
        <w:trPr/>
        <w:tc>
          <w:tcPr>
            <w:tcW w:w="1730" w:type="dxa"/>
            <w:tcBorders/>
            <w:shd w:fill="FFFFFF" w:val="clear"/>
            <w:tcMar>
              <w:bottom w:w="0" w:type="dxa"/>
            </w:tcMar>
            <w:vAlign w:val="center"/>
          </w:tcPr>
          <w:p>
            <w:pPr>
              <w:pStyle w:val="TableContents"/>
              <w:bidi w:val="0"/>
              <w:spacing w:before="0" w:after="283"/>
              <w:jc w:val="left"/>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76</w:t>
            </w:r>
          </w:p>
        </w:tc>
        <w:tc>
          <w:tcPr>
            <w:tcW w:w="93"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83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b/>
              </w:rPr>
            </w:pPr>
            <w:r>
              <w:rPr>
                <w:b/>
              </w:rPr>
              <w:t>License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05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307" w:name="xdx_400_eus-gaap--RevenueFromContractWit"/>
            <w:bookmarkEnd w:id="307"/>
          </w:p>
        </w:tc>
      </w:tr>
      <w:tr>
        <w:trPr/>
        <w:tc>
          <w:tcPr>
            <w:tcW w:w="1730" w:type="dxa"/>
            <w:tcBorders/>
            <w:shd w:fill="FFFFFF" w:val="clear"/>
            <w:tcMar>
              <w:bottom w:w="0" w:type="dxa"/>
            </w:tcMar>
            <w:vAlign w:val="center"/>
          </w:tcPr>
          <w:p>
            <w:pPr>
              <w:pStyle w:val="TableContents"/>
              <w:bidi w:val="0"/>
              <w:spacing w:before="0" w:after="283"/>
              <w:jc w:val="left"/>
              <w:rPr/>
            </w:pPr>
            <w:r>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single" w:sz="8" w:space="0" w:color="000000"/>
            </w:tcBorders>
            <w:shd w:fill="FFFFFF" w:val="clear"/>
            <w:vAlign w:val="center"/>
          </w:tcPr>
          <w:p>
            <w:pPr>
              <w:pStyle w:val="TableContents"/>
              <w:bidi w:val="0"/>
              <w:spacing w:before="0" w:after="283"/>
              <w:jc w:val="left"/>
              <w:rPr/>
            </w:pPr>
            <w:r>
              <w:rPr/>
              <w:t> </w:t>
            </w:r>
          </w:p>
        </w:tc>
        <w:tc>
          <w:tcPr>
            <w:tcW w:w="1056" w:type="dxa"/>
            <w:tcBorders>
              <w:bottom w:val="single" w:sz="8" w:space="0" w:color="000000"/>
            </w:tcBorders>
            <w:shd w:fill="FFFFFF" w:val="clear"/>
            <w:vAlign w:val="center"/>
          </w:tcPr>
          <w:p>
            <w:pPr>
              <w:pStyle w:val="TableContents"/>
              <w:bidi w:val="0"/>
              <w:spacing w:before="0" w:after="283"/>
              <w:jc w:val="right"/>
              <w:rPr/>
            </w:pPr>
            <w:r>
              <w:rPr/>
              <w:t>17</w:t>
            </w:r>
          </w:p>
        </w:tc>
        <w:tc>
          <w:tcPr>
            <w:tcW w:w="93"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single" w:sz="8" w:space="0" w:color="000000"/>
            </w:tcBorders>
            <w:shd w:fill="FFFFFF" w:val="clear"/>
            <w:vAlign w:val="center"/>
          </w:tcPr>
          <w:p>
            <w:pPr>
              <w:pStyle w:val="TableContents"/>
              <w:bidi w:val="0"/>
              <w:spacing w:before="0" w:after="283"/>
              <w:jc w:val="left"/>
              <w:rPr/>
            </w:pPr>
            <w:r>
              <w:rPr/>
              <w:t> </w:t>
            </w:r>
          </w:p>
        </w:tc>
        <w:tc>
          <w:tcPr>
            <w:tcW w:w="1056" w:type="dxa"/>
            <w:tcBorders>
              <w:bottom w:val="single" w:sz="8" w:space="0" w:color="000000"/>
            </w:tcBorders>
            <w:shd w:fill="FFFFFF" w:val="clear"/>
            <w:vAlign w:val="center"/>
          </w:tcPr>
          <w:p>
            <w:pPr>
              <w:pStyle w:val="TableContents"/>
              <w:bidi w:val="0"/>
              <w:spacing w:before="0" w:after="283"/>
              <w:jc w:val="right"/>
              <w:rPr/>
            </w:pPr>
            <w:r>
              <w:rPr/>
              <w:t>32</w:t>
            </w:r>
          </w:p>
        </w:tc>
        <w:tc>
          <w:tcPr>
            <w:tcW w:w="75" w:type="dxa"/>
            <w:tcBorders/>
            <w:shd w:fill="FFFFFF" w:val="clear"/>
            <w:tcMar>
              <w:bottom w:w="0" w:type="dxa"/>
            </w:tcMar>
            <w:vAlign w:val="center"/>
          </w:tcPr>
          <w:p>
            <w:pPr>
              <w:pStyle w:val="TableContents"/>
              <w:bidi w:val="0"/>
              <w:spacing w:before="0" w:after="283"/>
              <w:jc w:val="left"/>
              <w:rPr/>
            </w:pPr>
            <w:r>
              <w:rPr/>
              <w:t> </w:t>
            </w:r>
            <w:bookmarkStart w:id="308" w:name="xdx_405_eus-gaap--RevenueFromContractWit"/>
            <w:bookmarkEnd w:id="308"/>
          </w:p>
        </w:tc>
      </w:tr>
      <w:tr>
        <w:trPr/>
        <w:tc>
          <w:tcPr>
            <w:tcW w:w="1730" w:type="dxa"/>
            <w:tcBorders/>
            <w:shd w:fill="CCEEFF" w:val="clear"/>
            <w:tcMar>
              <w:bottom w:w="0" w:type="dxa"/>
            </w:tcMar>
            <w:vAlign w:val="center"/>
          </w:tcPr>
          <w:p>
            <w:pPr>
              <w:pStyle w:val="TableContents"/>
              <w:bidi w:val="0"/>
              <w:spacing w:before="0" w:after="283"/>
              <w:jc w:val="left"/>
              <w:rPr/>
            </w:pPr>
            <w:r>
              <w:rPr/>
              <w:t>Total Net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vAlign w:val="center"/>
          </w:tcPr>
          <w:p>
            <w:pPr>
              <w:pStyle w:val="TableContents"/>
              <w:bidi w:val="0"/>
              <w:spacing w:before="0" w:after="283"/>
              <w:jc w:val="left"/>
              <w:rPr/>
            </w:pPr>
            <w:r>
              <w:rPr/>
              <w:t>$</w:t>
            </w:r>
          </w:p>
        </w:tc>
        <w:tc>
          <w:tcPr>
            <w:tcW w:w="1056" w:type="dxa"/>
            <w:tcBorders>
              <w:bottom w:val="double" w:sz="6" w:space="0" w:color="000000"/>
            </w:tcBorders>
            <w:shd w:fill="CCEEFF" w:val="clear"/>
            <w:vAlign w:val="center"/>
          </w:tcPr>
          <w:p>
            <w:pPr>
              <w:pStyle w:val="TableContents"/>
              <w:bidi w:val="0"/>
              <w:spacing w:before="0" w:after="283"/>
              <w:jc w:val="right"/>
              <w:rPr/>
            </w:pPr>
            <w:r>
              <w:rPr/>
              <w:t>19,034</w:t>
            </w:r>
          </w:p>
        </w:tc>
        <w:tc>
          <w:tcPr>
            <w:tcW w:w="93"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vAlign w:val="center"/>
          </w:tcPr>
          <w:p>
            <w:pPr>
              <w:pStyle w:val="TableContents"/>
              <w:bidi w:val="0"/>
              <w:spacing w:before="0" w:after="283"/>
              <w:jc w:val="left"/>
              <w:rPr/>
            </w:pPr>
            <w:r>
              <w:rPr/>
              <w:t>$</w:t>
            </w:r>
          </w:p>
        </w:tc>
        <w:tc>
          <w:tcPr>
            <w:tcW w:w="1056" w:type="dxa"/>
            <w:tcBorders>
              <w:bottom w:val="double" w:sz="6" w:space="0" w:color="000000"/>
            </w:tcBorders>
            <w:shd w:fill="CCEEFF" w:val="clear"/>
            <w:vAlign w:val="center"/>
          </w:tcPr>
          <w:p>
            <w:pPr>
              <w:pStyle w:val="TableContents"/>
              <w:bidi w:val="0"/>
              <w:spacing w:before="0" w:after="283"/>
              <w:jc w:val="right"/>
              <w:rPr/>
            </w:pPr>
            <w:r>
              <w:rPr/>
              <w:t>14,100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9" w:name="xdx_8A9_zNYPAjC3vhE2"/>
      <w:bookmarkEnd w:id="30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the customer and recognizes revenue once its performance obligations are satisfied, at which point payment is unconditional. Agreed upon payment terms with customers are within 30 days of shipment. Accordingly, contracts with customers do not include a significant financing component.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0" w:name="xdx_80D_eus-gaap--FairValueMeasurementIn"/>
      <w:bookmarkEnd w:id="310"/>
      <w:r>
        <w:rPr>
          <w:rFonts w:ascii="Times New Roman;Times;Serif" w:hAnsi="Times New Roman;Times;Serif"/>
          <w:b/>
          <w:i w:val="false"/>
          <w:caps w:val="false"/>
          <w:smallCaps w:val="false"/>
          <w:sz w:val="20"/>
        </w:rPr>
        <w:t xml:space="preserve">Note 5. </w:t>
      </w:r>
      <w:bookmarkStart w:id="311" w:name="xdx_82A_zINzFsc9AAS3"/>
      <w:bookmarkEnd w:id="311"/>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carried at fair value are classified and disclosed in one of the following three levels of the fair value hierarchy: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1—Quoted prices in active markets for identical assets or liabilities.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Company’s marketable securities in the amount of $</w:t>
      </w:r>
      <w:bookmarkStart w:id="312" w:name="xdx_90A_eus-gaap--AvailableForSaleSecuri"/>
      <w:bookmarkEnd w:id="312"/>
      <w:r>
        <w:rPr>
          <w:rFonts w:ascii="Times New Roman;Times;Serif" w:hAnsi="Times New Roman;Times;Serif"/>
          <w:b w:val="false"/>
          <w:i w:val="false"/>
          <w:caps w:val="false"/>
          <w:smallCaps w:val="false"/>
          <w:sz w:val="20"/>
        </w:rPr>
        <w:t>1.5 million and $</w:t>
      </w:r>
      <w:bookmarkStart w:id="313" w:name="xdx_90C_eus-gaap--AvailableForSaleSecuri"/>
      <w:bookmarkEnd w:id="313"/>
      <w:r>
        <w:rPr>
          <w:rFonts w:ascii="Times New Roman;Times;Serif" w:hAnsi="Times New Roman;Times;Serif"/>
          <w:b w:val="false"/>
          <w:i w:val="false"/>
          <w:caps w:val="false"/>
          <w:smallCaps w:val="false"/>
          <w:sz w:val="20"/>
        </w:rPr>
        <w:t>4.6 million, respectively, were carried at fair value in accordance with Level 1 as described above. The Company recognizes transfers between levels of the fair value hierarchy as of the end of the reporting period. There were no transfers within the hierarchy during the three and six months ended June 30, 2026 and the year ended December 31, 2025. The carrying amount of the Company’s receivables and payables approximate their fair value due to their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4" w:name="xdx_80B_eus-gaap--InventoryDisclosureTex"/>
      <w:bookmarkEnd w:id="314"/>
      <w:r>
        <w:rPr>
          <w:rFonts w:ascii="Times New Roman;Times;Serif" w:hAnsi="Times New Roman;Times;Serif"/>
          <w:b/>
          <w:i w:val="false"/>
          <w:caps w:val="false"/>
          <w:smallCaps w:val="false"/>
          <w:sz w:val="20"/>
        </w:rPr>
        <w:t xml:space="preserve">Note 6. </w:t>
      </w:r>
      <w:bookmarkStart w:id="315" w:name="xdx_826_z7pQ75icqGm8"/>
      <w:bookmarkEnd w:id="315"/>
      <w:r>
        <w:rPr>
          <w:rFonts w:ascii="Times New Roman;Times;Serif" w:hAnsi="Times New Roman;Times;Serif"/>
          <w:b/>
          <w:i w:val="false"/>
          <w:caps w:val="false"/>
          <w:smallCaps w:val="false"/>
          <w:sz w:val="20"/>
        </w:rPr>
        <w:t xml:space="preserve">Inventory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6" w:name="xdx_898_eus-gaap--ScheduleOfInventoryCur"/>
      <w:bookmarkEnd w:id="316"/>
      <w:r>
        <w:rPr>
          <w:rFonts w:ascii="Times New Roman;Times;Serif" w:hAnsi="Times New Roman;Times;Serif"/>
          <w:b w:val="false"/>
          <w:i w:val="false"/>
          <w:caps w:val="false"/>
          <w:smallCaps w:val="false"/>
          <w:sz w:val="20"/>
        </w:rPr>
        <w:t>As of June 30, 2026 and December 31, 2025, inventories consisted of the following:</w:t>
      </w:r>
    </w:p>
    <w:p>
      <w:pPr>
        <w:pStyle w:val="TextBody"/>
        <w:bidi w:val="0"/>
        <w:spacing w:before="0" w:after="0"/>
        <w:ind w:left="0" w:right="0" w:hanging="0"/>
        <w:jc w:val="left"/>
        <w:rPr>
          <w:caps w:val="false"/>
          <w:smallCaps w:val="false"/>
        </w:rPr>
      </w:pPr>
      <w:r>
        <w:rPr>
          <w:caps w:val="false"/>
          <w:smallCaps w:val="false"/>
        </w:rPr>
        <w:t> </w:t>
      </w:r>
      <w:bookmarkStart w:id="317" w:name="xdx_8B0_zOaBCycRf8Mb"/>
      <w:bookmarkEnd w:id="317"/>
      <w:r>
        <w:rPr>
          <w:rFonts w:ascii="Times New Roman;Times;Serif" w:hAnsi="Times New Roman;Times;Serif"/>
          <w:b w:val="false"/>
          <w:i w:val="false"/>
          <w:caps w:val="false"/>
          <w:smallCaps w:val="false"/>
          <w:sz w:val="20"/>
        </w:rPr>
        <w:t>Schedule of Inventories </w:t>
      </w:r>
    </w:p>
    <w:tbl>
      <w:tblPr>
        <w:tblW w:w="4125" w:type="dxa"/>
        <w:jc w:val="left"/>
        <w:tblInd w:w="0" w:type="dxa"/>
        <w:tblLayout w:type="fixed"/>
        <w:tblCellMar>
          <w:top w:w="0" w:type="dxa"/>
          <w:left w:w="0" w:type="dxa"/>
          <w:bottom w:w="0" w:type="dxa"/>
          <w:right w:w="0" w:type="dxa"/>
        </w:tblCellMar>
      </w:tblPr>
      <w:tblGrid>
        <w:gridCol w:w="1580"/>
        <w:gridCol w:w="60"/>
        <w:gridCol w:w="175"/>
        <w:gridCol w:w="700"/>
        <w:gridCol w:w="60"/>
        <w:gridCol w:w="60"/>
        <w:gridCol w:w="283"/>
        <w:gridCol w:w="1132"/>
        <w:gridCol w:w="7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3_20260630_zhSa7a0LnWGl"/>
            <w:bookmarkEnd w:id="318"/>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9" w:name="xdx_49A_20251231_zboToCrpvLe8"/>
            <w:bookmarkEnd w:id="319"/>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20" w:name="xdx_409_eus-gaap--InventoryRawMaterials_"/>
            <w:bookmarkEnd w:id="320"/>
          </w:p>
        </w:tc>
      </w:tr>
      <w:tr>
        <w:trPr/>
        <w:tc>
          <w:tcPr>
            <w:tcW w:w="158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1,278</w:t>
            </w:r>
          </w:p>
        </w:tc>
        <w:tc>
          <w:tcPr>
            <w:tcW w:w="75" w:type="dxa"/>
            <w:tcBorders/>
            <w:shd w:fill="CCEEFF" w:val="clear"/>
            <w:vAlign w:val="center"/>
          </w:tcPr>
          <w:p>
            <w:pPr>
              <w:pStyle w:val="TableContents"/>
              <w:bidi w:val="0"/>
              <w:spacing w:before="0" w:after="283"/>
              <w:jc w:val="left"/>
              <w:rPr/>
            </w:pPr>
            <w:r>
              <w:rPr/>
              <w:t> </w:t>
            </w:r>
            <w:bookmarkStart w:id="321" w:name="xdx_407_eus-gaap--InventoryWorkInProcess"/>
            <w:bookmarkEnd w:id="321"/>
          </w:p>
        </w:tc>
      </w:tr>
      <w:tr>
        <w:trPr/>
        <w:tc>
          <w:tcPr>
            <w:tcW w:w="1580"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62</w:t>
            </w:r>
          </w:p>
        </w:tc>
        <w:tc>
          <w:tcPr>
            <w:tcW w:w="75" w:type="dxa"/>
            <w:tcBorders/>
            <w:shd w:fill="FFFFFF" w:val="clear"/>
            <w:vAlign w:val="center"/>
          </w:tcPr>
          <w:p>
            <w:pPr>
              <w:pStyle w:val="TableContents"/>
              <w:bidi w:val="0"/>
              <w:spacing w:before="0" w:after="283"/>
              <w:jc w:val="left"/>
              <w:rPr/>
            </w:pPr>
            <w:r>
              <w:rPr/>
              <w:t> </w:t>
            </w:r>
            <w:bookmarkStart w:id="322" w:name="xdx_400_eus-gaap--InventoryFinishedGoods"/>
            <w:bookmarkEnd w:id="322"/>
          </w:p>
        </w:tc>
      </w:tr>
      <w:tr>
        <w:trPr/>
        <w:tc>
          <w:tcPr>
            <w:tcW w:w="158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1,155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291</w:t>
            </w:r>
          </w:p>
        </w:tc>
        <w:tc>
          <w:tcPr>
            <w:tcW w:w="75" w:type="dxa"/>
            <w:tcBorders/>
            <w:shd w:fill="CCEEFF" w:val="clear"/>
            <w:vAlign w:val="center"/>
          </w:tcPr>
          <w:p>
            <w:pPr>
              <w:pStyle w:val="TableContents"/>
              <w:bidi w:val="0"/>
              <w:spacing w:before="0" w:after="283"/>
              <w:jc w:val="left"/>
              <w:rPr/>
            </w:pPr>
            <w:r>
              <w:rPr/>
              <w:t> </w:t>
            </w:r>
            <w:bookmarkStart w:id="323" w:name="xdx_40E_eus-gaap--InventoryNet_iTI_pn3n3"/>
            <w:bookmarkEnd w:id="323"/>
          </w:p>
        </w:tc>
      </w:tr>
      <w:tr>
        <w:trPr/>
        <w:tc>
          <w:tcPr>
            <w:tcW w:w="1580" w:type="dxa"/>
            <w:tcBorders/>
            <w:shd w:fill="FFFFFF" w:val="clear"/>
            <w:vAlign w:val="center"/>
          </w:tcPr>
          <w:p>
            <w:pPr>
              <w:pStyle w:val="TableContents"/>
              <w:bidi w:val="0"/>
              <w:spacing w:before="0" w:after="283"/>
              <w:jc w:val="left"/>
              <w:rPr/>
            </w:pPr>
            <w:r>
              <w:rPr/>
              <w:t>Total inventory</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2,418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1,631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4" w:name="xdx_8AA_zIZWQHCRlSp3"/>
      <w:bookmarkEnd w:id="3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reserve for obsolete inventory was $</w:t>
      </w:r>
      <w:bookmarkStart w:id="325" w:name="xdx_906_eus-gaap--InventoryValuationRese"/>
      <w:bookmarkEnd w:id="325"/>
      <w:r>
        <w:rPr>
          <w:rFonts w:ascii="Times New Roman;Times;Serif" w:hAnsi="Times New Roman;Times;Serif"/>
          <w:b w:val="false"/>
          <w:i w:val="false"/>
          <w:caps w:val="false"/>
          <w:smallCaps w:val="false"/>
          <w:sz w:val="20"/>
        </w:rPr>
        <w:t>0.3 million and $</w:t>
      </w:r>
      <w:bookmarkStart w:id="326" w:name="xdx_902_eus-gaap--InventoryValuationRese"/>
      <w:bookmarkEnd w:id="326"/>
      <w:r>
        <w:rPr>
          <w:rFonts w:ascii="Times New Roman;Times;Serif" w:hAnsi="Times New Roman;Times;Serif"/>
          <w:b w:val="false"/>
          <w:i w:val="false"/>
          <w:caps w:val="false"/>
          <w:smallCaps w:val="false"/>
          <w:sz w:val="20"/>
        </w:rPr>
        <w:t>0.3 million as of June 30, 2026 and December 31, 2025, respectively. The Company records charges for obsolete inventory in cost of goods sold. Inventory classified under the category “Work in process” consists of prefabricated assembled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7" w:name="xdx_800_eus-gaap--LesseeOperatingLeasesT"/>
      <w:bookmarkEnd w:id="327"/>
      <w:r>
        <w:rPr>
          <w:rFonts w:ascii="Times New Roman;Times;Serif" w:hAnsi="Times New Roman;Times;Serif"/>
          <w:b/>
          <w:i w:val="false"/>
          <w:caps w:val="false"/>
          <w:smallCaps w:val="false"/>
          <w:sz w:val="20"/>
        </w:rPr>
        <w:t xml:space="preserve">Note 7. </w:t>
      </w:r>
      <w:bookmarkStart w:id="328" w:name="xdx_82D_zNgkkHzM6gKi"/>
      <w:bookmarkEnd w:id="328"/>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headquarters location in Rockaway, New Jersey. For the three and six months ended June 30, 2026, the Company recognized lease expenses of $</w:t>
      </w:r>
      <w:bookmarkStart w:id="329" w:name="xdx_905_eus-gaap--OperatingLeaseExpense_"/>
      <w:bookmarkEnd w:id="329"/>
      <w:r>
        <w:rPr>
          <w:rFonts w:ascii="Times New Roman;Times;Serif" w:hAnsi="Times New Roman;Times;Serif"/>
          <w:b w:val="false"/>
          <w:i w:val="false"/>
          <w:caps w:val="false"/>
          <w:smallCaps w:val="false"/>
          <w:sz w:val="20"/>
        </w:rPr>
        <w:t>120,000 and $</w:t>
      </w:r>
      <w:bookmarkStart w:id="330" w:name="xdx_902_eus-gaap--OperatingLeaseExpense_"/>
      <w:bookmarkEnd w:id="330"/>
      <w:r>
        <w:rPr>
          <w:rFonts w:ascii="Times New Roman;Times;Serif" w:hAnsi="Times New Roman;Times;Serif"/>
          <w:b w:val="false"/>
          <w:i w:val="false"/>
          <w:caps w:val="false"/>
          <w:smallCaps w:val="false"/>
          <w:sz w:val="20"/>
        </w:rPr>
        <w:t>240,000, respectively. For the three and six months ended June 30, 2025, the Company recognized lease expense of $</w:t>
      </w:r>
      <w:bookmarkStart w:id="331" w:name="xdx_908_eus-gaap--OperatingLeaseExpense_"/>
      <w:bookmarkEnd w:id="331"/>
      <w:r>
        <w:rPr>
          <w:rFonts w:ascii="Times New Roman;Times;Serif" w:hAnsi="Times New Roman;Times;Serif"/>
          <w:b w:val="false"/>
          <w:i w:val="false"/>
          <w:caps w:val="false"/>
          <w:smallCaps w:val="false"/>
          <w:sz w:val="20"/>
        </w:rPr>
        <w:t>178,000 and $</w:t>
      </w:r>
      <w:bookmarkStart w:id="332" w:name="xdx_90A_eus-gaap--OperatingLeaseExpense_"/>
      <w:bookmarkEnd w:id="332"/>
      <w:r>
        <w:rPr>
          <w:rFonts w:ascii="Times New Roman;Times;Serif" w:hAnsi="Times New Roman;Times;Serif"/>
          <w:b w:val="false"/>
          <w:i w:val="false"/>
          <w:caps w:val="false"/>
          <w:smallCaps w:val="false"/>
          <w:sz w:val="20"/>
        </w:rPr>
        <w:t>356,000, respectively. This expense does not include non-lease components associated with the lease agreements as the Company elected not to include such charges as part of the lease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3" w:name="xdx_89D_ecustom--ScheduleOfSupplementalB"/>
      <w:bookmarkEnd w:id="333"/>
      <w:r>
        <w:rPr>
          <w:rFonts w:ascii="Times New Roman;Times;Serif" w:hAnsi="Times New Roman;Times;Serif"/>
          <w:b w:val="false"/>
          <w:i w:val="false"/>
          <w:caps w:val="false"/>
          <w:smallCaps w:val="false"/>
          <w:sz w:val="20"/>
        </w:rPr>
        <w:t>Supplemental Balance Sheet Information for Operating Leases:</w:t>
      </w:r>
    </w:p>
    <w:p>
      <w:pPr>
        <w:pStyle w:val="TextBody"/>
        <w:bidi w:val="0"/>
        <w:spacing w:before="0" w:after="0"/>
        <w:ind w:left="0" w:right="0" w:hanging="0"/>
        <w:jc w:val="left"/>
        <w:rPr>
          <w:caps w:val="false"/>
          <w:smallCaps w:val="false"/>
        </w:rPr>
      </w:pPr>
      <w:r>
        <w:rPr>
          <w:caps w:val="false"/>
          <w:smallCaps w:val="false"/>
        </w:rPr>
        <w:t> </w:t>
      </w:r>
      <w:bookmarkStart w:id="334" w:name="xdx_8B2_zJzCgCWaIyk6"/>
      <w:bookmarkEnd w:id="334"/>
      <w:r>
        <w:rPr>
          <w:rFonts w:ascii="Times New Roman;Times;Serif" w:hAnsi="Times New Roman;Times;Serif"/>
          <w:b w:val="false"/>
          <w:i w:val="false"/>
          <w:caps w:val="false"/>
          <w:smallCaps w:val="false"/>
          <w:sz w:val="20"/>
        </w:rPr>
        <w:t>Schedule of Operating Leases </w:t>
      </w:r>
    </w:p>
    <w:tbl>
      <w:tblPr>
        <w:tblW w:w="9520" w:type="dxa"/>
        <w:jc w:val="left"/>
        <w:tblInd w:w="0" w:type="dxa"/>
        <w:tblLayout w:type="fixed"/>
        <w:tblCellMar>
          <w:top w:w="0" w:type="dxa"/>
          <w:left w:w="0" w:type="dxa"/>
          <w:bottom w:w="0" w:type="dxa"/>
          <w:right w:w="0" w:type="dxa"/>
        </w:tblCellMar>
      </w:tblPr>
      <w:tblGrid>
        <w:gridCol w:w="6665"/>
        <w:gridCol w:w="60"/>
        <w:gridCol w:w="175"/>
        <w:gridCol w:w="700"/>
        <w:gridCol w:w="215"/>
        <w:gridCol w:w="60"/>
        <w:gridCol w:w="283"/>
        <w:gridCol w:w="1132"/>
        <w:gridCol w:w="230"/>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5" w:name="xdx_49B_20260630_zhqaEWijQFg1"/>
            <w:bookmarkEnd w:id="335"/>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6" w:name="xdx_49E_20251231_zltF49PnibC9"/>
            <w:bookmarkEnd w:id="336"/>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bookmarkStart w:id="337" w:name="xdx_408_eus-gaap--LesseeOperatingLeaseDe"/>
            <w:bookmarkEnd w:id="337"/>
          </w:p>
        </w:tc>
      </w:tr>
      <w:tr>
        <w:trPr/>
        <w:tc>
          <w:tcPr>
            <w:tcW w:w="6665" w:type="dxa"/>
            <w:tcBorders/>
            <w:shd w:fill="CCEEFF" w:val="clear"/>
            <w:vAlign w:val="center"/>
          </w:tcPr>
          <w:p>
            <w:pPr>
              <w:pStyle w:val="TableContents"/>
              <w:bidi w:val="0"/>
              <w:spacing w:before="0" w:after="283"/>
              <w:jc w:val="left"/>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338" w:name="xdx_40A_eus-gaap--OperatingLeaseRightOfU"/>
            <w:bookmarkEnd w:id="338"/>
          </w:p>
        </w:tc>
      </w:tr>
      <w:tr>
        <w:trPr/>
        <w:tc>
          <w:tcPr>
            <w:tcW w:w="6665" w:type="dxa"/>
            <w:tcBorders/>
            <w:shd w:fill="FFFFFF" w:val="clear"/>
            <w:vAlign w:val="center"/>
          </w:tcPr>
          <w:p>
            <w:pPr>
              <w:pStyle w:val="TableContents"/>
              <w:bidi w:val="0"/>
              <w:spacing w:before="0" w:after="283"/>
              <w:jc w:val="left"/>
              <w:rPr/>
            </w:pPr>
            <w:r>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0" w:type="dxa"/>
            <w:tcBorders/>
            <w:shd w:fill="FFFFFF" w:val="clear"/>
            <w:vAlign w:val="center"/>
          </w:tcPr>
          <w:p>
            <w:pPr>
              <w:pStyle w:val="TableContents"/>
              <w:bidi w:val="0"/>
              <w:spacing w:before="0" w:after="283"/>
              <w:jc w:val="right"/>
              <w:rPr/>
            </w:pPr>
            <w:r>
              <w:rPr/>
              <w:t>2,512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2,565</w:t>
            </w:r>
          </w:p>
        </w:tc>
        <w:tc>
          <w:tcPr>
            <w:tcW w:w="230" w:type="dxa"/>
            <w:tcBorders/>
            <w:shd w:fill="FFFFFF" w:val="clear"/>
            <w:vAlign w:val="center"/>
          </w:tcPr>
          <w:p>
            <w:pPr>
              <w:pStyle w:val="TableContents"/>
              <w:bidi w:val="0"/>
              <w:spacing w:before="0" w:after="283"/>
              <w:jc w:val="left"/>
              <w:rPr/>
            </w:pPr>
            <w:r>
              <w:rPr/>
              <w:t> </w:t>
            </w:r>
            <w:bookmarkStart w:id="339" w:name="xdx_408_eus-gaap--OperatingLeaseLiabilit"/>
            <w:bookmarkEnd w:id="339"/>
          </w:p>
        </w:tc>
      </w:tr>
      <w:tr>
        <w:trPr/>
        <w:tc>
          <w:tcPr>
            <w:tcW w:w="666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340" w:name="xdx_404_eus-gaap--OperatingLeaseLiabilit"/>
            <w:bookmarkEnd w:id="340"/>
          </w:p>
        </w:tc>
      </w:tr>
      <w:tr>
        <w:trPr/>
        <w:tc>
          <w:tcPr>
            <w:tcW w:w="6665"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383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375</w:t>
            </w:r>
          </w:p>
        </w:tc>
        <w:tc>
          <w:tcPr>
            <w:tcW w:w="230" w:type="dxa"/>
            <w:tcBorders/>
            <w:shd w:fill="FFFFFF" w:val="clear"/>
            <w:vAlign w:val="center"/>
          </w:tcPr>
          <w:p>
            <w:pPr>
              <w:pStyle w:val="TableContents"/>
              <w:bidi w:val="0"/>
              <w:spacing w:before="0" w:after="283"/>
              <w:jc w:val="left"/>
              <w:rPr/>
            </w:pPr>
            <w:r>
              <w:rPr/>
              <w:t> </w:t>
            </w:r>
            <w:bookmarkStart w:id="341" w:name="xdx_40E_eus-gaap--OperatingLeaseLiabilit"/>
            <w:bookmarkEnd w:id="341"/>
          </w:p>
        </w:tc>
      </w:tr>
      <w:tr>
        <w:trPr/>
        <w:tc>
          <w:tcPr>
            <w:tcW w:w="6665" w:type="dxa"/>
            <w:tcBorders/>
            <w:shd w:fill="CCEEFF" w:val="clear"/>
            <w:vAlign w:val="center"/>
          </w:tcPr>
          <w:p>
            <w:pPr>
              <w:pStyle w:val="TableContents"/>
              <w:bidi w:val="0"/>
              <w:spacing w:before="0" w:after="283"/>
              <w:jc w:val="left"/>
              <w:rPr/>
            </w:pPr>
            <w:r>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2,412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2,421</w:t>
            </w:r>
          </w:p>
        </w:tc>
        <w:tc>
          <w:tcPr>
            <w:tcW w:w="230" w:type="dxa"/>
            <w:tcBorders/>
            <w:shd w:fill="CCEEFF" w:val="clear"/>
            <w:vAlign w:val="center"/>
          </w:tcPr>
          <w:p>
            <w:pPr>
              <w:pStyle w:val="TableContents"/>
              <w:bidi w:val="0"/>
              <w:spacing w:before="0" w:after="283"/>
              <w:jc w:val="left"/>
              <w:rPr/>
            </w:pPr>
            <w:r>
              <w:rPr/>
              <w:t> </w:t>
            </w:r>
            <w:bookmarkStart w:id="342" w:name="xdx_40B_eus-gaap--OperatingLeaseLiabilit"/>
            <w:bookmarkEnd w:id="342"/>
          </w:p>
        </w:tc>
      </w:tr>
      <w:tr>
        <w:trPr/>
        <w:tc>
          <w:tcPr>
            <w:tcW w:w="666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2,795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2,796</w:t>
            </w:r>
          </w:p>
        </w:tc>
        <w:tc>
          <w:tcPr>
            <w:tcW w:w="23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Operating cash flows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343" w:name="xdx_983_eus-gaap--OperatingLeasePayments"/>
            <w:bookmarkEnd w:id="343"/>
          </w:p>
        </w:tc>
        <w:tc>
          <w:tcPr>
            <w:tcW w:w="700" w:type="dxa"/>
            <w:tcBorders/>
            <w:shd w:fill="CCEEFF" w:val="clear"/>
            <w:vAlign w:val="center"/>
          </w:tcPr>
          <w:p>
            <w:pPr>
              <w:pStyle w:val="TableContents"/>
              <w:bidi w:val="0"/>
              <w:spacing w:before="0" w:after="283"/>
              <w:jc w:val="right"/>
              <w:rPr/>
            </w:pPr>
            <w:r>
              <w:rPr/>
              <w:t>189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344" w:name="xdx_98D_eus-gaap--OperatingLeasePayments"/>
            <w:bookmarkEnd w:id="344"/>
          </w:p>
        </w:tc>
        <w:tc>
          <w:tcPr>
            <w:tcW w:w="1132" w:type="dxa"/>
            <w:tcBorders/>
            <w:shd w:fill="CCEEFF" w:val="clear"/>
            <w:vAlign w:val="center"/>
          </w:tcPr>
          <w:p>
            <w:pPr>
              <w:pStyle w:val="TableContents"/>
              <w:bidi w:val="0"/>
              <w:spacing w:before="0" w:after="283"/>
              <w:jc w:val="right"/>
              <w:rPr/>
            </w:pPr>
            <w:r>
              <w:rPr/>
              <w:t>369</w:t>
            </w:r>
          </w:p>
        </w:tc>
        <w:tc>
          <w:tcPr>
            <w:tcW w:w="23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bookmarkStart w:id="345" w:name="xdx_906_eus-gaap--OperatingLeaseWeighted"/>
            <w:bookmarkEnd w:id="345"/>
            <w:r>
              <w:rPr/>
              <w:t>12.9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bookmarkStart w:id="346" w:name="xdx_900_eus-gaap--OperatingLeaseWeighted"/>
            <w:bookmarkEnd w:id="346"/>
            <w:r>
              <w:rPr/>
              <w:t>13.4</w:t>
            </w:r>
          </w:p>
        </w:tc>
        <w:tc>
          <w:tcPr>
            <w:tcW w:w="23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bookmarkStart w:id="347" w:name="xdx_90E_eus-gaap--OperatingLeaseWeighted"/>
            <w:bookmarkEnd w:id="347"/>
            <w:r>
              <w:rPr/>
              <w:t>13.5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bookmarkStart w:id="348" w:name="xdx_902_eus-gaap--OperatingLeaseWeighted"/>
            <w:bookmarkEnd w:id="348"/>
            <w:r>
              <w:rPr/>
              <w:t>13.5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bookmarkStart w:id="349" w:name="xdx_8A9_zWUv278k4Ak2"/>
      <w:bookmarkEnd w:id="3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94_eus-gaap--LesseeOperatingLeaseLi"/>
      <w:bookmarkEnd w:id="350"/>
      <w:r>
        <w:rPr>
          <w:rFonts w:ascii="Times New Roman;Times;Serif" w:hAnsi="Times New Roman;Times;Serif"/>
          <w:b w:val="false"/>
          <w:i w:val="false"/>
          <w:caps w:val="false"/>
          <w:smallCaps w:val="false"/>
          <w:sz w:val="20"/>
        </w:rPr>
        <w:t>Future minimum lease payments under non-cancelable operating leases as of June 30, 2026:</w:t>
      </w:r>
    </w:p>
    <w:p>
      <w:pPr>
        <w:pStyle w:val="TextBody"/>
        <w:bidi w:val="0"/>
        <w:spacing w:before="0" w:after="0"/>
        <w:ind w:left="0" w:right="0" w:hanging="0"/>
        <w:jc w:val="left"/>
        <w:rPr>
          <w:caps w:val="false"/>
          <w:smallCaps w:val="false"/>
        </w:rPr>
      </w:pPr>
      <w:r>
        <w:rPr>
          <w:caps w:val="false"/>
          <w:smallCaps w:val="false"/>
        </w:rPr>
        <w:t> </w:t>
      </w:r>
      <w:bookmarkStart w:id="351" w:name="xdx_8BB_zkXXulAedt57"/>
      <w:bookmarkEnd w:id="351"/>
      <w:r>
        <w:rPr>
          <w:rFonts w:ascii="Times New Roman;Times;Serif" w:hAnsi="Times New Roman;Times;Serif"/>
          <w:b w:val="false"/>
          <w:i w:val="false"/>
          <w:caps w:val="false"/>
          <w:smallCaps w:val="false"/>
          <w:sz w:val="20"/>
        </w:rPr>
        <w:t>Schedule of Future Lease Payments </w:t>
      </w:r>
    </w:p>
    <w:tbl>
      <w:tblPr>
        <w:tblW w:w="4535" w:type="dxa"/>
        <w:jc w:val="left"/>
        <w:tblInd w:w="0" w:type="dxa"/>
        <w:tblLayout w:type="fixed"/>
        <w:tblCellMar>
          <w:top w:w="0" w:type="dxa"/>
          <w:left w:w="0" w:type="dxa"/>
          <w:bottom w:w="0" w:type="dxa"/>
          <w:right w:w="0" w:type="dxa"/>
        </w:tblCellMar>
      </w:tblPr>
      <w:tblGrid>
        <w:gridCol w:w="3590"/>
        <w:gridCol w:w="60"/>
        <w:gridCol w:w="140"/>
        <w:gridCol w:w="635"/>
        <w:gridCol w:w="110"/>
      </w:tblGrid>
      <w:tr>
        <w:trPr/>
        <w:tc>
          <w:tcPr>
            <w:tcW w:w="3590" w:type="dxa"/>
            <w:tcBorders/>
            <w:vAlign w:val="center"/>
          </w:tcPr>
          <w:p>
            <w:pPr>
              <w:pStyle w:val="TableContents"/>
              <w:bidi w:val="0"/>
              <w:spacing w:before="0" w:after="283"/>
              <w:jc w:val="left"/>
              <w:rPr>
                <w:b/>
              </w:rPr>
            </w:pPr>
            <w:r>
              <w:rPr>
                <w:b/>
              </w:rPr>
              <w:t>Financial year (in thousands)</w:t>
            </w:r>
          </w:p>
        </w:tc>
        <w:tc>
          <w:tcPr>
            <w:tcW w:w="60" w:type="dxa"/>
            <w:tcBorders/>
            <w:vAlign w:val="center"/>
          </w:tcPr>
          <w:p>
            <w:pPr>
              <w:pStyle w:val="TableContents"/>
              <w:bidi w:val="0"/>
              <w:spacing w:before="0" w:after="283"/>
              <w:jc w:val="left"/>
              <w:rPr/>
            </w:pPr>
            <w:r>
              <w:rPr/>
              <w:t> </w:t>
            </w:r>
            <w:bookmarkStart w:id="352" w:name="xdx_495_20260630_zngyahSvOR66"/>
            <w:bookmarkEnd w:id="352"/>
          </w:p>
        </w:tc>
        <w:tc>
          <w:tcPr>
            <w:tcW w:w="7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353" w:name="xdx_405_eus-gaap--LesseeOperatingLeaseLi"/>
            <w:bookmarkEnd w:id="353"/>
          </w:p>
        </w:tc>
      </w:tr>
      <w:tr>
        <w:trPr/>
        <w:tc>
          <w:tcPr>
            <w:tcW w:w="3590"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194</w:t>
            </w:r>
          </w:p>
        </w:tc>
        <w:tc>
          <w:tcPr>
            <w:tcW w:w="110" w:type="dxa"/>
            <w:tcBorders/>
            <w:shd w:fill="CCEEFF" w:val="clear"/>
            <w:vAlign w:val="center"/>
          </w:tcPr>
          <w:p>
            <w:pPr>
              <w:pStyle w:val="TableContents"/>
              <w:bidi w:val="0"/>
              <w:spacing w:before="0" w:after="283"/>
              <w:jc w:val="left"/>
              <w:rPr/>
            </w:pPr>
            <w:r>
              <w:rPr/>
              <w:t> </w:t>
            </w:r>
            <w:bookmarkStart w:id="354" w:name="xdx_408_eus-gaap--LesseeOperatingLeaseLi"/>
            <w:bookmarkEnd w:id="354"/>
          </w:p>
        </w:tc>
      </w:tr>
      <w:tr>
        <w:trPr/>
        <w:tc>
          <w:tcPr>
            <w:tcW w:w="359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bookmarkStart w:id="355" w:name="xdx_40A_eus-gaap--LesseeOperatingLeaseLi"/>
            <w:bookmarkEnd w:id="355"/>
          </w:p>
        </w:tc>
      </w:tr>
      <w:tr>
        <w:trPr/>
        <w:tc>
          <w:tcPr>
            <w:tcW w:w="359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412</w:t>
            </w:r>
          </w:p>
        </w:tc>
        <w:tc>
          <w:tcPr>
            <w:tcW w:w="110" w:type="dxa"/>
            <w:tcBorders/>
            <w:shd w:fill="CCEEFF" w:val="clear"/>
            <w:vAlign w:val="center"/>
          </w:tcPr>
          <w:p>
            <w:pPr>
              <w:pStyle w:val="TableContents"/>
              <w:bidi w:val="0"/>
              <w:spacing w:before="0" w:after="283"/>
              <w:jc w:val="left"/>
              <w:rPr/>
            </w:pPr>
            <w:r>
              <w:rPr/>
              <w:t> </w:t>
            </w:r>
            <w:bookmarkStart w:id="356" w:name="xdx_409_eus-gaap--LesseeOperatingLeaseLi"/>
            <w:bookmarkEnd w:id="356"/>
          </w:p>
        </w:tc>
      </w:tr>
      <w:tr>
        <w:trPr/>
        <w:tc>
          <w:tcPr>
            <w:tcW w:w="359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bookmarkStart w:id="357" w:name="xdx_402_eus-gaap--LesseeOperatingLeaseLi"/>
            <w:bookmarkEnd w:id="357"/>
          </w:p>
        </w:tc>
      </w:tr>
      <w:tr>
        <w:trPr/>
        <w:tc>
          <w:tcPr>
            <w:tcW w:w="359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423</w:t>
            </w:r>
          </w:p>
        </w:tc>
        <w:tc>
          <w:tcPr>
            <w:tcW w:w="110" w:type="dxa"/>
            <w:tcBorders/>
            <w:shd w:fill="CCEEFF" w:val="clear"/>
            <w:vAlign w:val="center"/>
          </w:tcPr>
          <w:p>
            <w:pPr>
              <w:pStyle w:val="TableContents"/>
              <w:bidi w:val="0"/>
              <w:spacing w:before="0" w:after="283"/>
              <w:jc w:val="left"/>
              <w:rPr/>
            </w:pPr>
            <w:r>
              <w:rPr/>
              <w:t> </w:t>
            </w:r>
            <w:bookmarkStart w:id="358" w:name="xdx_40D_ecustom--LesseeOperatingLeaseLia"/>
            <w:bookmarkEnd w:id="358"/>
          </w:p>
        </w:tc>
      </w:tr>
      <w:tr>
        <w:trPr/>
        <w:tc>
          <w:tcPr>
            <w:tcW w:w="3590" w:type="dxa"/>
            <w:tcBorders/>
            <w:shd w:fill="FFFFFF" w:val="clear"/>
            <w:vAlign w:val="center"/>
          </w:tcPr>
          <w:p>
            <w:pPr>
              <w:pStyle w:val="TableContents"/>
              <w:bidi w:val="0"/>
              <w:spacing w:before="0" w:after="283"/>
              <w:jc w:val="left"/>
              <w:rPr/>
            </w:pPr>
            <w:r>
              <w:rPr/>
              <w:t>2031 and 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4,479</w:t>
            </w:r>
          </w:p>
        </w:tc>
        <w:tc>
          <w:tcPr>
            <w:tcW w:w="110" w:type="dxa"/>
            <w:tcBorders/>
            <w:shd w:fill="FFFFFF" w:val="clear"/>
            <w:vAlign w:val="center"/>
          </w:tcPr>
          <w:p>
            <w:pPr>
              <w:pStyle w:val="TableContents"/>
              <w:bidi w:val="0"/>
              <w:spacing w:before="0" w:after="283"/>
              <w:jc w:val="left"/>
              <w:rPr/>
            </w:pPr>
            <w:r>
              <w:rPr/>
              <w:t> </w:t>
            </w:r>
            <w:bookmarkStart w:id="359" w:name="xdx_401_eus-gaap--LesseeOperatingLeaseLi"/>
            <w:bookmarkEnd w:id="359"/>
          </w:p>
        </w:tc>
      </w:tr>
      <w:tr>
        <w:trPr/>
        <w:tc>
          <w:tcPr>
            <w:tcW w:w="3590" w:type="dxa"/>
            <w:tcBorders/>
            <w:shd w:fill="CCEEFF" w:val="clear"/>
            <w:vAlign w:val="center"/>
          </w:tcPr>
          <w:p>
            <w:pPr>
              <w:pStyle w:val="TableContents"/>
              <w:bidi w:val="0"/>
              <w:spacing w:before="0" w:after="283"/>
              <w:jc w:val="left"/>
              <w:rPr/>
            </w:pPr>
            <w:r>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6,322</w:t>
            </w:r>
          </w:p>
        </w:tc>
        <w:tc>
          <w:tcPr>
            <w:tcW w:w="110" w:type="dxa"/>
            <w:tcBorders/>
            <w:shd w:fill="CCEEFF" w:val="clear"/>
            <w:vAlign w:val="center"/>
          </w:tcPr>
          <w:p>
            <w:pPr>
              <w:pStyle w:val="TableContents"/>
              <w:bidi w:val="0"/>
              <w:spacing w:before="0" w:after="283"/>
              <w:jc w:val="left"/>
              <w:rPr/>
            </w:pPr>
            <w:r>
              <w:rPr/>
              <w:t> </w:t>
            </w:r>
            <w:bookmarkStart w:id="360" w:name="xdx_409_eus-gaap--LesseeOperatingLeaseLi"/>
            <w:bookmarkEnd w:id="360"/>
          </w:p>
        </w:tc>
      </w:tr>
      <w:tr>
        <w:trPr/>
        <w:tc>
          <w:tcPr>
            <w:tcW w:w="3590" w:type="dxa"/>
            <w:tcBorders/>
            <w:shd w:fill="FFFFFF" w:val="clear"/>
            <w:vAlign w:val="center"/>
          </w:tcPr>
          <w:p>
            <w:pPr>
              <w:pStyle w:val="TableContents"/>
              <w:bidi w:val="0"/>
              <w:spacing w:before="0" w:after="283"/>
              <w:jc w:val="left"/>
              <w:rPr/>
            </w:pPr>
            <w:r>
              <w:rPr/>
              <w:t>Less: Amounts representing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(3,527</w:t>
            </w:r>
          </w:p>
        </w:tc>
        <w:tc>
          <w:tcPr>
            <w:tcW w:w="110" w:type="dxa"/>
            <w:tcBorders/>
            <w:shd w:fill="FFFFFF" w:val="clear"/>
            <w:vAlign w:val="center"/>
          </w:tcPr>
          <w:p>
            <w:pPr>
              <w:pStyle w:val="TableContents"/>
              <w:bidi w:val="0"/>
              <w:spacing w:before="0" w:after="283"/>
              <w:jc w:val="left"/>
              <w:rPr/>
            </w:pPr>
            <w:r>
              <w:rPr/>
              <w:t>)</w:t>
            </w:r>
            <w:bookmarkStart w:id="361" w:name="xdx_402_eus-gaap--OperatingLeaseLiabilit"/>
            <w:bookmarkEnd w:id="361"/>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2,795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2" w:name="xdx_8AB_z7s0nu0M0XT7"/>
      <w:bookmarkEnd w:id="36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3" w:name="xdx_805_eus-gaap--AccountsPayableAndAccr"/>
      <w:bookmarkEnd w:id="363"/>
      <w:r>
        <w:rPr>
          <w:rFonts w:ascii="Times New Roman;Times;Serif" w:hAnsi="Times New Roman;Times;Serif"/>
          <w:b/>
          <w:i w:val="false"/>
          <w:caps w:val="false"/>
          <w:smallCaps w:val="false"/>
          <w:sz w:val="20"/>
        </w:rPr>
        <w:t xml:space="preserve">Note 8. </w:t>
      </w:r>
      <w:bookmarkStart w:id="364" w:name="xdx_822_zRLod9yEO8a7"/>
      <w:bookmarkEnd w:id="364"/>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5" w:name="xdx_899_eus-gaap--ScheduleOfAccountsPaya"/>
      <w:bookmarkEnd w:id="365"/>
      <w:r>
        <w:rPr>
          <w:rFonts w:ascii="Times New Roman;Times;Serif" w:hAnsi="Times New Roman;Times;Serif"/>
          <w:b w:val="false"/>
          <w:i w:val="false"/>
          <w:caps w:val="false"/>
          <w:smallCaps w:val="false"/>
          <w:sz w:val="20"/>
        </w:rPr>
        <w:t>Accrued expenses as of June 30, 2026 and December 31, 2025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6" w:name="xdx_8B6_zA7uQIsuMbJ7"/>
      <w:bookmarkEnd w:id="366"/>
      <w:r>
        <w:rPr>
          <w:rFonts w:ascii="Times New Roman;Times;Serif" w:hAnsi="Times New Roman;Times;Serif"/>
          <w:b w:val="false"/>
          <w:i w:val="false"/>
          <w:caps w:val="false"/>
          <w:smallCaps w:val="false"/>
          <w:sz w:val="20"/>
        </w:rPr>
        <w:t>Schedule of Accrued Expenses and Other Current Liabilities </w:t>
      </w:r>
    </w:p>
    <w:tbl>
      <w:tblPr>
        <w:tblW w:w="7725" w:type="dxa"/>
        <w:jc w:val="left"/>
        <w:tblInd w:w="0" w:type="dxa"/>
        <w:tblLayout w:type="fixed"/>
        <w:tblCellMar>
          <w:top w:w="0" w:type="dxa"/>
          <w:left w:w="0" w:type="dxa"/>
          <w:bottom w:w="0" w:type="dxa"/>
          <w:right w:w="0" w:type="dxa"/>
        </w:tblCellMar>
      </w:tblPr>
      <w:tblGrid>
        <w:gridCol w:w="5225"/>
        <w:gridCol w:w="60"/>
        <w:gridCol w:w="154"/>
        <w:gridCol w:w="616"/>
        <w:gridCol w:w="60"/>
        <w:gridCol w:w="60"/>
        <w:gridCol w:w="295"/>
        <w:gridCol w:w="1180"/>
        <w:gridCol w:w="75"/>
      </w:tblGrid>
      <w:tr>
        <w:trPr/>
        <w:tc>
          <w:tcPr>
            <w:tcW w:w="522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bookmarkStart w:id="367" w:name="xdx_492_20260630_z1Qcw3BUmWY"/>
            <w:bookmarkEnd w:id="367"/>
          </w:p>
        </w:tc>
        <w:tc>
          <w:tcPr>
            <w:tcW w:w="77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8" w:name="xdx_49E_20251231_zeUnem5zsS7l"/>
            <w:bookmarkEnd w:id="368"/>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bookmarkStart w:id="369" w:name="xdx_401_eus-gaap--AccruedProfessionalFee"/>
            <w:bookmarkEnd w:id="369"/>
          </w:p>
        </w:tc>
      </w:tr>
      <w:tr>
        <w:trPr/>
        <w:tc>
          <w:tcPr>
            <w:tcW w:w="5225" w:type="dxa"/>
            <w:tcBorders/>
            <w:shd w:fill="CCEEFF" w:val="clear"/>
            <w:vAlign w:val="center"/>
          </w:tcPr>
          <w:p>
            <w:pPr>
              <w:pStyle w:val="TableContents"/>
              <w:bidi w:val="0"/>
              <w:spacing w:before="0" w:after="283"/>
              <w:jc w:val="left"/>
              <w:rPr/>
            </w:pPr>
            <w:r>
              <w:rPr/>
              <w:t>Accrued professional fees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1,059</w:t>
            </w:r>
          </w:p>
        </w:tc>
        <w:tc>
          <w:tcPr>
            <w:tcW w:w="75" w:type="dxa"/>
            <w:tcBorders/>
            <w:shd w:fill="CCEEFF" w:val="clear"/>
            <w:vAlign w:val="center"/>
          </w:tcPr>
          <w:p>
            <w:pPr>
              <w:pStyle w:val="TableContents"/>
              <w:bidi w:val="0"/>
              <w:spacing w:before="0" w:after="283"/>
              <w:jc w:val="left"/>
              <w:rPr/>
            </w:pPr>
            <w:r>
              <w:rPr/>
              <w:t> </w:t>
            </w:r>
            <w:bookmarkStart w:id="370" w:name="xdx_404_eus-gaap--AccruedBonusesCurrent_"/>
            <w:bookmarkEnd w:id="370"/>
          </w:p>
        </w:tc>
      </w:tr>
      <w:tr>
        <w:trPr/>
        <w:tc>
          <w:tcPr>
            <w:tcW w:w="5225" w:type="dxa"/>
            <w:tcBorders/>
            <w:shd w:fill="FFFFFF" w:val="clear"/>
            <w:vAlign w:val="center"/>
          </w:tcPr>
          <w:p>
            <w:pPr>
              <w:pStyle w:val="TableContents"/>
              <w:bidi w:val="0"/>
              <w:spacing w:before="0" w:after="283"/>
              <w:jc w:val="left"/>
              <w:rPr/>
            </w:pPr>
            <w:r>
              <w:rPr/>
              <w:t>Accrued bonuses and incentive compensation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2,008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2,583</w:t>
            </w:r>
          </w:p>
        </w:tc>
        <w:tc>
          <w:tcPr>
            <w:tcW w:w="75" w:type="dxa"/>
            <w:tcBorders/>
            <w:shd w:fill="FFFFFF" w:val="clear"/>
            <w:vAlign w:val="center"/>
          </w:tcPr>
          <w:p>
            <w:pPr>
              <w:pStyle w:val="TableContents"/>
              <w:bidi w:val="0"/>
              <w:spacing w:before="0" w:after="283"/>
              <w:jc w:val="left"/>
              <w:rPr/>
            </w:pPr>
            <w:r>
              <w:rPr/>
              <w:t> </w:t>
            </w:r>
            <w:bookmarkStart w:id="371" w:name="xdx_405_ecustom--AccruedLegalFeesLitigat"/>
            <w:bookmarkEnd w:id="371"/>
          </w:p>
        </w:tc>
      </w:tr>
      <w:tr>
        <w:trPr/>
        <w:tc>
          <w:tcPr>
            <w:tcW w:w="5225" w:type="dxa"/>
            <w:tcBorders/>
            <w:shd w:fill="CCEEFF" w:val="clear"/>
            <w:vAlign w:val="center"/>
          </w:tcPr>
          <w:p>
            <w:pPr>
              <w:pStyle w:val="TableContents"/>
              <w:bidi w:val="0"/>
              <w:spacing w:before="0" w:after="283"/>
              <w:jc w:val="left"/>
              <w:rPr/>
            </w:pPr>
            <w:r>
              <w:rPr/>
              <w:t>Accrued litigation legal fees expense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1,155</w:t>
            </w:r>
          </w:p>
        </w:tc>
        <w:tc>
          <w:tcPr>
            <w:tcW w:w="75" w:type="dxa"/>
            <w:tcBorders/>
            <w:shd w:fill="CCEEFF" w:val="clear"/>
            <w:vAlign w:val="center"/>
          </w:tcPr>
          <w:p>
            <w:pPr>
              <w:pStyle w:val="TableContents"/>
              <w:bidi w:val="0"/>
              <w:spacing w:before="0" w:after="283"/>
              <w:jc w:val="left"/>
              <w:rPr/>
            </w:pPr>
            <w:r>
              <w:rPr/>
              <w:t> </w:t>
            </w:r>
            <w:bookmarkStart w:id="372" w:name="xdx_406_eus-gaap--AccruedInsuranceCurren"/>
            <w:bookmarkEnd w:id="372"/>
          </w:p>
        </w:tc>
      </w:tr>
      <w:tr>
        <w:trPr/>
        <w:tc>
          <w:tcPr>
            <w:tcW w:w="5225" w:type="dxa"/>
            <w:tcBorders/>
            <w:shd w:fill="FFFFFF" w:val="clear"/>
            <w:vAlign w:val="center"/>
          </w:tcPr>
          <w:p>
            <w:pPr>
              <w:pStyle w:val="TableContents"/>
              <w:bidi w:val="0"/>
              <w:spacing w:before="0" w:after="283"/>
              <w:jc w:val="left"/>
              <w:rPr/>
            </w:pPr>
            <w:r>
              <w:rPr/>
              <w:t>Accrued insurance expense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181</w:t>
            </w:r>
          </w:p>
        </w:tc>
        <w:tc>
          <w:tcPr>
            <w:tcW w:w="75" w:type="dxa"/>
            <w:tcBorders/>
            <w:shd w:fill="FFFFFF" w:val="clear"/>
            <w:vAlign w:val="center"/>
          </w:tcPr>
          <w:p>
            <w:pPr>
              <w:pStyle w:val="TableContents"/>
              <w:bidi w:val="0"/>
              <w:spacing w:before="0" w:after="283"/>
              <w:jc w:val="left"/>
              <w:rPr/>
            </w:pPr>
            <w:r>
              <w:rPr/>
              <w:t> </w:t>
            </w:r>
            <w:bookmarkStart w:id="373" w:name="xdx_40A_ecustom--AccruedResearchAndDevel"/>
            <w:bookmarkEnd w:id="373"/>
          </w:p>
        </w:tc>
      </w:tr>
      <w:tr>
        <w:trPr/>
        <w:tc>
          <w:tcPr>
            <w:tcW w:w="5225" w:type="dxa"/>
            <w:tcBorders/>
            <w:shd w:fill="CCEEFF" w:val="clear"/>
            <w:vAlign w:val="center"/>
          </w:tcPr>
          <w:p>
            <w:pPr>
              <w:pStyle w:val="TableContents"/>
              <w:bidi w:val="0"/>
              <w:spacing w:before="0" w:after="283"/>
              <w:jc w:val="left"/>
              <w:rPr/>
            </w:pPr>
            <w:r>
              <w:rPr/>
              <w:t>Accrued research and development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655</w:t>
            </w:r>
          </w:p>
        </w:tc>
        <w:tc>
          <w:tcPr>
            <w:tcW w:w="75" w:type="dxa"/>
            <w:tcBorders/>
            <w:shd w:fill="CCEEFF" w:val="clear"/>
            <w:vAlign w:val="center"/>
          </w:tcPr>
          <w:p>
            <w:pPr>
              <w:pStyle w:val="TableContents"/>
              <w:bidi w:val="0"/>
              <w:spacing w:before="0" w:after="283"/>
              <w:jc w:val="left"/>
              <w:rPr/>
            </w:pPr>
            <w:r>
              <w:rPr/>
              <w:t> </w:t>
            </w:r>
            <w:bookmarkStart w:id="374" w:name="xdx_404_eus-gaap--OtherEmployeeRelatedLi"/>
            <w:bookmarkEnd w:id="374"/>
          </w:p>
        </w:tc>
      </w:tr>
      <w:tr>
        <w:trPr/>
        <w:tc>
          <w:tcPr>
            <w:tcW w:w="5225" w:type="dxa"/>
            <w:tcBorders/>
            <w:shd w:fill="FFFFFF" w:val="clear"/>
            <w:vAlign w:val="center"/>
          </w:tcPr>
          <w:p>
            <w:pPr>
              <w:pStyle w:val="TableContents"/>
              <w:bidi w:val="0"/>
              <w:spacing w:before="0" w:after="283"/>
              <w:jc w:val="left"/>
              <w:rPr/>
            </w:pPr>
            <w:r>
              <w:rPr/>
              <w:t>Accrued vacation and other employee related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1,779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bookmarkStart w:id="375" w:name="xdx_407_eus-gaap--SalesAndExciseTaxPayab"/>
            <w:bookmarkEnd w:id="375"/>
          </w:p>
        </w:tc>
      </w:tr>
      <w:tr>
        <w:trPr/>
        <w:tc>
          <w:tcPr>
            <w:tcW w:w="5225" w:type="dxa"/>
            <w:tcBorders/>
            <w:shd w:fill="CCEEFF" w:val="clear"/>
            <w:vAlign w:val="center"/>
          </w:tcPr>
          <w:p>
            <w:pPr>
              <w:pStyle w:val="TableContents"/>
              <w:bidi w:val="0"/>
              <w:spacing w:before="0" w:after="283"/>
              <w:jc w:val="left"/>
              <w:rPr/>
            </w:pPr>
            <w:r>
              <w:rPr/>
              <w:t>Accrued tax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524</w:t>
            </w:r>
          </w:p>
        </w:tc>
        <w:tc>
          <w:tcPr>
            <w:tcW w:w="75" w:type="dxa"/>
            <w:tcBorders/>
            <w:shd w:fill="CCEEFF" w:val="clear"/>
            <w:vAlign w:val="center"/>
          </w:tcPr>
          <w:p>
            <w:pPr>
              <w:pStyle w:val="TableContents"/>
              <w:bidi w:val="0"/>
              <w:spacing w:before="0" w:after="283"/>
              <w:jc w:val="left"/>
              <w:rPr/>
            </w:pPr>
            <w:r>
              <w:rPr/>
              <w:t> </w:t>
            </w:r>
            <w:bookmarkStart w:id="376" w:name="xdx_40C_ecustom--AccruedPurchases_iI_pn3"/>
            <w:bookmarkEnd w:id="376"/>
          </w:p>
        </w:tc>
      </w:tr>
      <w:tr>
        <w:trPr/>
        <w:tc>
          <w:tcPr>
            <w:tcW w:w="5225" w:type="dxa"/>
            <w:tcBorders/>
            <w:shd w:fill="FFFFFF" w:val="clear"/>
            <w:vAlign w:val="center"/>
          </w:tcPr>
          <w:p>
            <w:pPr>
              <w:pStyle w:val="TableContents"/>
              <w:bidi w:val="0"/>
              <w:spacing w:before="0" w:after="283"/>
              <w:jc w:val="left"/>
              <w:rPr/>
            </w:pPr>
            <w:r>
              <w:rPr/>
              <w:t>Accrued purchases of inventory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86</w:t>
            </w:r>
          </w:p>
        </w:tc>
        <w:tc>
          <w:tcPr>
            <w:tcW w:w="75" w:type="dxa"/>
            <w:tcBorders/>
            <w:shd w:fill="FFFFFF" w:val="clear"/>
            <w:vAlign w:val="center"/>
          </w:tcPr>
          <w:p>
            <w:pPr>
              <w:pStyle w:val="TableContents"/>
              <w:bidi w:val="0"/>
              <w:spacing w:before="0" w:after="283"/>
              <w:jc w:val="left"/>
              <w:rPr/>
            </w:pPr>
            <w:r>
              <w:rPr/>
              <w:t> </w:t>
            </w:r>
            <w:bookmarkStart w:id="377" w:name="xdx_40F_eus-gaap--DeferredRevenue_iI_pn3"/>
            <w:bookmarkEnd w:id="377"/>
          </w:p>
        </w:tc>
      </w:tr>
      <w:tr>
        <w:trPr/>
        <w:tc>
          <w:tcPr>
            <w:tcW w:w="522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bookmarkStart w:id="378" w:name="xdx_400_ecustom--AccruedAcquisitionRelat"/>
            <w:bookmarkEnd w:id="378"/>
          </w:p>
        </w:tc>
      </w:tr>
      <w:tr>
        <w:trPr/>
        <w:tc>
          <w:tcPr>
            <w:tcW w:w="5225" w:type="dxa"/>
            <w:tcBorders/>
            <w:shd w:fill="FFFFFF" w:val="clear"/>
            <w:vAlign w:val="center"/>
          </w:tcPr>
          <w:p>
            <w:pPr>
              <w:pStyle w:val="TableContents"/>
              <w:bidi w:val="0"/>
              <w:spacing w:before="0" w:after="283"/>
              <w:jc w:val="left"/>
              <w:rPr/>
            </w:pPr>
            <w:r>
              <w:rPr/>
              <w:t>Accrued acquisition related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604</w:t>
            </w:r>
          </w:p>
        </w:tc>
        <w:tc>
          <w:tcPr>
            <w:tcW w:w="75" w:type="dxa"/>
            <w:tcBorders/>
            <w:shd w:fill="FFFFFF" w:val="clear"/>
            <w:vAlign w:val="center"/>
          </w:tcPr>
          <w:p>
            <w:pPr>
              <w:pStyle w:val="TableContents"/>
              <w:bidi w:val="0"/>
              <w:spacing w:before="0" w:after="283"/>
              <w:jc w:val="left"/>
              <w:rPr/>
            </w:pPr>
            <w:r>
              <w:rPr/>
              <w:t> </w:t>
            </w:r>
            <w:bookmarkStart w:id="379" w:name="xdx_40D_eus-gaap--OtherAccruedLiabilitie"/>
            <w:bookmarkEnd w:id="379"/>
          </w:p>
        </w:tc>
      </w:tr>
      <w:tr>
        <w:trPr/>
        <w:tc>
          <w:tcPr>
            <w:tcW w:w="522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pPr>
            <w:r>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364</w:t>
            </w:r>
          </w:p>
        </w:tc>
        <w:tc>
          <w:tcPr>
            <w:tcW w:w="75" w:type="dxa"/>
            <w:tcBorders/>
            <w:shd w:fill="CCEEFF" w:val="clear"/>
            <w:vAlign w:val="center"/>
          </w:tcPr>
          <w:p>
            <w:pPr>
              <w:pStyle w:val="TableContents"/>
              <w:bidi w:val="0"/>
              <w:spacing w:before="0" w:after="283"/>
              <w:jc w:val="left"/>
              <w:rPr/>
            </w:pPr>
            <w:r>
              <w:rPr/>
              <w:t> </w:t>
            </w:r>
            <w:bookmarkStart w:id="380" w:name="xdx_40D_eus-gaap--AccruedLiabilitiesCurr"/>
            <w:bookmarkEnd w:id="380"/>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pPr>
            <w:r>
              <w:rPr/>
              <w:t>8,110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shd w:fill="FFFFFF" w:val="clear"/>
            <w:tcMar>
              <w:bottom w:w="28" w:type="dxa"/>
            </w:tcMar>
            <w:vAlign w:val="center"/>
          </w:tcPr>
          <w:p>
            <w:pPr>
              <w:pStyle w:val="TableContents"/>
              <w:bidi w:val="0"/>
              <w:spacing w:before="0" w:after="283"/>
              <w:jc w:val="right"/>
              <w:rPr/>
            </w:pPr>
            <w:r>
              <w:rPr/>
              <w:t>8,261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1" w:name="xdx_8AE_zQLpS2BGnTue"/>
      <w:bookmarkEnd w:id="38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Finance and Security Agreements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Company and First Insurance Funding entered into a Commercial Insurance Premium Finance Agreement (the “2025 Finance Agreement”). The 2025 Finance Agreement provided for a single borrowing of approximately $</w:t>
      </w:r>
      <w:bookmarkStart w:id="382" w:name="xdx_900_eus-gaap--DebtInstrumentFaceAmou"/>
      <w:bookmarkEnd w:id="382"/>
      <w:r>
        <w:rPr>
          <w:rFonts w:ascii="Times New Roman;Times;Serif" w:hAnsi="Times New Roman;Times;Serif"/>
          <w:b w:val="false"/>
          <w:i w:val="false"/>
          <w:caps w:val="false"/>
          <w:smallCaps w:val="false"/>
          <w:sz w:val="20"/>
        </w:rPr>
        <w:t xml:space="preserve">452,000 with a </w:t>
      </w:r>
      <w:bookmarkStart w:id="383" w:name="xdx_90D_eus-gaap--DebtInstrumentTerm_dtM"/>
      <w:bookmarkEnd w:id="383"/>
      <w:r>
        <w:rPr>
          <w:rFonts w:ascii="Times New Roman;Times;Serif" w:hAnsi="Times New Roman;Times;Serif"/>
          <w:b w:val="false"/>
          <w:i w:val="false"/>
          <w:caps w:val="false"/>
          <w:smallCaps w:val="false"/>
          <w:sz w:val="18"/>
        </w:rPr>
        <w:t>10</w:t>
      </w:r>
      <w:r>
        <w:rPr>
          <w:rFonts w:ascii="Times New Roman;Times;Serif" w:hAnsi="Times New Roman;Times;Serif"/>
          <w:b w:val="false"/>
          <w:i w:val="false"/>
          <w:caps w:val="false"/>
          <w:smallCaps w:val="false"/>
          <w:sz w:val="20"/>
        </w:rPr>
        <w:t xml:space="preserve">ten-month term and an annual interest rate of </w:t>
      </w:r>
      <w:bookmarkStart w:id="384" w:name="xdx_909_eus-gaap--DebtInstrumentInterest"/>
      <w:bookmarkEnd w:id="384"/>
      <w:r>
        <w:rPr>
          <w:rFonts w:ascii="Times New Roman;Times;Serif" w:hAnsi="Times New Roman;Times;Serif"/>
          <w:b w:val="false"/>
          <w:i w:val="false"/>
          <w:caps w:val="false"/>
          <w:smallCaps w:val="false"/>
          <w:sz w:val="20"/>
        </w:rPr>
        <w:t>6.55%. The proceeds from this transaction were used to partially fund the premiums due under certain of the Company’s insurance policies. The amounts payable were secured by the Company’s rights under such policies. Beginning in July 2025, the Company paid monthly installments of approximately $</w:t>
      </w:r>
      <w:bookmarkStart w:id="385" w:name="xdx_908_eus-gaap--DebtInstrumentPeriodic"/>
      <w:bookmarkEnd w:id="385"/>
      <w:r>
        <w:rPr>
          <w:rFonts w:ascii="Times New Roman;Times;Serif" w:hAnsi="Times New Roman;Times;Serif"/>
          <w:b w:val="false"/>
          <w:i w:val="false"/>
          <w:caps w:val="false"/>
          <w:smallCaps w:val="false"/>
          <w:sz w:val="20"/>
        </w:rPr>
        <w:t>45,000 through May 2026, at which time the obligations under the 2025 Finance Agreement were fully satisfied.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recognized $</w:t>
      </w:r>
      <w:bookmarkStart w:id="386" w:name="xdx_900_eus-gaap--InterestExpense_c20260"/>
      <w:bookmarkEnd w:id="386"/>
      <w:r>
        <w:rPr>
          <w:rFonts w:ascii="Times New Roman;Times;Serif" w:hAnsi="Times New Roman;Times;Serif"/>
          <w:b w:val="false"/>
          <w:i w:val="false"/>
          <w:caps w:val="false"/>
          <w:smallCaps w:val="false"/>
          <w:sz w:val="20"/>
        </w:rPr>
        <w:t>3,300 and $</w:t>
      </w:r>
      <w:bookmarkStart w:id="387" w:name="xdx_90A_eus-gaap--InterestExpense_c20260"/>
      <w:bookmarkEnd w:id="387"/>
      <w:r>
        <w:rPr>
          <w:rFonts w:ascii="Times New Roman;Times;Serif" w:hAnsi="Times New Roman;Times;Serif"/>
          <w:b w:val="false"/>
          <w:i w:val="false"/>
          <w:caps w:val="false"/>
          <w:smallCaps w:val="false"/>
          <w:sz w:val="20"/>
        </w:rPr>
        <w:t>6,600, respectively, in aggregate interest expense related to the Company’s finance and security agreements. During the three and six months ended June 30, 2025, the Company recognized $</w:t>
      </w:r>
      <w:bookmarkStart w:id="388" w:name="xdx_900_eus-gaap--InterestExpense_c20250"/>
      <w:bookmarkEnd w:id="388"/>
      <w:r>
        <w:rPr>
          <w:rFonts w:ascii="Times New Roman;Times;Serif" w:hAnsi="Times New Roman;Times;Serif"/>
          <w:b w:val="false"/>
          <w:i w:val="false"/>
          <w:caps w:val="false"/>
          <w:smallCaps w:val="false"/>
          <w:sz w:val="20"/>
        </w:rPr>
        <w:t>4,500 and $</w:t>
      </w:r>
      <w:bookmarkStart w:id="389" w:name="xdx_903_eus-gaap--InterestExpense_c20250"/>
      <w:bookmarkEnd w:id="389"/>
      <w:r>
        <w:rPr>
          <w:rFonts w:ascii="Times New Roman;Times;Serif" w:hAnsi="Times New Roman;Times;Serif"/>
          <w:b w:val="false"/>
          <w:i w:val="false"/>
          <w:caps w:val="false"/>
          <w:smallCaps w:val="false"/>
          <w:sz w:val="20"/>
        </w:rPr>
        <w:t>9,500, respectively, in aggregate interest expense related to the Company’s finance and security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and First Insurance Funding entered into a Commercial Insurance Premium Finance Agreement (the “2026 Finance Agreement”). The 2026 Finance Agreement provides for a single borrowing of approximately $</w:t>
      </w:r>
      <w:bookmarkStart w:id="390" w:name="xdx_906_eus-gaap--DebtInstrumentFaceAmou"/>
      <w:bookmarkEnd w:id="390"/>
      <w:r>
        <w:rPr>
          <w:rFonts w:ascii="Times New Roman;Times;Serif" w:hAnsi="Times New Roman;Times;Serif"/>
          <w:b w:val="false"/>
          <w:i w:val="false"/>
          <w:caps w:val="false"/>
          <w:smallCaps w:val="false"/>
          <w:sz w:val="20"/>
        </w:rPr>
        <w:t xml:space="preserve">456,000 with a </w:t>
      </w:r>
      <w:bookmarkStart w:id="391" w:name="xdx_903_eus-gaap--DebtInstrumentTerm_dtM"/>
      <w:bookmarkEnd w:id="391"/>
      <w:r>
        <w:rPr>
          <w:rFonts w:ascii="Times New Roman;Times;Serif" w:hAnsi="Times New Roman;Times;Serif"/>
          <w:b w:val="false"/>
          <w:i w:val="false"/>
          <w:caps w:val="false"/>
          <w:smallCaps w:val="false"/>
          <w:sz w:val="18"/>
        </w:rPr>
        <w:t>10</w:t>
      </w:r>
      <w:r>
        <w:rPr>
          <w:rFonts w:ascii="Times New Roman;Times;Serif" w:hAnsi="Times New Roman;Times;Serif"/>
          <w:b w:val="false"/>
          <w:i w:val="false"/>
          <w:caps w:val="false"/>
          <w:smallCaps w:val="false"/>
          <w:sz w:val="20"/>
        </w:rPr>
        <w:t xml:space="preserve">ten-month term and an annual interest rate of </w:t>
      </w:r>
      <w:bookmarkStart w:id="392" w:name="xdx_90A_eus-gaap--DebtInstrumentInterest"/>
      <w:bookmarkEnd w:id="392"/>
      <w:r>
        <w:rPr>
          <w:rFonts w:ascii="Times New Roman;Times;Serif" w:hAnsi="Times New Roman;Times;Serif"/>
          <w:b w:val="false"/>
          <w:i w:val="false"/>
          <w:caps w:val="false"/>
          <w:smallCaps w:val="false"/>
          <w:sz w:val="20"/>
        </w:rPr>
        <w:t>7.250%. The proceeds from this transaction were used to partially fund the premiums due under certain of the Company’s insurance policies. The amounts payable are secured by the Company’s rights under such policies. Beginning in July 2026, the Company began paying monthly installments of approximately $</w:t>
      </w:r>
      <w:bookmarkStart w:id="393" w:name="xdx_902_eus-gaap--DebtInstrumentPeriodic"/>
      <w:bookmarkEnd w:id="393"/>
      <w:r>
        <w:rPr>
          <w:rFonts w:ascii="Times New Roman;Times;Serif" w:hAnsi="Times New Roman;Times;Serif"/>
          <w:b w:val="false"/>
          <w:i w:val="false"/>
          <w:caps w:val="false"/>
          <w:smallCaps w:val="false"/>
          <w:sz w:val="20"/>
        </w:rPr>
        <w:t>46,000.</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394" w:name="xdx_80F_eus-gaap--LongTermDebtTextBlock_"/>
      <w:bookmarkEnd w:id="394"/>
      <w:r>
        <w:rPr>
          <w:rFonts w:ascii="Times New Roman;Times;Serif" w:hAnsi="Times New Roman;Times;Serif"/>
          <w:b/>
          <w:i w:val="false"/>
          <w:caps w:val="false"/>
          <w:smallCaps w:val="false"/>
          <w:sz w:val="20"/>
        </w:rPr>
        <w:t xml:space="preserve">Note 9. </w:t>
      </w:r>
      <w:bookmarkStart w:id="395" w:name="xdx_82F_zXH8ky6XTHd8"/>
      <w:bookmarkEnd w:id="395"/>
      <w:r>
        <w:rPr>
          <w:rFonts w:ascii="Times New Roman;Times;Serif" w:hAnsi="Times New Roman;Times;Serif"/>
          <w:b/>
          <w:i w:val="false"/>
          <w:caps w:val="false"/>
          <w:smallCaps w:val="false"/>
          <w:sz w:val="20"/>
        </w:rPr>
        <w:t xml:space="preserve">Long-Term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6" w:name="xdx_899_eus-gaap--ConvertibleDebtTableTe"/>
      <w:bookmarkEnd w:id="396"/>
      <w:r>
        <w:rPr>
          <w:rFonts w:ascii="Times New Roman;Times;Serif" w:hAnsi="Times New Roman;Times;Serif"/>
          <w:b w:val="false"/>
          <w:i w:val="false"/>
          <w:caps w:val="false"/>
          <w:smallCaps w:val="false"/>
          <w:sz w:val="20"/>
        </w:rPr>
        <w:t>As of June 30, 2026, long-term debt consists of notes payable and convertible notes payable as follows:</w:t>
      </w:r>
    </w:p>
    <w:p>
      <w:pPr>
        <w:pStyle w:val="TextBody"/>
        <w:bidi w:val="0"/>
        <w:spacing w:before="0" w:after="0"/>
        <w:ind w:left="0" w:right="0" w:hanging="0"/>
        <w:jc w:val="left"/>
        <w:rPr>
          <w:caps w:val="false"/>
          <w:smallCaps w:val="false"/>
        </w:rPr>
      </w:pPr>
      <w:r>
        <w:rPr>
          <w:caps w:val="false"/>
          <w:smallCaps w:val="false"/>
        </w:rPr>
        <w:t> </w:t>
      </w:r>
      <w:bookmarkStart w:id="397" w:name="xdx_8B2_zdBxbFHkiA7c"/>
      <w:bookmarkEnd w:id="397"/>
      <w:r>
        <w:rPr>
          <w:rFonts w:ascii="Times New Roman;Times;Serif" w:hAnsi="Times New Roman;Times;Serif"/>
          <w:b w:val="false"/>
          <w:i w:val="false"/>
          <w:caps w:val="false"/>
          <w:smallCaps w:val="false"/>
          <w:sz w:val="20"/>
        </w:rPr>
        <w:t>Schedule of Notes Payable and Convertible Notes Payable </w:t>
      </w:r>
    </w:p>
    <w:tbl>
      <w:tblPr>
        <w:tblW w:w="7285" w:type="dxa"/>
        <w:jc w:val="left"/>
        <w:tblInd w:w="0" w:type="dxa"/>
        <w:tblLayout w:type="fixed"/>
        <w:tblCellMar>
          <w:top w:w="0" w:type="dxa"/>
          <w:left w:w="0" w:type="dxa"/>
          <w:bottom w:w="0" w:type="dxa"/>
          <w:right w:w="0" w:type="dxa"/>
        </w:tblCellMar>
      </w:tblPr>
      <w:tblGrid>
        <w:gridCol w:w="2840"/>
        <w:gridCol w:w="60"/>
        <w:gridCol w:w="312"/>
        <w:gridCol w:w="1418"/>
        <w:gridCol w:w="95"/>
        <w:gridCol w:w="60"/>
        <w:gridCol w:w="292"/>
        <w:gridCol w:w="1168"/>
        <w:gridCol w:w="95"/>
        <w:gridCol w:w="60"/>
        <w:gridCol w:w="140"/>
        <w:gridCol w:w="635"/>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8" w:name="xdx_492_20260101__20260630__us-gaap--Lon"/>
            <w:bookmarkEnd w:id="398"/>
          </w:p>
        </w:tc>
        <w:tc>
          <w:tcPr>
            <w:tcW w:w="1730" w:type="dxa"/>
            <w:gridSpan w:val="2"/>
            <w:tcBorders/>
            <w:vAlign w:val="center"/>
          </w:tcPr>
          <w:p>
            <w:pPr>
              <w:pStyle w:val="TableContents"/>
              <w:bidi w:val="0"/>
              <w:spacing w:before="0" w:after="283"/>
              <w:jc w:val="center"/>
              <w:rPr>
                <w:b/>
              </w:rPr>
            </w:pPr>
            <w:r>
              <w:rPr>
                <w:b/>
              </w:rPr>
              <w:t>Non-Convertible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9" w:name="xdx_49D_20260101__20260630__us-gaap--Lon"/>
            <w:bookmarkEnd w:id="399"/>
          </w:p>
        </w:tc>
        <w:tc>
          <w:tcPr>
            <w:tcW w:w="1460" w:type="dxa"/>
            <w:gridSpan w:val="2"/>
            <w:tcBorders/>
            <w:vAlign w:val="center"/>
          </w:tcPr>
          <w:p>
            <w:pPr>
              <w:pStyle w:val="TableContents"/>
              <w:bidi w:val="0"/>
              <w:spacing w:before="0" w:after="283"/>
              <w:jc w:val="center"/>
              <w:rPr>
                <w:b/>
              </w:rPr>
            </w:pPr>
            <w:r>
              <w:rPr>
                <w:b/>
              </w:rPr>
              <w:t>Convertible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0" w:name="xdx_49E_20260101__20260630_zzI8OYYShvHc"/>
            <w:bookmarkEnd w:id="400"/>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 Payable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 Payable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401" w:name="xdx_40B_eus-gaap--DebtInstrumentIssuedPr"/>
            <w:bookmarkEnd w:id="401"/>
          </w:p>
        </w:tc>
      </w:tr>
      <w:tr>
        <w:trPr/>
        <w:tc>
          <w:tcPr>
            <w:tcW w:w="2840" w:type="dxa"/>
            <w:tcBorders/>
            <w:shd w:fill="CCEEFF" w:val="clear"/>
            <w:vAlign w:val="center"/>
          </w:tcPr>
          <w:p>
            <w:pPr>
              <w:pStyle w:val="TableContents"/>
              <w:bidi w:val="0"/>
              <w:spacing w:before="0" w:after="283"/>
              <w:jc w:val="left"/>
              <w:rPr/>
            </w:pPr>
            <w:r>
              <w:rPr/>
              <w:t>Principal Borrowed</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w:t>
            </w:r>
          </w:p>
        </w:tc>
        <w:tc>
          <w:tcPr>
            <w:tcW w:w="1418"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7,500</w:t>
            </w:r>
          </w:p>
        </w:tc>
        <w:tc>
          <w:tcPr>
            <w:tcW w:w="110" w:type="dxa"/>
            <w:tcBorders/>
            <w:shd w:fill="CCEEFF" w:val="clear"/>
            <w:vAlign w:val="center"/>
          </w:tcPr>
          <w:p>
            <w:pPr>
              <w:pStyle w:val="TableContents"/>
              <w:bidi w:val="0"/>
              <w:spacing w:before="0" w:after="283"/>
              <w:jc w:val="left"/>
              <w:rPr/>
            </w:pPr>
            <w:r>
              <w:rPr/>
              <w:t> </w:t>
            </w:r>
            <w:bookmarkStart w:id="402" w:name="xdx_40F_eus-gaap--PaymentsForLoans_zq4VR"/>
            <w:bookmarkEnd w:id="402"/>
          </w:p>
        </w:tc>
      </w:tr>
      <w:tr>
        <w:trPr/>
        <w:tc>
          <w:tcPr>
            <w:tcW w:w="2840" w:type="dxa"/>
            <w:tcBorders/>
            <w:shd w:fill="FFFFFF" w:val="clear"/>
            <w:vAlign w:val="center"/>
          </w:tcPr>
          <w:p>
            <w:pPr>
              <w:pStyle w:val="TableContents"/>
              <w:bidi w:val="0"/>
              <w:spacing w:before="0" w:after="283"/>
              <w:jc w:val="left"/>
              <w:rPr/>
            </w:pPr>
            <w:r>
              <w:rPr/>
              <w:t>Final Payment (</w:t>
            </w:r>
            <w:bookmarkStart w:id="403" w:name="xdx_90A_ecustom--DebtInstrumentFuturePay"/>
            <w:bookmarkEnd w:id="403"/>
            <w:r>
              <w:rPr/>
              <w:t>3.50%)</w:t>
            </w:r>
          </w:p>
        </w:tc>
        <w:tc>
          <w:tcPr>
            <w:tcW w:w="60" w:type="dxa"/>
            <w:tcBorders/>
            <w:shd w:fill="FFFFFF" w:val="clear"/>
            <w:vAlign w:val="center"/>
          </w:tcPr>
          <w:p>
            <w:pPr>
              <w:pStyle w:val="TableContents"/>
              <w:bidi w:val="0"/>
              <w:spacing w:before="0" w:after="283"/>
              <w:jc w:val="left"/>
              <w:rPr/>
            </w:pPr>
            <w:r>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262</w:t>
            </w:r>
          </w:p>
        </w:tc>
        <w:tc>
          <w:tcPr>
            <w:tcW w:w="110" w:type="dxa"/>
            <w:tcBorders/>
            <w:shd w:fill="FFFFFF" w:val="clear"/>
            <w:vAlign w:val="center"/>
          </w:tcPr>
          <w:p>
            <w:pPr>
              <w:pStyle w:val="TableContents"/>
              <w:bidi w:val="0"/>
              <w:spacing w:before="0" w:after="283"/>
              <w:jc w:val="left"/>
              <w:rPr/>
            </w:pPr>
            <w:r>
              <w:rPr/>
              <w:t> </w:t>
            </w:r>
            <w:bookmarkStart w:id="404" w:name="xdx_40B_eus-gaap--DebtInstrumentFaceAmou"/>
            <w:bookmarkEnd w:id="404"/>
          </w:p>
        </w:tc>
      </w:tr>
      <w:tr>
        <w:trPr/>
        <w:tc>
          <w:tcPr>
            <w:tcW w:w="2840" w:type="dxa"/>
            <w:tcBorders/>
            <w:shd w:fill="CCEEFF" w:val="clear"/>
            <w:vAlign w:val="center"/>
          </w:tcPr>
          <w:p>
            <w:pPr>
              <w:pStyle w:val="TableContents"/>
              <w:bidi w:val="0"/>
              <w:spacing w:before="0" w:after="283"/>
              <w:jc w:val="left"/>
              <w:rPr/>
            </w:pPr>
            <w:r>
              <w:rPr/>
              <w:t>Total Principal</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CCEEFF" w:val="clear"/>
            <w:tcMar>
              <w:bottom w:w="28" w:type="dxa"/>
            </w:tcMar>
            <w:vAlign w:val="center"/>
          </w:tcPr>
          <w:p>
            <w:pPr>
              <w:pStyle w:val="TableContents"/>
              <w:bidi w:val="0"/>
              <w:spacing w:before="0" w:after="283"/>
              <w:jc w:val="right"/>
              <w:rPr/>
            </w:pPr>
            <w:r>
              <w:rPr/>
              <w:t>5,175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2,587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7,762</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5" w:name="xdx_407_ecustom--AggregateDebtDiscountAm"/>
            <w:bookmarkEnd w:id="405"/>
          </w:p>
        </w:tc>
      </w:tr>
      <w:tr>
        <w:trPr/>
        <w:tc>
          <w:tcPr>
            <w:tcW w:w="2840" w:type="dxa"/>
            <w:tcBorders/>
            <w:shd w:fill="CCEEFF" w:val="clear"/>
            <w:vAlign w:val="center"/>
          </w:tcPr>
          <w:p>
            <w:pPr>
              <w:pStyle w:val="TableContents"/>
              <w:bidi w:val="0"/>
              <w:spacing w:before="0" w:after="283"/>
              <w:jc w:val="left"/>
              <w:rPr/>
            </w:pPr>
            <w:r>
              <w:rPr/>
              <w:t>Aggregate Debt Discount</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(1,290</w:t>
            </w:r>
          </w:p>
        </w:tc>
        <w:tc>
          <w:tcPr>
            <w:tcW w:w="110" w:type="dxa"/>
            <w:tcBorders/>
            <w:shd w:fill="CCEEFF" w:val="clear"/>
            <w:vAlign w:val="center"/>
          </w:tcPr>
          <w:p>
            <w:pPr>
              <w:pStyle w:val="TableContents"/>
              <w:bidi w:val="0"/>
              <w:spacing w:before="0" w:after="283"/>
              <w:jc w:val="left"/>
              <w:rPr/>
            </w:pPr>
            <w:r>
              <w:rPr/>
              <w:t>)</w:t>
            </w:r>
            <w:bookmarkStart w:id="406" w:name="xdx_406_ecustom--DebtDiscountAmortizatio"/>
            <w:bookmarkEnd w:id="406"/>
          </w:p>
        </w:tc>
      </w:tr>
      <w:tr>
        <w:trPr/>
        <w:tc>
          <w:tcPr>
            <w:tcW w:w="2840" w:type="dxa"/>
            <w:tcBorders/>
            <w:shd w:fill="FFFFFF" w:val="clear"/>
            <w:vAlign w:val="center"/>
          </w:tcPr>
          <w:p>
            <w:pPr>
              <w:pStyle w:val="TableContents"/>
              <w:bidi w:val="0"/>
              <w:spacing w:before="0" w:after="283"/>
              <w:jc w:val="left"/>
              <w:rPr/>
            </w:pPr>
            <w:r>
              <w:rPr/>
              <w:t>Debt Discount Amortization</w:t>
            </w:r>
          </w:p>
        </w:tc>
        <w:tc>
          <w:tcPr>
            <w:tcW w:w="60" w:type="dxa"/>
            <w:tcBorders/>
            <w:shd w:fill="FFFFFF" w:val="clear"/>
            <w:vAlign w:val="center"/>
          </w:tcPr>
          <w:p>
            <w:pPr>
              <w:pStyle w:val="TableContents"/>
              <w:bidi w:val="0"/>
              <w:spacing w:before="0" w:after="283"/>
              <w:jc w:val="left"/>
              <w:rPr/>
            </w:pPr>
            <w:r>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FFFFFF" w:val="clear"/>
            <w:tcMar>
              <w:bottom w:w="28" w:type="dxa"/>
            </w:tcMar>
            <w:vAlign w:val="center"/>
          </w:tcPr>
          <w:p>
            <w:pPr>
              <w:pStyle w:val="TableContents"/>
              <w:bidi w:val="0"/>
              <w:spacing w:before="0" w:after="283"/>
              <w:jc w:val="right"/>
              <w:rPr/>
            </w:pPr>
            <w:r>
              <w:rPr/>
              <w:t>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bookmarkStart w:id="407" w:name="xdx_40E_eus-gaap--DebtInstrumentUnamorti"/>
            <w:bookmarkEnd w:id="407"/>
          </w:p>
        </w:tc>
      </w:tr>
      <w:tr>
        <w:trPr/>
        <w:tc>
          <w:tcPr>
            <w:tcW w:w="2840" w:type="dxa"/>
            <w:tcBorders/>
            <w:shd w:fill="CCEEFF" w:val="clear"/>
            <w:vAlign w:val="center"/>
          </w:tcPr>
          <w:p>
            <w:pPr>
              <w:pStyle w:val="TableContents"/>
              <w:bidi w:val="0"/>
              <w:spacing w:before="0" w:after="283"/>
              <w:jc w:val="left"/>
              <w:rPr/>
            </w:pPr>
            <w:r>
              <w:rPr/>
              <w:t>Unamortized Debt Discount</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CCEEFF" w:val="clear"/>
            <w:tcMar>
              <w:bottom w:w="28" w:type="dxa"/>
            </w:tcMar>
            <w:vAlign w:val="center"/>
          </w:tcPr>
          <w:p>
            <w:pPr>
              <w:pStyle w:val="TableContents"/>
              <w:bidi w:val="0"/>
              <w:spacing w:before="0" w:after="283"/>
              <w:jc w:val="right"/>
              <w:rPr/>
            </w:pPr>
            <w:r>
              <w:rPr/>
              <w:t>(593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(994</w:t>
            </w:r>
          </w:p>
        </w:tc>
        <w:tc>
          <w:tcPr>
            <w:tcW w:w="110" w:type="dxa"/>
            <w:tcBorders/>
            <w:shd w:fill="CCEEFF" w:val="clear"/>
            <w:vAlign w:val="center"/>
          </w:tcPr>
          <w:p>
            <w:pPr>
              <w:pStyle w:val="TableContents"/>
              <w:bidi w:val="0"/>
              <w:spacing w:before="0" w:after="283"/>
              <w:jc w:val="left"/>
              <w:rPr/>
            </w:pPr>
            <w:r>
              <w:rPr/>
              <w:t>)</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8" w:name="xdx_402_eus-gaap--DebtInstrumentFaceAmou"/>
            <w:bookmarkEnd w:id="408"/>
          </w:p>
        </w:tc>
      </w:tr>
      <w:tr>
        <w:trPr/>
        <w:tc>
          <w:tcPr>
            <w:tcW w:w="2840" w:type="dxa"/>
            <w:tcBorders/>
            <w:shd w:fill="CCEEFF" w:val="clear"/>
            <w:vAlign w:val="center"/>
          </w:tcPr>
          <w:p>
            <w:pPr>
              <w:pStyle w:val="TableContents"/>
              <w:bidi w:val="0"/>
              <w:spacing w:before="0" w:after="283"/>
              <w:jc w:val="left"/>
              <w:rPr/>
            </w:pPr>
            <w:r>
              <w:rPr/>
              <w:t>Total Principal</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5,175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7,762</w:t>
            </w:r>
          </w:p>
        </w:tc>
        <w:tc>
          <w:tcPr>
            <w:tcW w:w="110" w:type="dxa"/>
            <w:tcBorders/>
            <w:shd w:fill="CCEEFF" w:val="clear"/>
            <w:vAlign w:val="center"/>
          </w:tcPr>
          <w:p>
            <w:pPr>
              <w:pStyle w:val="TableContents"/>
              <w:bidi w:val="0"/>
              <w:spacing w:before="0" w:after="283"/>
              <w:jc w:val="left"/>
              <w:rPr/>
            </w:pPr>
            <w:r>
              <w:rPr/>
              <w:t> </w:t>
            </w:r>
            <w:bookmarkStart w:id="409" w:name="xdx_406_eus-gaap--DebtInstrumentUnamorti"/>
            <w:bookmarkEnd w:id="409"/>
          </w:p>
        </w:tc>
      </w:tr>
      <w:tr>
        <w:trPr/>
        <w:tc>
          <w:tcPr>
            <w:tcW w:w="2840" w:type="dxa"/>
            <w:tcBorders/>
            <w:shd w:fill="FFFFFF" w:val="clear"/>
            <w:vAlign w:val="center"/>
          </w:tcPr>
          <w:p>
            <w:pPr>
              <w:pStyle w:val="TableContents"/>
              <w:bidi w:val="0"/>
              <w:spacing w:before="0" w:after="283"/>
              <w:jc w:val="left"/>
              <w:rPr/>
            </w:pPr>
            <w:r>
              <w:rPr/>
              <w:t>Unamortized Debt Discount</w:t>
            </w:r>
          </w:p>
        </w:tc>
        <w:tc>
          <w:tcPr>
            <w:tcW w:w="60" w:type="dxa"/>
            <w:tcBorders/>
            <w:shd w:fill="FFFFFF" w:val="clear"/>
            <w:vAlign w:val="center"/>
          </w:tcPr>
          <w:p>
            <w:pPr>
              <w:pStyle w:val="TableContents"/>
              <w:bidi w:val="0"/>
              <w:spacing w:before="0" w:after="283"/>
              <w:jc w:val="left"/>
              <w:rPr/>
            </w:pPr>
            <w:r>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(401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(994</w:t>
            </w:r>
          </w:p>
        </w:tc>
        <w:tc>
          <w:tcPr>
            <w:tcW w:w="110" w:type="dxa"/>
            <w:tcBorders/>
            <w:shd w:fill="FFFFFF" w:val="clear"/>
            <w:vAlign w:val="center"/>
          </w:tcPr>
          <w:p>
            <w:pPr>
              <w:pStyle w:val="TableContents"/>
              <w:bidi w:val="0"/>
              <w:spacing w:before="0" w:after="283"/>
              <w:jc w:val="left"/>
              <w:rPr/>
            </w:pPr>
            <w:r>
              <w:rPr/>
              <w:t>)</w:t>
            </w:r>
            <w:bookmarkStart w:id="410" w:name="xdx_404_ecustom--LongTermsDebtCurrent_zs"/>
            <w:bookmarkEnd w:id="410"/>
          </w:p>
        </w:tc>
      </w:tr>
      <w:tr>
        <w:trPr/>
        <w:tc>
          <w:tcPr>
            <w:tcW w:w="2840"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right"/>
              <w:rPr/>
            </w:pPr>
            <w:r>
              <w:rPr/>
              <w:t>4,582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6,768</w:t>
            </w:r>
          </w:p>
        </w:tc>
        <w:tc>
          <w:tcPr>
            <w:tcW w:w="110" w:type="dxa"/>
            <w:tcBorders/>
            <w:shd w:fill="CCEEFF" w:val="clear"/>
            <w:vAlign w:val="center"/>
          </w:tcPr>
          <w:p>
            <w:pPr>
              <w:pStyle w:val="TableContents"/>
              <w:bidi w:val="0"/>
              <w:spacing w:before="0" w:after="283"/>
              <w:jc w:val="left"/>
              <w:rPr/>
            </w:pPr>
            <w:r>
              <w:rPr/>
              <w:t> </w:t>
            </w:r>
            <w:bookmarkStart w:id="411" w:name="xdx_40C_ecustom--LessCurrentPortionOfDeb"/>
            <w:bookmarkEnd w:id="411"/>
          </w:p>
        </w:tc>
      </w:tr>
      <w:tr>
        <w:trPr/>
        <w:tc>
          <w:tcPr>
            <w:tcW w:w="2840" w:type="dxa"/>
            <w:tcBorders/>
            <w:shd w:fill="FFFFFF" w:val="clear"/>
            <w:vAlign w:val="center"/>
          </w:tcPr>
          <w:p>
            <w:pPr>
              <w:pStyle w:val="TableContents"/>
              <w:bidi w:val="0"/>
              <w:spacing w:before="0" w:after="283"/>
              <w:jc w:val="left"/>
              <w:rPr/>
            </w:pPr>
            <w:r>
              <w:rPr/>
              <w:t>Less: Current Portion of Debt</w:t>
            </w:r>
          </w:p>
        </w:tc>
        <w:tc>
          <w:tcPr>
            <w:tcW w:w="60" w:type="dxa"/>
            <w:tcBorders/>
            <w:shd w:fill="FFFFFF" w:val="clear"/>
            <w:vAlign w:val="center"/>
          </w:tcPr>
          <w:p>
            <w:pPr>
              <w:pStyle w:val="TableContents"/>
              <w:bidi w:val="0"/>
              <w:spacing w:before="0" w:after="283"/>
              <w:jc w:val="left"/>
              <w:rPr/>
            </w:pPr>
            <w:r>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w:t>
            </w:r>
            <w:bookmarkStart w:id="412" w:name="xdx_40C_ecustom--LongTermsDebt_zImrAXAsR"/>
            <w:bookmarkEnd w:id="412"/>
          </w:p>
        </w:tc>
      </w:tr>
      <w:tr>
        <w:trPr/>
        <w:tc>
          <w:tcPr>
            <w:tcW w:w="2840"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18" w:type="dxa"/>
            <w:tcBorders>
              <w:bottom w:val="double" w:sz="6" w:space="0" w:color="000000"/>
            </w:tcBorders>
            <w:shd w:fill="CCEEFF" w:val="clear"/>
            <w:tcMar>
              <w:bottom w:w="28" w:type="dxa"/>
            </w:tcMar>
            <w:vAlign w:val="center"/>
          </w:tcPr>
          <w:p>
            <w:pPr>
              <w:pStyle w:val="TableContents"/>
              <w:bidi w:val="0"/>
              <w:spacing w:before="0" w:after="283"/>
              <w:jc w:val="right"/>
              <w:rPr/>
            </w:pPr>
            <w:r>
              <w:rPr/>
              <w:t>3,582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2,186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5,768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3" w:name="xdx_8A1_zL9t1s1BowF9"/>
      <w:bookmarkEnd w:id="41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Avenue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the LSA Closing Date, the Company and NURO entered into the Loan and Security Agreement with </w:t>
      </w:r>
      <w:r>
        <w:rPr>
          <w:rFonts w:ascii="Times New Roman;Times;Serif" w:hAnsi="Times New Roman;Times;Serif"/>
          <w:b w:val="false"/>
          <w:i w:val="false"/>
          <w:caps w:val="false"/>
          <w:smallCaps w:val="false"/>
          <w:sz w:val="20"/>
        </w:rPr>
        <w:t xml:space="preserve">Avenue, as administrative agent and collateral agent, and as lender </w:t>
      </w:r>
      <w:r>
        <w:rPr>
          <w:rFonts w:ascii="Times New Roman;Times;Serif" w:hAnsi="Times New Roman;Times;Serif"/>
          <w:b w:val="false"/>
          <w:i w:val="false"/>
          <w:caps w:val="false"/>
          <w:smallCaps w:val="false"/>
          <w:sz w:val="20"/>
          <w:shd w:fill="FFFFFF" w:val="clear"/>
        </w:rPr>
        <w:t>for term loans in an aggregate principal amount of up to $</w:t>
      </w:r>
      <w:bookmarkStart w:id="414" w:name="xdx_90B_ecustom--InitialCapacityOfDebtIn"/>
      <w:bookmarkEnd w:id="414"/>
      <w:r>
        <w:rPr>
          <w:rFonts w:ascii="Times New Roman;Times;Serif" w:hAnsi="Times New Roman;Times;Serif"/>
          <w:b w:val="false"/>
          <w:i w:val="false"/>
          <w:caps w:val="false"/>
          <w:smallCaps w:val="false"/>
          <w:sz w:val="20"/>
          <w:shd w:fill="FFFFFF" w:val="clear"/>
        </w:rPr>
        <w:t>12 million to be delivered in two tranches (the “Term Loans”). The tranches consist of (i) a term loan advanced to the Company on the LSA Closing Date in an aggregate amount of $</w:t>
      </w:r>
      <w:bookmarkStart w:id="415" w:name="xdx_906_eus-gaap--DebtInstrumentIssuedPr"/>
      <w:bookmarkEnd w:id="415"/>
      <w:r>
        <w:rPr>
          <w:rFonts w:ascii="Times New Roman;Times;Serif" w:hAnsi="Times New Roman;Times;Serif"/>
          <w:b w:val="false"/>
          <w:i w:val="false"/>
          <w:caps w:val="false"/>
          <w:smallCaps w:val="false"/>
          <w:sz w:val="20"/>
          <w:shd w:fill="FFFFFF" w:val="clear"/>
        </w:rPr>
        <w:t>7.5 million (“Tranche 1”), and (ii) subject to the achievement of certain performance milestones set forth in the Loan and Security Agreement, a right of the Company to request that Avenue make additional term loan advances to the Company in an aggregate amount of $</w:t>
      </w:r>
      <w:bookmarkStart w:id="416" w:name="xdx_909_ecustom--AdditionalTermLoan_pn5n"/>
      <w:bookmarkEnd w:id="416"/>
      <w:r>
        <w:rPr>
          <w:rFonts w:ascii="Times New Roman;Times;Serif" w:hAnsi="Times New Roman;Times;Serif"/>
          <w:b w:val="false"/>
          <w:i w:val="false"/>
          <w:caps w:val="false"/>
          <w:smallCaps w:val="false"/>
          <w:sz w:val="20"/>
          <w:shd w:fill="FFFFFF" w:val="clear"/>
        </w:rPr>
        <w:t xml:space="preserve">4.5 million (“Tranche 2”), which right expired on December 31, 2025. The Term Loans mature on </w:t>
      </w:r>
      <w:bookmarkStart w:id="417" w:name="xdx_907_eus-gaap--DebtInstrumentMaturity"/>
      <w:bookmarkEnd w:id="417"/>
      <w:r>
        <w:rPr>
          <w:rFonts w:ascii="Times New Roman;Times;Serif" w:hAnsi="Times New Roman;Times;Serif"/>
          <w:b w:val="false"/>
          <w:i w:val="false"/>
          <w:caps w:val="false"/>
          <w:smallCaps w:val="false"/>
          <w:sz w:val="20"/>
          <w:shd w:fill="FFFFFF" w:val="clear"/>
        </w:rPr>
        <w:t xml:space="preserve">August 1, 2029 (the “Maturity Date”).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Avenue has the right to convert (the “Conversion Right”) an aggregate amount of up to $</w:t>
      </w:r>
      <w:bookmarkStart w:id="418" w:name="xdx_901_eus-gaap--DebtConversionConverte"/>
      <w:bookmarkEnd w:id="418"/>
      <w:r>
        <w:rPr>
          <w:rFonts w:ascii="Times New Roman;Times;Serif" w:hAnsi="Times New Roman;Times;Serif"/>
          <w:b w:val="false"/>
          <w:i w:val="false"/>
          <w:caps w:val="false"/>
          <w:smallCaps w:val="false"/>
          <w:sz w:val="20"/>
        </w:rPr>
        <w:t>2.5 million of the outstanding Loan Amount into shares of the Company’s common stock at a conversion price per share equal to $</w:t>
      </w:r>
      <w:bookmarkStart w:id="419" w:name="xdx_905_eus-gaap--DebtInstrumentConverti"/>
      <w:bookmarkEnd w:id="419"/>
      <w:r>
        <w:rPr>
          <w:rFonts w:ascii="Times New Roman;Times;Serif" w:hAnsi="Times New Roman;Times;Serif"/>
          <w:b w:val="false"/>
          <w:i w:val="false"/>
          <w:caps w:val="false"/>
          <w:smallCaps w:val="false"/>
          <w:sz w:val="20"/>
        </w:rPr>
        <w:t xml:space="preserve">8.4625, representing </w:t>
      </w:r>
      <w:bookmarkStart w:id="420" w:name="xdx_90B_eus-gaap--DebtInstrumentConverti"/>
      <w:bookmarkEnd w:id="420"/>
      <w:r>
        <w:rPr>
          <w:rFonts w:ascii="Times New Roman;Times;Serif" w:hAnsi="Times New Roman;Times;Serif"/>
          <w:b w:val="false"/>
          <w:i w:val="false"/>
          <w:caps w:val="false"/>
          <w:smallCaps w:val="false"/>
          <w:sz w:val="20"/>
        </w:rPr>
        <w:t>125% of the lower of (i) the five-day volume-weighted average price of Company’s common stock as calculated on the day prior to the LSA Closing Date, or (ii) the closing price of Company’s common stock on the date prior to the LSA Closing Date ($</w:t>
      </w:r>
      <w:bookmarkStart w:id="421" w:name="xdx_903_eus-gaap--SharePrice_iI_pid_c202"/>
      <w:bookmarkEnd w:id="421"/>
      <w:r>
        <w:rPr>
          <w:rFonts w:ascii="Times New Roman;Times;Serif" w:hAnsi="Times New Roman;Times;Serif"/>
          <w:b w:val="false"/>
          <w:i w:val="false"/>
          <w:caps w:val="false"/>
          <w:smallCaps w:val="false"/>
          <w:sz w:val="20"/>
        </w:rPr>
        <w:t>6.77). Therefore, the Company recorded the borrowings under Tranche 1 as Non-Convertible and Convertible Notes Payable, respectively. In the event the Company elects to prepay the Term Loans in full, the Company shall provide no less than five business days’ prior written notice to Avenue; provided, however, if Avenue has not yet exercised the Conversion Right, the Company shall provide written notice of prepayment at least 10 days in advance of the proposed prepayment date and Avenue shall have the option, with respect to the Conversion Right, to exercise the Conversion Right by delivering written notice to the Company at least two business days in advance of the proposed prepayment date.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principal balance of the Term Loans bears interest at a variable rate per annum equal to the greater of (i) the sum of </w:t>
      </w:r>
      <w:bookmarkStart w:id="422" w:name="xdx_907_eus-gaap--DebtInstrumentInterest"/>
      <w:bookmarkEnd w:id="422"/>
      <w:r>
        <w:rPr>
          <w:rFonts w:ascii="Times New Roman;Times;Serif" w:hAnsi="Times New Roman;Times;Serif"/>
          <w:b w:val="false"/>
          <w:i w:val="false"/>
          <w:caps w:val="false"/>
          <w:smallCaps w:val="false"/>
          <w:sz w:val="20"/>
        </w:rPr>
        <w:t xml:space="preserve">5.0% and the prime rate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provided that, in the event such prime rate of interest is less than zero, such rate shall be deemed to be zero, and (ii) twelve and one-half percent (</w:t>
      </w:r>
      <w:bookmarkStart w:id="423" w:name="xdx_903_eus-gaap--DebtInstrumentInterest"/>
      <w:bookmarkEnd w:id="423"/>
      <w:r>
        <w:rPr>
          <w:rFonts w:ascii="Times New Roman;Times;Serif" w:hAnsi="Times New Roman;Times;Serif"/>
          <w:b w:val="false"/>
          <w:i w:val="false"/>
          <w:caps w:val="false"/>
          <w:smallCaps w:val="false"/>
          <w:sz w:val="20"/>
        </w:rPr>
        <w:t xml:space="preserve">12.50%) (the “Interest Rate”). Interest only shall be payable at the Interest Rate during the period following the LSA Closing Date and continuing until the first day of the first full calendar month following the 18 month anniversary of the LSA Closing Date, provided, however, that such period shall be extended for six months if as of the 18 month anniversary of the LSA Closing Date, the Company has achieved certain milestones, as provided in the Supplement to the Loan and Security Agreement dated August 4, 2025, by and among the Company, NURO and Avenue (the “Supplement”); provided, further, however, that such interest only period shall not exceed 24 months. Thereafter, principal and interest of the Term Loans shall be fully amortized and paid, in equal, monthly principal installments, plus interest at the Interest Rate for such month, through the Maturity Date, subject to the terms and conditions of the Supplement. The Company will pay final payment at a fee of </w:t>
      </w:r>
      <w:bookmarkStart w:id="424" w:name="xdx_903_ecustom--DebtInstrumentFuturePay"/>
      <w:bookmarkEnd w:id="424"/>
      <w:r>
        <w:rPr>
          <w:rFonts w:ascii="Times New Roman;Times;Serif" w:hAnsi="Times New Roman;Times;Serif"/>
          <w:b w:val="false"/>
          <w:i w:val="false"/>
          <w:caps w:val="false"/>
          <w:smallCaps w:val="false"/>
          <w:sz w:val="20"/>
        </w:rPr>
        <w:t>3.5% of the Loan Amount, due upon the earlier of the Maturity Date or prepayment in full of the Term Loans, which is currently $</w:t>
      </w:r>
      <w:bookmarkStart w:id="425" w:name="xdx_90E_eus-gaap--PaymentsForLoans_c2026"/>
      <w:bookmarkEnd w:id="425"/>
      <w:r>
        <w:rPr>
          <w:rFonts w:ascii="Times New Roman;Times;Serif" w:hAnsi="Times New Roman;Times;Serif"/>
          <w:b w:val="false"/>
          <w:i w:val="false"/>
          <w:caps w:val="false"/>
          <w:smallCaps w:val="false"/>
          <w:sz w:val="20"/>
        </w:rPr>
        <w:t>262,500 based on the borrowing under Tranche 1.</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its option at any time, prepay the Term Loans in their entirety by paying the then outstanding principal balance and all accrued and unpaid interest on the Term Loans, subject to a prepayment fee equal to </w:t>
      </w:r>
      <w:bookmarkStart w:id="426" w:name="xdx_90F_eus-gaap--DebtInstrumentDescript"/>
      <w:bookmarkEnd w:id="426"/>
      <w:r>
        <w:rPr>
          <w:rFonts w:ascii="Times New Roman;Times;Serif" w:hAnsi="Times New Roman;Times;Serif"/>
          <w:b w:val="false"/>
          <w:i w:val="false"/>
          <w:caps w:val="false"/>
          <w:smallCaps w:val="false"/>
          <w:sz w:val="20"/>
        </w:rPr>
        <w:t>(i) 3.0% of the principal amount outstanding if the prepayment occurs on or prior to the first anniversary following the LSA Closing Date, (ii) 2.0% of the principal amount outstanding if the prepayment occurs after the first anniversary following the LSA Closing Date, but on or prior to the second anniversary following the LSA Closing Date, and (iii) 1.0% of the principal amount outstanding if the prepayment occurs after the second anniversary following the LSA Closing Date, but on or prior to the Maturity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borrower commitment and legal fees of $</w:t>
      </w:r>
      <w:bookmarkStart w:id="427" w:name="xdx_90D_eus-gaap--DebtInstrumentUnamorti"/>
      <w:bookmarkEnd w:id="427"/>
      <w:r>
        <w:rPr>
          <w:rFonts w:ascii="Times New Roman;Times;Serif" w:hAnsi="Times New Roman;Times;Serif"/>
          <w:b w:val="false"/>
          <w:i w:val="false"/>
          <w:caps w:val="false"/>
          <w:smallCaps w:val="false"/>
          <w:sz w:val="20"/>
        </w:rPr>
        <w:t>1,290,000, which are presented as debt discounts, of which $</w:t>
      </w:r>
      <w:bookmarkStart w:id="428" w:name="xdx_90E_ecustom--DebtIssuanceCostsSettle"/>
      <w:bookmarkEnd w:id="428"/>
      <w:r>
        <w:rPr>
          <w:rFonts w:ascii="Times New Roman;Times;Serif" w:hAnsi="Times New Roman;Times;Serif"/>
          <w:b w:val="false"/>
          <w:i w:val="false"/>
          <w:caps w:val="false"/>
          <w:smallCaps w:val="false"/>
          <w:sz w:val="20"/>
        </w:rPr>
        <w:t>719,996 was settled in the issuance of the Company’s common stock (discussed further below). During the three and six months ended June 30, 2026, the Company recorded interest expense of $</w:t>
      </w:r>
      <w:bookmarkStart w:id="429" w:name="xdx_902_eus-gaap--InterestExpenseDebt_pn"/>
      <w:bookmarkEnd w:id="429"/>
      <w:r>
        <w:rPr>
          <w:rFonts w:ascii="Times New Roman;Times;Serif" w:hAnsi="Times New Roman;Times;Serif"/>
          <w:b w:val="false"/>
          <w:i w:val="false"/>
          <w:caps w:val="false"/>
          <w:smallCaps w:val="false"/>
          <w:sz w:val="20"/>
        </w:rPr>
        <w:t>321,000 and $</w:t>
      </w:r>
      <w:bookmarkStart w:id="430" w:name="xdx_90F_eus-gaap--InterestExpenseDebt_pn"/>
      <w:bookmarkEnd w:id="430"/>
      <w:r>
        <w:rPr>
          <w:rFonts w:ascii="Times New Roman;Times;Serif" w:hAnsi="Times New Roman;Times;Serif"/>
          <w:b w:val="false"/>
          <w:i w:val="false"/>
          <w:caps w:val="false"/>
          <w:smallCaps w:val="false"/>
          <w:sz w:val="20"/>
        </w:rPr>
        <w:t>639,000, respectively, which included amortization of debt discount of $</w:t>
      </w:r>
      <w:bookmarkStart w:id="431" w:name="xdx_903_eus-gaap--AmortizationOfDebtDisc"/>
      <w:bookmarkEnd w:id="431"/>
      <w:r>
        <w:rPr>
          <w:rFonts w:ascii="Times New Roman;Times;Serif" w:hAnsi="Times New Roman;Times;Serif"/>
          <w:b w:val="false"/>
          <w:i w:val="false"/>
          <w:caps w:val="false"/>
          <w:smallCaps w:val="false"/>
          <w:sz w:val="20"/>
        </w:rPr>
        <w:t>80,000 and $</w:t>
      </w:r>
      <w:bookmarkStart w:id="432" w:name="xdx_90F_eus-gaap--AmortizationOfDebtDisc"/>
      <w:bookmarkEnd w:id="432"/>
      <w:r>
        <w:rPr>
          <w:rFonts w:ascii="Times New Roman;Times;Serif" w:hAnsi="Times New Roman;Times;Serif"/>
          <w:b w:val="false"/>
          <w:i w:val="false"/>
          <w:caps w:val="false"/>
          <w:smallCaps w:val="false"/>
          <w:sz w:val="20"/>
        </w:rPr>
        <w:t xml:space="preserve">161,000, respectively. As of June 30, 2026, the interest rate on Tranche 1 is </w:t>
      </w:r>
      <w:bookmarkStart w:id="433" w:name="xdx_903_eus-gaap--DebtInstrumentInterest"/>
      <w:bookmarkEnd w:id="433"/>
      <w:r>
        <w:rPr>
          <w:rFonts w:ascii="Times New Roman;Times;Serif" w:hAnsi="Times New Roman;Times;Serif"/>
          <w:b w:val="false"/>
          <w:i w:val="false"/>
          <w:caps w:val="false"/>
          <w:smallCaps w:val="false"/>
          <w:sz w:val="20"/>
        </w:rPr>
        <w:t>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and Security Agreement is collateralized by substantially all of the Company’s assets in which Avenue is granted a senior secured lien. The Company also grants Avenue a negative pledge on the Company’s intellectual property, subject to limited exceptions, pursuant to the Loan and Security Agreement. The Loan and Security Agreement contains customary representations, warranties and covenants, including covenants limiting certain additional indebtedness, liens (including a negative pledge on intellectual property and other assets, subject to limited exceptions), guaranties, substantial asset sales, investments and loans, certain corporate changes, transactions with affiliates and fundamental changes. The financial covenants include a minimum level of revenue and cash and cash equivalents. We were in compliance with these financial covenants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and Security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Avenue may (i) accelerate payment of all obligations, impose an increased rate of interest, and terminate Avenue commitments under the Loan and Security Agreement and (ii) exercise any other right or remedy provided by contract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Avenue shall have the right, but not the obligation, to invest up to an aggregate of $</w:t>
      </w:r>
      <w:bookmarkStart w:id="434" w:name="xdx_906_ecustom--PotentialCashInflowsFro"/>
      <w:bookmarkEnd w:id="434"/>
      <w:r>
        <w:rPr>
          <w:rFonts w:ascii="Times New Roman;Times;Serif" w:hAnsi="Times New Roman;Times;Serif"/>
          <w:b w:val="false"/>
          <w:i w:val="false"/>
          <w:caps w:val="false"/>
          <w:smallCaps w:val="false"/>
          <w:sz w:val="20"/>
        </w:rPr>
        <w:t>1 million in equity securities of the Company on the same terms, conditions, and pricing offered by the Company to other investors in connection with any offering of the Company’s equity securities to third party investors for capital raising purposes occurring after the Closing Date, on the terms and conditions set forth in the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Avenue Subscription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Loan and Security Agreement, the Company entered into a Subscription Agreement (the “Subscription Agreement”) between the Company and Avenue, pursuant to which the Company issued </w:t>
      </w:r>
      <w:bookmarkStart w:id="435" w:name="xdx_90A_eus-gaap--StockIssuedDuringPerio"/>
      <w:bookmarkEnd w:id="435"/>
      <w:r>
        <w:rPr>
          <w:rFonts w:ascii="Times New Roman;Times;Serif" w:hAnsi="Times New Roman;Times;Serif"/>
          <w:b w:val="false"/>
          <w:i w:val="false"/>
          <w:caps w:val="false"/>
          <w:smallCaps w:val="false"/>
          <w:sz w:val="20"/>
        </w:rPr>
        <w:t>106,351 shares (the “Subscription Shares”) of the Company’s common stock to Avenue for no additional consideration. The shares were valued at $</w:t>
      </w:r>
      <w:bookmarkStart w:id="436" w:name="xdx_90E_eus-gaap--StockIssuedDuringPerio"/>
      <w:bookmarkEnd w:id="436"/>
      <w:r>
        <w:rPr>
          <w:rFonts w:ascii="Times New Roman;Times;Serif" w:hAnsi="Times New Roman;Times;Serif"/>
          <w:b w:val="false"/>
          <w:i w:val="false"/>
          <w:caps w:val="false"/>
          <w:smallCaps w:val="false"/>
          <w:sz w:val="20"/>
        </w:rPr>
        <w:t>719,996 based on the Company’s stock price on the LSA Closing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Subscription Shares was made in reliance on the exemption from registration contained in Section 4(a)(2) of the Securities Act of 1933, as amended (the “Securities Act”), and Rule 506 of Regulation D thereunder, because the offer and sale of such securities does not involve a “public offering” as defined in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the Company filed with the SEC a registration statement on Form S-3 (File No. 333-290713) to cover the resale of the Subscription Shares, and the shares of the Company’s common stock issuable upon the Conversion Right pursuant to the Loan and Security Agreement, which registration statement became effective on October 22, 2025.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Loan and Security Agreement, the Supplement and the Subscription Agreement do not purport to be complete and are qualified in their entirety by reference to the full text of Loan and Security Agreement and the Supplement, which are filed as Exhibits 10.1, 10.2 and 10.3 to the Company’s Quarterly Report on Form 10-Q for the period ended June 30, 2025, and are incorporated by reference herein.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7" w:name="xdx_896_eus-gaap--ScheduleOfMaturitiesOf"/>
      <w:bookmarkEnd w:id="437"/>
      <w:r>
        <w:rPr>
          <w:rFonts w:ascii="Times New Roman;Times;Serif" w:hAnsi="Times New Roman;Times;Serif"/>
          <w:b w:val="false"/>
          <w:i w:val="false"/>
          <w:caps w:val="false"/>
          <w:smallCaps w:val="false"/>
          <w:sz w:val="20"/>
        </w:rPr>
        <w:t>Maturities on long-term debt include:</w:t>
      </w:r>
    </w:p>
    <w:p>
      <w:pPr>
        <w:pStyle w:val="TextBody"/>
        <w:bidi w:val="0"/>
        <w:spacing w:before="0" w:after="0"/>
        <w:ind w:left="0" w:right="0" w:hanging="0"/>
        <w:jc w:val="left"/>
        <w:rPr>
          <w:caps w:val="false"/>
          <w:smallCaps w:val="false"/>
        </w:rPr>
      </w:pPr>
      <w:r>
        <w:rPr>
          <w:caps w:val="false"/>
          <w:smallCaps w:val="false"/>
        </w:rPr>
        <w:t> </w:t>
      </w:r>
      <w:bookmarkStart w:id="438" w:name="xdx_8B1_zMLIjncec3a8"/>
      <w:bookmarkEnd w:id="438"/>
      <w:r>
        <w:rPr>
          <w:rFonts w:ascii="Times New Roman;Times;Serif" w:hAnsi="Times New Roman;Times;Serif"/>
          <w:b w:val="false"/>
          <w:i w:val="false"/>
          <w:caps w:val="false"/>
          <w:smallCaps w:val="false"/>
          <w:sz w:val="20"/>
        </w:rPr>
        <w:t>Schedule of Maturities of Long-term Debt </w:t>
      </w:r>
    </w:p>
    <w:tbl>
      <w:tblPr>
        <w:tblW w:w="2860" w:type="dxa"/>
        <w:jc w:val="left"/>
        <w:tblInd w:w="0" w:type="dxa"/>
        <w:tblLayout w:type="fixed"/>
        <w:tblCellMar>
          <w:top w:w="0" w:type="dxa"/>
          <w:left w:w="0" w:type="dxa"/>
          <w:bottom w:w="0" w:type="dxa"/>
          <w:right w:w="0" w:type="dxa"/>
        </w:tblCellMar>
      </w:tblPr>
      <w:tblGrid>
        <w:gridCol w:w="1865"/>
        <w:gridCol w:w="60"/>
        <w:gridCol w:w="172"/>
        <w:gridCol w:w="688"/>
        <w:gridCol w:w="75"/>
      </w:tblGrid>
      <w:tr>
        <w:trPr/>
        <w:tc>
          <w:tcPr>
            <w:tcW w:w="186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bookmarkStart w:id="439" w:name="xdx_49D_20260630_zDPAvBlqlbRb"/>
            <w:bookmarkEnd w:id="43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440" w:name="xdx_406_eus-gaap--LongTermDebtMaturities"/>
            <w:bookmarkEnd w:id="440"/>
          </w:p>
        </w:tc>
      </w:tr>
      <w:tr>
        <w:trPr/>
        <w:tc>
          <w:tcPr>
            <w:tcW w:w="186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41" w:name="xdx_406_eus-gaap--LongTermDebtMaturities"/>
            <w:bookmarkEnd w:id="441"/>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2,500</w:t>
            </w:r>
          </w:p>
        </w:tc>
        <w:tc>
          <w:tcPr>
            <w:tcW w:w="75" w:type="dxa"/>
            <w:tcBorders/>
            <w:shd w:fill="FFFFFF" w:val="clear"/>
            <w:vAlign w:val="center"/>
          </w:tcPr>
          <w:p>
            <w:pPr>
              <w:pStyle w:val="TableContents"/>
              <w:bidi w:val="0"/>
              <w:spacing w:before="0" w:after="283"/>
              <w:jc w:val="left"/>
              <w:rPr/>
            </w:pPr>
            <w:r>
              <w:rPr/>
              <w:t> </w:t>
            </w:r>
            <w:bookmarkStart w:id="442" w:name="xdx_40E_eus-gaap--LongTermDebtMaturities"/>
            <w:bookmarkEnd w:id="442"/>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3,000</w:t>
            </w:r>
          </w:p>
        </w:tc>
        <w:tc>
          <w:tcPr>
            <w:tcW w:w="75" w:type="dxa"/>
            <w:tcBorders/>
            <w:shd w:fill="CCEEFF" w:val="clear"/>
            <w:vAlign w:val="center"/>
          </w:tcPr>
          <w:p>
            <w:pPr>
              <w:pStyle w:val="TableContents"/>
              <w:bidi w:val="0"/>
              <w:spacing w:before="0" w:after="283"/>
              <w:jc w:val="left"/>
              <w:rPr/>
            </w:pPr>
            <w:r>
              <w:rPr/>
              <w:t> </w:t>
            </w:r>
            <w:bookmarkStart w:id="443" w:name="xdx_40A_eus-gaap--LongTermDebtMaturities"/>
            <w:bookmarkEnd w:id="443"/>
          </w:p>
        </w:tc>
      </w:tr>
      <w:tr>
        <w:trPr/>
        <w:tc>
          <w:tcPr>
            <w:tcW w:w="18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2,262</w:t>
            </w:r>
          </w:p>
        </w:tc>
        <w:tc>
          <w:tcPr>
            <w:tcW w:w="75" w:type="dxa"/>
            <w:tcBorders/>
            <w:shd w:fill="FFFFFF" w:val="clear"/>
            <w:vAlign w:val="center"/>
          </w:tcPr>
          <w:p>
            <w:pPr>
              <w:pStyle w:val="TableContents"/>
              <w:bidi w:val="0"/>
              <w:spacing w:before="0" w:after="283"/>
              <w:jc w:val="left"/>
              <w:rPr/>
            </w:pPr>
            <w:r>
              <w:rPr/>
              <w:t> </w:t>
            </w:r>
            <w:bookmarkStart w:id="444" w:name="xdx_40C_eus-gaap--LongTermDebt_iTI_pn3n3"/>
            <w:bookmarkEnd w:id="444"/>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7,762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5" w:name="xdx_8A3_z12YSg7HmuM1"/>
      <w:bookmarkEnd w:id="44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6" w:name="xdx_809_eus-gaap--StockholdersEquityNote"/>
      <w:bookmarkEnd w:id="446"/>
      <w:r>
        <w:rPr>
          <w:rFonts w:ascii="Times New Roman;Times;Serif" w:hAnsi="Times New Roman;Times;Serif"/>
          <w:b/>
          <w:i w:val="false"/>
          <w:caps w:val="false"/>
          <w:smallCaps w:val="false"/>
          <w:sz w:val="20"/>
        </w:rPr>
        <w:t xml:space="preserve">Note 10. </w:t>
      </w:r>
      <w:bookmarkStart w:id="447" w:name="xdx_828_z3tVVAbVS7B6"/>
      <w:bookmarkEnd w:id="447"/>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we entered into the Sales Agreement with Wainwright. Under the Sales Agreement, the Company may offer and sell shares of its common stock from time to time having an aggregate offering price of up to $</w:t>
      </w:r>
      <w:bookmarkStart w:id="448" w:name="xdx_90F_ecustom--CommonStockAggregateOff"/>
      <w:bookmarkEnd w:id="448"/>
      <w:r>
        <w:rPr>
          <w:rFonts w:ascii="Times New Roman;Times;Serif" w:hAnsi="Times New Roman;Times;Serif"/>
          <w:b w:val="false"/>
          <w:i w:val="false"/>
          <w:caps w:val="false"/>
          <w:smallCaps w:val="false"/>
          <w:sz w:val="20"/>
        </w:rPr>
        <w:t xml:space="preserve">20 million during the term of the Sales Agreement through Wainwright, acting as sales agent. The Company intends to use the net proceeds from any offering pursuant to the Sales Agreement to continue to fund sales and marketing, working capital and for other general corporate purposes. For the three and six months ended June 30, 2026, the Company sold </w:t>
      </w:r>
      <w:bookmarkStart w:id="449" w:name="xdx_909_eus-gaap--SaleOfStockNumberOfSha"/>
      <w:bookmarkStart w:id="450" w:name="xdx_900_eus-gaap--SaleOfStockNumberOfSha"/>
      <w:bookmarkEnd w:id="449"/>
      <w:bookmarkEnd w:id="450"/>
      <w:r>
        <w:rPr>
          <w:rFonts w:ascii="Times New Roman;Times;Serif" w:hAnsi="Times New Roman;Times;Serif"/>
          <w:b w:val="false"/>
          <w:i w:val="false"/>
          <w:caps w:val="false"/>
          <w:smallCaps w:val="false"/>
          <w:sz w:val="20"/>
        </w:rPr>
        <w:t>494,601 shares of its common stock at a weighted average price of $</w:t>
      </w:r>
      <w:bookmarkStart w:id="451" w:name="xdx_90C_eus-gaap--SaleOfStockPricePerSha"/>
      <w:bookmarkEnd w:id="451"/>
      <w:r>
        <w:rPr>
          <w:rFonts w:ascii="Times New Roman;Times;Serif" w:hAnsi="Times New Roman;Times;Serif"/>
          <w:b w:val="false"/>
          <w:i w:val="false"/>
          <w:caps w:val="false"/>
          <w:smallCaps w:val="false"/>
          <w:sz w:val="20"/>
        </w:rPr>
        <w:t>8.17 per share, net of $</w:t>
      </w:r>
      <w:bookmarkStart w:id="452" w:name="xdx_904_eus-gaap--PaymentsOfStockIssuanc"/>
      <w:bookmarkStart w:id="453" w:name="xdx_904_eus-gaap--PaymentsOfStockIssuanc"/>
      <w:bookmarkEnd w:id="452"/>
      <w:bookmarkEnd w:id="453"/>
      <w:r>
        <w:rPr>
          <w:rFonts w:ascii="Times New Roman;Times;Serif" w:hAnsi="Times New Roman;Times;Serif"/>
          <w:b w:val="false"/>
          <w:i w:val="false"/>
          <w:caps w:val="false"/>
          <w:smallCaps w:val="false"/>
          <w:sz w:val="20"/>
        </w:rPr>
        <w:t>0.2 million of issuance costs for approximately $</w:t>
      </w:r>
      <w:bookmarkStart w:id="454" w:name="xdx_900_ecustom--ProceedsFromIssuanceOfE"/>
      <w:bookmarkStart w:id="455" w:name="xdx_905_ecustom--ProceedsFromIssuanceOfE"/>
      <w:bookmarkEnd w:id="454"/>
      <w:bookmarkEnd w:id="455"/>
      <w:r>
        <w:rPr>
          <w:rFonts w:ascii="Times New Roman;Times;Serif" w:hAnsi="Times New Roman;Times;Serif"/>
          <w:b w:val="false"/>
          <w:i w:val="false"/>
          <w:caps w:val="false"/>
          <w:smallCaps w:val="false"/>
          <w:sz w:val="20"/>
        </w:rPr>
        <w:t xml:space="preserve">3.9 million in net proceeds, pursuant to the Sales Agreement. Subsequent to June 30, 2026, the Company sold </w:t>
      </w:r>
      <w:bookmarkStart w:id="456" w:name="xdx_90D_eus-gaap--SaleOfStockNumberOfSha"/>
      <w:bookmarkEnd w:id="456"/>
      <w:r>
        <w:rPr>
          <w:rFonts w:ascii="Times New Roman;Times;Serif" w:hAnsi="Times New Roman;Times;Serif"/>
          <w:b w:val="false"/>
          <w:i w:val="false"/>
          <w:caps w:val="false"/>
          <w:smallCaps w:val="false"/>
          <w:sz w:val="20"/>
        </w:rPr>
        <w:t>10,745 shares of its common stock at a weighted average price of $</w:t>
      </w:r>
      <w:bookmarkStart w:id="457" w:name="xdx_906_eus-gaap--SaleOfStockPricePerSha"/>
      <w:bookmarkEnd w:id="457"/>
      <w:r>
        <w:rPr>
          <w:rFonts w:ascii="Times New Roman;Times;Serif" w:hAnsi="Times New Roman;Times;Serif"/>
          <w:b w:val="false"/>
          <w:i w:val="false"/>
          <w:caps w:val="false"/>
          <w:smallCaps w:val="false"/>
          <w:sz w:val="20"/>
        </w:rPr>
        <w:t>8.35 per share, net of issuance costs, for approximately $</w:t>
      </w:r>
      <w:bookmarkStart w:id="458" w:name="xdx_90C_eus-gaap--ProceedsFromIssuanceOr"/>
      <w:bookmarkEnd w:id="458"/>
      <w:r>
        <w:rPr>
          <w:rFonts w:ascii="Times New Roman;Times;Serif" w:hAnsi="Times New Roman;Times;Serif"/>
          <w:b w:val="false"/>
          <w:i w:val="false"/>
          <w:caps w:val="false"/>
          <w:smallCaps w:val="false"/>
          <w:sz w:val="20"/>
        </w:rPr>
        <w:t>86,200 in net proceeds, pursuant to the Sales Agreement. No sales were made pursuant to the Sales Agreement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purchases in 2025, the Company has sold </w:t>
      </w:r>
      <w:bookmarkStart w:id="459" w:name="xdx_901_eus-gaap--StockIssuedDuringPerio"/>
      <w:bookmarkEnd w:id="459"/>
      <w:r>
        <w:rPr>
          <w:rFonts w:ascii="Times New Roman;Times;Serif" w:hAnsi="Times New Roman;Times;Serif"/>
          <w:b w:val="false"/>
          <w:i w:val="false"/>
          <w:caps w:val="false"/>
          <w:smallCaps w:val="false"/>
          <w:sz w:val="20"/>
        </w:rPr>
        <w:t>519,611 shares of common stock for $</w:t>
      </w:r>
      <w:bookmarkStart w:id="460" w:name="xdx_905_eus-gaap--StockIssuedDuringPerio"/>
      <w:bookmarkEnd w:id="460"/>
      <w:r>
        <w:rPr>
          <w:rFonts w:ascii="Times New Roman;Times;Serif" w:hAnsi="Times New Roman;Times;Serif"/>
          <w:b w:val="false"/>
          <w:i w:val="false"/>
          <w:caps w:val="false"/>
          <w:smallCaps w:val="false"/>
          <w:sz w:val="20"/>
        </w:rPr>
        <w:t>4,203,000 in proceeds, net of issuance costs, pursuant 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1" w:name="xdx_89D_eus-gaap--ScheduleOfStockholders"/>
      <w:bookmarkEnd w:id="461"/>
      <w:r>
        <w:rPr>
          <w:rFonts w:ascii="Times New Roman;Times;Serif" w:hAnsi="Times New Roman;Times;Serif"/>
          <w:b w:val="false"/>
          <w:i w:val="false"/>
          <w:caps w:val="false"/>
          <w:smallCaps w:val="false"/>
          <w:sz w:val="20"/>
        </w:rPr>
        <w:t>The following table presents a summary of stock purchase warrants outstanding as of June 30, 2026:</w:t>
      </w:r>
    </w:p>
    <w:p>
      <w:pPr>
        <w:pStyle w:val="TextBody"/>
        <w:bidi w:val="0"/>
        <w:spacing w:before="0" w:after="0"/>
        <w:ind w:left="0" w:right="0" w:hanging="0"/>
        <w:jc w:val="both"/>
        <w:rPr>
          <w:caps w:val="false"/>
          <w:smallCaps w:val="false"/>
        </w:rPr>
      </w:pPr>
      <w:r>
        <w:rPr>
          <w:caps w:val="false"/>
          <w:smallCaps w:val="false"/>
        </w:rPr>
        <w:t> </w:t>
      </w:r>
      <w:bookmarkStart w:id="462" w:name="xdx_8B9_z5ifUxEGzuBg"/>
      <w:bookmarkEnd w:id="462"/>
      <w:r>
        <w:rPr>
          <w:rFonts w:ascii="Times New Roman;Times;Serif" w:hAnsi="Times New Roman;Times;Serif"/>
          <w:b w:val="false"/>
          <w:i w:val="false"/>
          <w:caps w:val="false"/>
          <w:smallCaps w:val="false"/>
          <w:sz w:val="20"/>
        </w:rPr>
        <w:t>Schedule of Stock Purchase Warrants Outstanding </w:t>
      </w:r>
    </w:p>
    <w:tbl>
      <w:tblPr>
        <w:tblW w:w="10205" w:type="dxa"/>
        <w:jc w:val="left"/>
        <w:tblInd w:w="0" w:type="dxa"/>
        <w:tblLayout w:type="fixed"/>
        <w:tblCellMar>
          <w:top w:w="0" w:type="dxa"/>
          <w:left w:w="0" w:type="dxa"/>
          <w:bottom w:w="0" w:type="dxa"/>
          <w:right w:w="0" w:type="dxa"/>
        </w:tblCellMar>
      </w:tblPr>
      <w:tblGrid>
        <w:gridCol w:w="1948"/>
        <w:gridCol w:w="60"/>
        <w:gridCol w:w="149"/>
        <w:gridCol w:w="1403"/>
        <w:gridCol w:w="95"/>
        <w:gridCol w:w="60"/>
        <w:gridCol w:w="337"/>
        <w:gridCol w:w="1062"/>
        <w:gridCol w:w="60"/>
        <w:gridCol w:w="60"/>
        <w:gridCol w:w="392"/>
        <w:gridCol w:w="2878"/>
        <w:gridCol w:w="60"/>
        <w:gridCol w:w="60"/>
        <w:gridCol w:w="300"/>
        <w:gridCol w:w="1202"/>
        <w:gridCol w:w="79"/>
      </w:tblGrid>
      <w:tr>
        <w:trPr/>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jc w:val="center"/>
              <w:rPr>
                <w:b/>
              </w:rPr>
            </w:pPr>
            <w:r>
              <w:rPr>
                <w:b/>
              </w:rPr>
              <w:t>Number of Warrants</w:t>
            </w:r>
          </w:p>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jc w:val="center"/>
              <w:rPr>
                <w:b/>
              </w:rPr>
            </w:pPr>
            <w:r>
              <w:rPr>
                <w:b/>
              </w:rPr>
              <w:t>Weighted Average</w:t>
            </w:r>
          </w:p>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Intrinsic Value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9" w:type="dxa"/>
            <w:tcBorders/>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pPr>
            <w:r>
              <w:rPr/>
              <w:t>Outstanding, January 1, 2026</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bookmarkStart w:id="463" w:name="xdx_987_eus-gaap--ShareBasedCompensation"/>
            <w:bookmarkEnd w:id="463"/>
          </w:p>
        </w:tc>
        <w:tc>
          <w:tcPr>
            <w:tcW w:w="1403" w:type="dxa"/>
            <w:tcBorders/>
            <w:shd w:fill="CCEEFF" w:val="clear"/>
            <w:vAlign w:val="center"/>
          </w:tcPr>
          <w:p>
            <w:pPr>
              <w:pStyle w:val="TableContents"/>
              <w:bidi w:val="0"/>
              <w:spacing w:before="0" w:after="283"/>
              <w:jc w:val="right"/>
              <w:rPr/>
            </w:pPr>
            <w:r>
              <w:rPr/>
              <w:t>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bookmarkStart w:id="464" w:name="xdx_98E_eus-gaap--ShareBasedCompensation"/>
            <w:bookmarkEnd w:id="464"/>
          </w:p>
        </w:tc>
        <w:tc>
          <w:tcPr>
            <w:tcW w:w="1062" w:type="dxa"/>
            <w:tcBorders/>
            <w:shd w:fill="CCEEFF" w:val="clear"/>
            <w:vAlign w:val="center"/>
          </w:tcPr>
          <w:p>
            <w:pPr>
              <w:pStyle w:val="TableContents"/>
              <w:bidi w:val="0"/>
              <w:spacing w:before="0" w:after="283"/>
              <w:jc w:val="right"/>
              <w:rPr/>
            </w:pPr>
            <w:r>
              <w:rPr/>
              <w:t>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bookmarkStart w:id="465" w:name="xdx_98D_eus-gaap--ShareBasedCompensation"/>
            <w:bookmarkEnd w:id="465"/>
          </w:p>
        </w:tc>
        <w:tc>
          <w:tcPr>
            <w:tcW w:w="2878" w:type="dxa"/>
            <w:tcBorders/>
            <w:shd w:fill="CCEEFF" w:val="clear"/>
            <w:vAlign w:val="center"/>
          </w:tcPr>
          <w:p>
            <w:pPr>
              <w:pStyle w:val="TableContents"/>
              <w:bidi w:val="0"/>
              <w:spacing w:before="0" w:after="283"/>
              <w:jc w:val="right"/>
              <w:rPr/>
            </w:pPr>
            <w:r>
              <w:rPr/>
              <w:t>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bookmarkStart w:id="466" w:name="xdx_980_eus-gaap--SharebasedCompensation"/>
            <w:bookmarkEnd w:id="466"/>
          </w:p>
        </w:tc>
        <w:tc>
          <w:tcPr>
            <w:tcW w:w="1202" w:type="dxa"/>
            <w:tcBorders/>
            <w:shd w:fill="CCEEFF" w:val="clear"/>
            <w:vAlign w:val="center"/>
          </w:tcPr>
          <w:p>
            <w:pPr>
              <w:pStyle w:val="TableContents"/>
              <w:bidi w:val="0"/>
              <w:spacing w:before="0" w:after="283"/>
              <w:jc w:val="right"/>
              <w:rPr/>
            </w:pPr>
            <w:r>
              <w:rPr/>
              <w:t>121</w:t>
            </w:r>
          </w:p>
        </w:tc>
        <w:tc>
          <w:tcPr>
            <w:tcW w:w="79" w:type="dxa"/>
            <w:tcBorders/>
            <w:shd w:fill="CCEEFF" w:val="clear"/>
            <w:vAlign w:val="center"/>
          </w:tcPr>
          <w:p>
            <w:pPr>
              <w:pStyle w:val="TableContents"/>
              <w:bidi w:val="0"/>
              <w:spacing w:before="0" w:after="283"/>
              <w:jc w:val="left"/>
              <w:rPr/>
            </w:pPr>
            <w:r>
              <w:rPr/>
              <w:t> </w:t>
            </w:r>
          </w:p>
        </w:tc>
      </w:tr>
      <w:tr>
        <w:trPr/>
        <w:tc>
          <w:tcPr>
            <w:tcW w:w="1948" w:type="dxa"/>
            <w:tcBorders/>
            <w:shd w:fill="FFFFFF" w:val="clear"/>
            <w:vAlign w:val="center"/>
          </w:tcPr>
          <w:p>
            <w:pPr>
              <w:pStyle w:val="TableContents"/>
              <w:bidi w:val="0"/>
              <w:spacing w:before="0" w:after="283"/>
              <w:jc w:val="left"/>
              <w:rPr/>
            </w:pPr>
            <w:r>
              <w:rPr/>
              <w:t>Stock Purchase Warrants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467" w:name="xdx_986_eus-gaap--ShareBasedCompensation"/>
            <w:bookmarkEnd w:id="467"/>
          </w:p>
        </w:tc>
        <w:tc>
          <w:tcPr>
            <w:tcW w:w="14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28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bookmarkStart w:id="468" w:name="xdx_986_eus-gaap--ShareBasedCompensation"/>
            <w:bookmarkEnd w:id="468"/>
          </w:p>
        </w:tc>
        <w:tc>
          <w:tcPr>
            <w:tcW w:w="1403" w:type="dxa"/>
            <w:tcBorders/>
            <w:shd w:fill="CCEEFF" w:val="clear"/>
            <w:vAlign w:val="center"/>
          </w:tcPr>
          <w:p>
            <w:pPr>
              <w:pStyle w:val="TableContents"/>
              <w:bidi w:val="0"/>
              <w:spacing w:before="0" w:after="283"/>
              <w:jc w:val="right"/>
              <w:rPr/>
            </w:pPr>
            <w:r>
              <w:rPr/>
              <w:t>(56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bookmarkStart w:id="469" w:name="xdx_98F_ecustom--ShareBasedCompensationA"/>
            <w:bookmarkEnd w:id="469"/>
          </w:p>
        </w:tc>
        <w:tc>
          <w:tcPr>
            <w:tcW w:w="1062" w:type="dxa"/>
            <w:tcBorders/>
            <w:shd w:fill="CCEEFF" w:val="clear"/>
            <w:vAlign w:val="center"/>
          </w:tcPr>
          <w:p>
            <w:pPr>
              <w:pStyle w:val="TableContents"/>
              <w:bidi w:val="0"/>
              <w:spacing w:before="0" w:after="283"/>
              <w:jc w:val="right"/>
              <w:rPr/>
            </w:pPr>
            <w:r>
              <w:rPr/>
              <w:t>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28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1948"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0" w:name="xdx_981_ecustom--ShareBasedCompensationA"/>
            <w:bookmarkEnd w:id="470"/>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87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948" w:type="dxa"/>
            <w:tcBorders/>
            <w:shd w:fill="CCEEFF" w:val="clear"/>
            <w:vAlign w:val="center"/>
          </w:tcPr>
          <w:p>
            <w:pPr>
              <w:pStyle w:val="TableContents"/>
              <w:bidi w:val="0"/>
              <w:spacing w:before="0" w:after="283"/>
              <w:jc w:val="left"/>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71" w:name="xdx_98E_eus-gaap--ShareBasedCompensation"/>
            <w:bookmarkEnd w:id="471"/>
          </w:p>
        </w:tc>
        <w:tc>
          <w:tcPr>
            <w:tcW w:w="1403" w:type="dxa"/>
            <w:tcBorders>
              <w:bottom w:val="double" w:sz="6" w:space="0" w:color="000000"/>
            </w:tcBorders>
            <w:shd w:fill="CCEEFF" w:val="clear"/>
            <w:tcMar>
              <w:bottom w:w="28" w:type="dxa"/>
            </w:tcMar>
            <w:vAlign w:val="center"/>
          </w:tcPr>
          <w:p>
            <w:pPr>
              <w:pStyle w:val="TableContents"/>
              <w:bidi w:val="0"/>
              <w:spacing w:before="0" w:after="283"/>
              <w:jc w:val="right"/>
              <w:rPr/>
            </w:pPr>
            <w:r>
              <w:rPr/>
              <w:t>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72" w:name="xdx_989_eus-gaap--ShareBasedCompensation"/>
            <w:bookmarkEnd w:id="472"/>
          </w:p>
        </w:tc>
        <w:tc>
          <w:tcPr>
            <w:tcW w:w="1062" w:type="dxa"/>
            <w:tcBorders>
              <w:bottom w:val="double" w:sz="6" w:space="0" w:color="000000"/>
            </w:tcBorders>
            <w:shd w:fill="CCEEFF" w:val="clear"/>
            <w:tcMar>
              <w:bottom w:w="28" w:type="dxa"/>
            </w:tcMar>
            <w:vAlign w:val="center"/>
          </w:tcPr>
          <w:p>
            <w:pPr>
              <w:pStyle w:val="TableContents"/>
              <w:bidi w:val="0"/>
              <w:spacing w:before="0" w:after="283"/>
              <w:jc w:val="right"/>
              <w:rPr/>
            </w:pPr>
            <w:r>
              <w:rPr/>
              <w:t>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73" w:name="xdx_981_eus-gaap--ShareBasedCompensation"/>
            <w:bookmarkEnd w:id="473"/>
          </w:p>
        </w:tc>
        <w:tc>
          <w:tcPr>
            <w:tcW w:w="2878" w:type="dxa"/>
            <w:tcBorders>
              <w:bottom w:val="double" w:sz="6" w:space="0" w:color="000000"/>
            </w:tcBorders>
            <w:shd w:fill="CCEEFF" w:val="clear"/>
            <w:tcMar>
              <w:bottom w:w="28" w:type="dxa"/>
            </w:tcMar>
            <w:vAlign w:val="center"/>
          </w:tcPr>
          <w:p>
            <w:pPr>
              <w:pStyle w:val="TableContents"/>
              <w:bidi w:val="0"/>
              <w:spacing w:before="0" w:after="283"/>
              <w:jc w:val="right"/>
              <w:rPr/>
            </w:pPr>
            <w:r>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74" w:name="xdx_985_eus-gaap--SharebasedCompensation"/>
            <w:bookmarkEnd w:id="474"/>
          </w:p>
        </w:tc>
        <w:tc>
          <w:tcPr>
            <w:tcW w:w="1202" w:type="dxa"/>
            <w:tcBorders>
              <w:bottom w:val="double" w:sz="6" w:space="0" w:color="000000"/>
            </w:tcBorders>
            <w:shd w:fill="CCEEFF" w:val="clear"/>
            <w:tcMar>
              <w:bottom w:w="28" w:type="dxa"/>
            </w:tcMar>
            <w:vAlign w:val="center"/>
          </w:tcPr>
          <w:p>
            <w:pPr>
              <w:pStyle w:val="TableContents"/>
              <w:bidi w:val="0"/>
              <w:spacing w:before="0" w:after="283"/>
              <w:jc w:val="right"/>
              <w:rPr/>
            </w:pPr>
            <w:r>
              <w:rPr/>
              <w:t>4,965</w:t>
            </w:r>
          </w:p>
        </w:tc>
        <w:tc>
          <w:tcPr>
            <w:tcW w:w="79" w:type="dxa"/>
            <w:tcBorders/>
            <w:shd w:fill="CCEEFF" w:val="clear"/>
            <w:vAlign w:val="center"/>
          </w:tcPr>
          <w:p>
            <w:pPr>
              <w:pStyle w:val="TableContents"/>
              <w:bidi w:val="0"/>
              <w:spacing w:before="0" w:after="283"/>
              <w:jc w:val="left"/>
              <w:rPr/>
            </w:pPr>
            <w:r>
              <w:rPr/>
              <w:t> </w:t>
            </w:r>
          </w:p>
        </w:tc>
      </w:tr>
      <w:tr>
        <w:trPr/>
        <w:tc>
          <w:tcPr>
            <w:tcW w:w="1948" w:type="dxa"/>
            <w:tcBorders/>
            <w:shd w:fill="FFFFFF" w:val="clear"/>
            <w:vAlign w:val="center"/>
          </w:tcPr>
          <w:p>
            <w:pPr>
              <w:pStyle w:val="TableContents"/>
              <w:bidi w:val="0"/>
              <w:spacing w:before="0" w:after="283"/>
              <w:jc w:val="left"/>
              <w:rPr/>
            </w:pPr>
            <w:r>
              <w:rPr/>
              <w:t>Exercisable, June 30, 2026</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75" w:name="xdx_98E_ecustom--ShareBasedCompensationA"/>
            <w:bookmarkEnd w:id="475"/>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pPr>
            <w:r>
              <w:rPr/>
              <w:t>1,440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6" w:name="xdx_98F_ecustom--ShareBasedCompensationA"/>
            <w:bookmarkEnd w:id="476"/>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pPr>
            <w:r>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77" w:name="xdx_98A_eus-gaap--SharebasedCompensation"/>
            <w:bookmarkEnd w:id="477"/>
          </w:p>
        </w:tc>
        <w:tc>
          <w:tcPr>
            <w:tcW w:w="2878" w:type="dxa"/>
            <w:tcBorders>
              <w:bottom w:val="double" w:sz="6" w:space="0" w:color="000000"/>
            </w:tcBorders>
            <w:shd w:fill="FFFFFF" w:val="clear"/>
            <w:tcMar>
              <w:bottom w:w="28" w:type="dxa"/>
            </w:tcMar>
            <w:vAlign w:val="center"/>
          </w:tcPr>
          <w:p>
            <w:pPr>
              <w:pStyle w:val="TableContents"/>
              <w:bidi w:val="0"/>
              <w:spacing w:before="0" w:after="283"/>
              <w:jc w:val="right"/>
              <w:rPr/>
            </w:pPr>
            <w:r>
              <w:rPr/>
              <w:t>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8" w:name="xdx_987_ecustom--ShareBasedCompensationA"/>
            <w:bookmarkEnd w:id="478"/>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pPr>
            <w:r>
              <w:rPr/>
              <w:t>4,965</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40"/>
        <w:gridCol w:w="5510"/>
      </w:tblGrid>
      <w:tr>
        <w:trPr/>
        <w:tc>
          <w:tcPr>
            <w:tcW w:w="140" w:type="dxa"/>
            <w:tcBorders/>
            <w:vAlign w:val="center"/>
          </w:tcPr>
          <w:p>
            <w:pPr>
              <w:pStyle w:val="TableContents"/>
              <w:bidi w:val="0"/>
              <w:spacing w:before="0" w:after="283"/>
              <w:jc w:val="right"/>
              <w:rPr>
                <w:rFonts w:ascii="Times New Roman;Times;Serif" w:hAnsi="Times New Roman;Times;Serif"/>
                <w:i/>
                <w:sz w:val="20"/>
              </w:rPr>
            </w:pPr>
            <w:bookmarkStart w:id="479" w:name="xdx_F04_zKzIQChlmyT5"/>
            <w:bookmarkEnd w:id="479"/>
            <w:r>
              <w:rPr>
                <w:rFonts w:ascii="Times New Roman;Times;Serif" w:hAnsi="Times New Roman;Times;Serif"/>
                <w:i/>
                <w:sz w:val="20"/>
              </w:rPr>
              <w:t>*</w:t>
            </w:r>
          </w:p>
        </w:tc>
        <w:tc>
          <w:tcPr>
            <w:tcW w:w="5510" w:type="dxa"/>
            <w:tcBorders/>
            <w:vAlign w:val="center"/>
          </w:tcPr>
          <w:p>
            <w:pPr>
              <w:pStyle w:val="TableContents"/>
              <w:bidi w:val="0"/>
              <w:spacing w:before="0" w:after="283"/>
              <w:jc w:val="both"/>
              <w:rPr>
                <w:rFonts w:ascii="Times New Roman;Times;Serif" w:hAnsi="Times New Roman;Times;Serif"/>
                <w:sz w:val="20"/>
              </w:rPr>
            </w:pPr>
            <w:bookmarkStart w:id="480" w:name="xdx_F1F_zxFdyJX1YXs9"/>
            <w:bookmarkEnd w:id="480"/>
            <w:r>
              <w:rPr>
                <w:rFonts w:ascii="Times New Roman;Times;Serif" w:hAnsi="Times New Roman;Times;Serif"/>
                <w:sz w:val="20"/>
              </w:rPr>
              <w:t xml:space="preserve">A total of </w:t>
            </w:r>
            <w:bookmarkStart w:id="481" w:name="xdx_90D_eus-gaap--IncrementalCommonShare"/>
            <w:bookmarkEnd w:id="481"/>
            <w:r>
              <w:rPr>
                <w:rFonts w:ascii="Times New Roman;Times;Serif" w:hAnsi="Times New Roman;Times;Serif"/>
                <w:sz w:val="20"/>
              </w:rPr>
              <w:t xml:space="preserve">883,433 </w:t>
            </w:r>
            <w:r>
              <w:rPr>
                <w:rFonts w:ascii="Times New Roman;Times;Serif" w:hAnsi="Times New Roman;Times;Serif"/>
                <w:sz w:val="20"/>
                <w:shd w:fill="FFFFFF" w:val="clear"/>
              </w:rPr>
              <w:t>pre-funded warrants are excluded from this table.</w:t>
            </w:r>
          </w:p>
        </w:tc>
      </w:tr>
    </w:tbl>
    <w:p>
      <w:pPr>
        <w:pStyle w:val="TextBody"/>
        <w:bidi w:val="0"/>
        <w:spacing w:before="0" w:after="0"/>
        <w:ind w:left="0" w:right="0" w:hanging="0"/>
        <w:jc w:val="both"/>
        <w:rPr>
          <w:caps w:val="false"/>
          <w:smallCaps w:val="false"/>
        </w:rPr>
      </w:pPr>
      <w:bookmarkStart w:id="482" w:name="xdx_8A2_z1oh94PaaeE6"/>
      <w:bookmarkEnd w:id="48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3" w:name="xdx_803_eus-gaap--EarningsPerShareTextBl"/>
      <w:bookmarkEnd w:id="483"/>
      <w:r>
        <w:rPr>
          <w:rFonts w:ascii="Times New Roman;Times;Serif" w:hAnsi="Times New Roman;Times;Serif"/>
          <w:b/>
          <w:i w:val="false"/>
          <w:caps w:val="false"/>
          <w:smallCaps w:val="false"/>
          <w:sz w:val="20"/>
        </w:rPr>
        <w:t xml:space="preserve">Note 11. </w:t>
      </w:r>
      <w:bookmarkStart w:id="484" w:name="xdx_82F_zZ923MB5798b"/>
      <w:bookmarkEnd w:id="484"/>
      <w:r>
        <w:rPr>
          <w:rFonts w:ascii="Times New Roman;Times;Serif" w:hAnsi="Times New Roman;Times;Serif"/>
          <w:b/>
          <w:i w:val="false"/>
          <w:caps w:val="false"/>
          <w:smallCaps w:val="false"/>
          <w:sz w:val="20"/>
        </w:rPr>
        <w:t xml:space="preserve">Net Loss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by the weighted-average number of shares of common stock outstanding during the period. Diluted loss per share is computed by dividing net loss by the weighted-average number of shares of common stock outstanding adjusted to give effect to potentially dilutive securities. Due to their nominal exercise price of $</w:t>
      </w:r>
      <w:bookmarkStart w:id="485" w:name="xdx_904_eus-gaap--CommonStockParOrStated"/>
      <w:bookmarkStart w:id="486" w:name="xdx_90D_eus-gaap--CommonStockParOrStated"/>
      <w:bookmarkEnd w:id="485"/>
      <w:bookmarkEnd w:id="486"/>
      <w:r>
        <w:rPr>
          <w:rFonts w:ascii="Times New Roman;Times;Serif" w:hAnsi="Times New Roman;Times;Serif"/>
          <w:b w:val="false"/>
          <w:i w:val="false"/>
          <w:caps w:val="false"/>
          <w:smallCaps w:val="false"/>
          <w:sz w:val="20"/>
        </w:rPr>
        <w:t xml:space="preserve">0.001 per share, </w:t>
      </w:r>
      <w:bookmarkStart w:id="487" w:name="xdx_909_ecustom--IncrementalCommonShares"/>
      <w:bookmarkStart w:id="488" w:name="xdx_90B_ecustom--IncrementalCommonShares"/>
      <w:bookmarkStart w:id="489" w:name="xdx_907_ecustom--IncrementalCommonShares"/>
      <w:bookmarkStart w:id="490" w:name="xdx_901_ecustom--IncrementalCommonShares"/>
      <w:bookmarkEnd w:id="487"/>
      <w:bookmarkEnd w:id="488"/>
      <w:bookmarkEnd w:id="489"/>
      <w:bookmarkEnd w:id="490"/>
      <w:r>
        <w:rPr>
          <w:rFonts w:ascii="Times New Roman;Times;Serif" w:hAnsi="Times New Roman;Times;Serif"/>
          <w:b w:val="false"/>
          <w:i w:val="false"/>
          <w:caps w:val="false"/>
          <w:smallCaps w:val="false"/>
          <w:sz w:val="20"/>
        </w:rPr>
        <w:t>883,433 pre-funded warrants are considered common stock equivalents during the three and six months ended June 30, 2026 and 2025, respectively, and are included in weighted average shares outstanding in the accompanying condensed consolidated statement of operations as of the closing date of the Company’s July 2023 Securities Purchase Agreements. Restricted stock and unit awards, stock options, and warrants (other than the pre-funded warrants) have not been included in the diluted loss per share calculation as their inclusion would have had an anti-dilutive effect.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1" w:name="xdx_893_eus-gaap--ScheduleOfAntidilutive"/>
      <w:bookmarkEnd w:id="491"/>
      <w:r>
        <w:rPr>
          <w:rFonts w:ascii="Times New Roman;Times;Serif" w:hAnsi="Times New Roman;Times;Serif"/>
          <w:b w:val="false"/>
          <w:i w:val="false"/>
          <w:caps w:val="false"/>
          <w:smallCaps w:val="false"/>
          <w:sz w:val="20"/>
        </w:rPr>
        <w:t>The potential common stock equivalents that have been excluded from the computation of diluted loss per share consist of the following:</w:t>
      </w:r>
    </w:p>
    <w:p>
      <w:pPr>
        <w:pStyle w:val="TextBody"/>
        <w:bidi w:val="0"/>
        <w:spacing w:before="0" w:after="0"/>
        <w:ind w:left="0" w:right="0" w:hanging="0"/>
        <w:jc w:val="left"/>
        <w:rPr>
          <w:caps w:val="false"/>
          <w:smallCaps w:val="false"/>
        </w:rPr>
      </w:pPr>
      <w:r>
        <w:rPr>
          <w:caps w:val="false"/>
          <w:smallCaps w:val="false"/>
        </w:rPr>
        <w:t> </w:t>
      </w:r>
      <w:bookmarkStart w:id="492" w:name="xdx_8B8_zDnK3Wpei9Aj"/>
      <w:bookmarkEnd w:id="492"/>
      <w:r>
        <w:rPr>
          <w:rFonts w:ascii="Times New Roman;Times;Serif" w:hAnsi="Times New Roman;Times;Serif"/>
          <w:b w:val="false"/>
          <w:i w:val="false"/>
          <w:caps w:val="false"/>
          <w:smallCaps w:val="false"/>
          <w:sz w:val="20"/>
        </w:rPr>
        <w:t>Schedule of Common Stock Equivalent from the Computation of Diluted Loss Per Share </w:t>
      </w:r>
    </w:p>
    <w:tbl>
      <w:tblPr>
        <w:tblW w:w="5962" w:type="dxa"/>
        <w:jc w:val="left"/>
        <w:tblInd w:w="0" w:type="dxa"/>
        <w:tblLayout w:type="fixed"/>
        <w:tblCellMar>
          <w:top w:w="0" w:type="dxa"/>
          <w:left w:w="0" w:type="dxa"/>
          <w:bottom w:w="0" w:type="dxa"/>
          <w:right w:w="0" w:type="dxa"/>
        </w:tblCellMar>
      </w:tblPr>
      <w:tblGrid>
        <w:gridCol w:w="3095"/>
        <w:gridCol w:w="60"/>
        <w:gridCol w:w="120"/>
        <w:gridCol w:w="1126"/>
        <w:gridCol w:w="120"/>
        <w:gridCol w:w="120"/>
        <w:gridCol w:w="120"/>
        <w:gridCol w:w="1126"/>
        <w:gridCol w:w="75"/>
      </w:tblGrid>
      <w:tr>
        <w:trPr/>
        <w:tc>
          <w:tcPr>
            <w:tcW w:w="309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bookmarkStart w:id="493" w:name="xdx_49A_20260101__20260630_zFNPSJaLnZQ7"/>
            <w:bookmarkEnd w:id="493"/>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bookmarkStart w:id="494" w:name="xdx_49B_20250101__20250630_z9plpdGrcDEh"/>
            <w:bookmarkEnd w:id="494"/>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95" w:name="xdx_406_eus-gaap--AntidilutiveSecurities"/>
            <w:bookmarkEnd w:id="495"/>
          </w:p>
        </w:tc>
      </w:tr>
      <w:tr>
        <w:trPr/>
        <w:tc>
          <w:tcPr>
            <w:tcW w:w="3095" w:type="dxa"/>
            <w:tcBorders/>
            <w:shd w:fill="CCEEFF" w:val="clear"/>
            <w:vAlign w:val="center"/>
          </w:tcPr>
          <w:p>
            <w:pPr>
              <w:pStyle w:val="TableContents"/>
              <w:bidi w:val="0"/>
              <w:spacing w:before="0" w:after="283"/>
              <w:jc w:val="left"/>
              <w:rPr/>
            </w:pPr>
            <w:r>
              <w:rPr/>
              <w:t>Outstanding stock options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369</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530</w:t>
            </w:r>
          </w:p>
        </w:tc>
        <w:tc>
          <w:tcPr>
            <w:tcW w:w="75" w:type="dxa"/>
            <w:tcBorders/>
            <w:shd w:fill="CCEEFF" w:val="clear"/>
            <w:vAlign w:val="center"/>
          </w:tcPr>
          <w:p>
            <w:pPr>
              <w:pStyle w:val="TableContents"/>
              <w:bidi w:val="0"/>
              <w:spacing w:before="0" w:after="283"/>
              <w:jc w:val="left"/>
              <w:rPr/>
            </w:pPr>
            <w:r>
              <w:rPr/>
              <w:t> </w:t>
            </w:r>
            <w:bookmarkStart w:id="496" w:name="xdx_406_eus-gaap--AntidilutiveSecurities"/>
            <w:bookmarkEnd w:id="496"/>
          </w:p>
        </w:tc>
      </w:tr>
      <w:tr>
        <w:trPr/>
        <w:tc>
          <w:tcPr>
            <w:tcW w:w="3095" w:type="dxa"/>
            <w:tcBorders/>
            <w:shd w:fill="FFFFFF" w:val="clear"/>
            <w:vAlign w:val="center"/>
          </w:tcPr>
          <w:p>
            <w:pPr>
              <w:pStyle w:val="TableContents"/>
              <w:bidi w:val="0"/>
              <w:spacing w:before="0" w:after="283"/>
              <w:jc w:val="left"/>
              <w:rPr/>
            </w:pPr>
            <w:r>
              <w:rPr/>
              <w:t>Restricted stock and unit awards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700</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453</w:t>
            </w:r>
          </w:p>
        </w:tc>
        <w:tc>
          <w:tcPr>
            <w:tcW w:w="75" w:type="dxa"/>
            <w:tcBorders/>
            <w:shd w:fill="FFFFFF" w:val="clear"/>
            <w:vAlign w:val="center"/>
          </w:tcPr>
          <w:p>
            <w:pPr>
              <w:pStyle w:val="TableContents"/>
              <w:bidi w:val="0"/>
              <w:spacing w:before="0" w:after="283"/>
              <w:jc w:val="left"/>
              <w:rPr/>
            </w:pPr>
            <w:r>
              <w:rPr/>
              <w:t> </w:t>
            </w:r>
            <w:bookmarkStart w:id="497" w:name="xdx_403_eus-gaap--AntidilutiveSecurities"/>
            <w:bookmarkEnd w:id="497"/>
          </w:p>
        </w:tc>
      </w:tr>
      <w:tr>
        <w:trPr/>
        <w:tc>
          <w:tcPr>
            <w:tcW w:w="3095" w:type="dxa"/>
            <w:tcBorders/>
            <w:shd w:fill="CCEEFF" w:val="clear"/>
            <w:vAlign w:val="center"/>
          </w:tcPr>
          <w:p>
            <w:pPr>
              <w:pStyle w:val="TableContents"/>
              <w:bidi w:val="0"/>
              <w:spacing w:before="0" w:after="283"/>
              <w:jc w:val="left"/>
              <w:rPr/>
            </w:pPr>
            <w:r>
              <w:rPr/>
              <w:t>Debt conversion shares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295</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98" w:name="xdx_405_eus-gaap--AntidilutiveSecurities"/>
            <w:bookmarkEnd w:id="498"/>
          </w:p>
        </w:tc>
      </w:tr>
      <w:tr>
        <w:trPr/>
        <w:tc>
          <w:tcPr>
            <w:tcW w:w="3095" w:type="dxa"/>
            <w:tcBorders/>
            <w:shd w:fill="FFFFFF" w:val="clear"/>
            <w:vAlign w:val="center"/>
          </w:tcPr>
          <w:p>
            <w:pPr>
              <w:pStyle w:val="TableContents"/>
              <w:bidi w:val="0"/>
              <w:spacing w:before="0" w:after="283"/>
              <w:jc w:val="left"/>
              <w:rPr/>
            </w:pPr>
            <w:r>
              <w:rPr/>
              <w:t>Stock purchase warrants</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1,440</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1,497</w:t>
            </w:r>
          </w:p>
        </w:tc>
        <w:tc>
          <w:tcPr>
            <w:tcW w:w="75" w:type="dxa"/>
            <w:tcBorders/>
            <w:shd w:fill="FFFFFF" w:val="clear"/>
            <w:vAlign w:val="center"/>
          </w:tcPr>
          <w:p>
            <w:pPr>
              <w:pStyle w:val="TableContents"/>
              <w:bidi w:val="0"/>
              <w:spacing w:before="0" w:after="283"/>
              <w:jc w:val="left"/>
              <w:rPr/>
            </w:pPr>
            <w:r>
              <w:rPr/>
              <w:t> </w:t>
            </w:r>
            <w:bookmarkStart w:id="499" w:name="xdx_40D_eus-gaap--AntidilutiveSecurities"/>
            <w:bookmarkEnd w:id="499"/>
          </w:p>
        </w:tc>
      </w:tr>
      <w:tr>
        <w:trPr/>
        <w:tc>
          <w:tcPr>
            <w:tcW w:w="309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Total common stock equivalents</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pPr>
            <w:r>
              <w:rPr/>
              <w:t>2,804</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pPr>
            <w:r>
              <w:rPr/>
              <w:t>2,480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0" w:name="xdx_8AE_z6Zj7vNiGwe6"/>
      <w:bookmarkEnd w:id="50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1" w:name="xdx_803_eus-gaap--IncomeTaxDisclosureTex"/>
      <w:bookmarkEnd w:id="501"/>
      <w:r>
        <w:rPr>
          <w:rFonts w:ascii="Times New Roman;Times;Serif" w:hAnsi="Times New Roman;Times;Serif"/>
          <w:b/>
          <w:i w:val="false"/>
          <w:caps w:val="false"/>
          <w:smallCaps w:val="false"/>
          <w:sz w:val="20"/>
        </w:rPr>
        <w:t xml:space="preserve">Note 12. </w:t>
      </w:r>
      <w:bookmarkStart w:id="502" w:name="xdx_829_zYI75G4wyiG5"/>
      <w:bookmarkEnd w:id="502"/>
      <w:r>
        <w:rPr>
          <w:rFonts w:ascii="Times New Roman;Times;Serif" w:hAnsi="Times New Roman;Times;Serif"/>
          <w:b/>
          <w:i w:val="false"/>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eligible, from time to time, to receive cash from the sale of its net operating losses under New Jersey’s Department of the Treasury - Division of Taxation NOL Transfer Program. During the six months ended June 30, 2026 and 2025, the Company sold New Jersey NOL carry forwards, resulting in the receipt of net cash payments of $</w:t>
      </w:r>
      <w:bookmarkStart w:id="503" w:name="xdx_905_ecustom--ProceedsFromSaleOfState"/>
      <w:bookmarkEnd w:id="503"/>
      <w:r>
        <w:rPr>
          <w:rFonts w:ascii="Times New Roman;Times;Serif" w:hAnsi="Times New Roman;Times;Serif"/>
          <w:b w:val="false"/>
          <w:i w:val="false"/>
          <w:caps w:val="false"/>
          <w:smallCaps w:val="false"/>
          <w:sz w:val="20"/>
        </w:rPr>
        <w:t>321,000 and $</w:t>
      </w:r>
      <w:bookmarkStart w:id="504" w:name="xdx_907_ecustom--ProceedsFromSaleOfState"/>
      <w:bookmarkEnd w:id="504"/>
      <w:r>
        <w:rPr>
          <w:rFonts w:ascii="Times New Roman;Times;Serif" w:hAnsi="Times New Roman;Times;Serif"/>
          <w:b w:val="false"/>
          <w:i w:val="false"/>
          <w:caps w:val="false"/>
          <w:smallCaps w:val="false"/>
          <w:sz w:val="20"/>
        </w:rPr>
        <w:t>48,000, respectively. There can be no assurance as to the continuation or magnitude of this program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5" w:name="xdx_80E_eus-gaap--DisclosureOfCompensati"/>
      <w:bookmarkEnd w:id="505"/>
      <w:r>
        <w:rPr>
          <w:rFonts w:ascii="Times New Roman;Times;Serif" w:hAnsi="Times New Roman;Times;Serif"/>
          <w:b/>
          <w:i w:val="false"/>
          <w:caps w:val="false"/>
          <w:smallCaps w:val="false"/>
          <w:sz w:val="20"/>
        </w:rPr>
        <w:t xml:space="preserve">Note 13. </w:t>
      </w:r>
      <w:bookmarkStart w:id="506" w:name="xdx_822_zMEt75kv1rkl"/>
      <w:bookmarkEnd w:id="506"/>
      <w:r>
        <w:rPr>
          <w:rFonts w:ascii="Times New Roman;Times;Serif" w:hAnsi="Times New Roman;Times;Serif"/>
          <w:b/>
          <w:i w:val="false"/>
          <w:caps w:val="false"/>
          <w:smallCaps w:val="false"/>
          <w:sz w:val="20"/>
        </w:rPr>
        <w:t xml:space="preserve">Stock 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grants stock based compensation to certain employees and board of directors under the Company’s 2018 Omnibus Equity Incentive Plan (“Plan”). As of June 30, 2026, approximately </w:t>
      </w:r>
      <w:bookmarkStart w:id="507" w:name="xdx_90E_eus-gaap--CommonStockCapitalShar"/>
      <w:bookmarkEnd w:id="507"/>
      <w:r>
        <w:rPr>
          <w:rFonts w:ascii="Times New Roman;Times;Serif" w:hAnsi="Times New Roman;Times;Serif"/>
          <w:b w:val="false"/>
          <w:i w:val="false"/>
          <w:caps w:val="false"/>
          <w:smallCaps w:val="false"/>
          <w:sz w:val="20"/>
        </w:rPr>
        <w:t xml:space="preserve">412,000 shares of common stock were reserved for issuance as awards under the Plan. The Company’s policy is to issue new shares of its common stock upon the exercise of stock options, new grants of restricted stock awards, and settlement of restricted stock units (“RSUs”). Stock options issued under the plan have a contractual life of </w:t>
      </w:r>
      <w:bookmarkStart w:id="508" w:name="xdx_903_eus-gaap--SharebasedCompensation"/>
      <w:bookmarkEnd w:id="508"/>
      <w:r>
        <w:rPr>
          <w:rFonts w:ascii="Times New Roman;Times;Serif" w:hAnsi="Times New Roman;Times;Serif"/>
          <w:b w:val="false"/>
          <w:i w:val="false"/>
          <w:caps w:val="false"/>
          <w:smallCaps w:val="false"/>
          <w:sz w:val="20"/>
        </w:rPr>
        <w:t>10 years and are generally forfeited upon separation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stock compensation expense recognized by the Company for the three and six months ended June 30, 2026 and 2025. Total unrecognized compensation cost related to equity awards as of June 30, 2026 was $</w:t>
      </w:r>
      <w:bookmarkStart w:id="509" w:name="xdx_906_eus-gaap--EmployeeServiceShareBa"/>
      <w:bookmarkEnd w:id="509"/>
      <w:r>
        <w:rPr>
          <w:rFonts w:ascii="Times New Roman;Times;Serif" w:hAnsi="Times New Roman;Times;Serif"/>
          <w:b w:val="false"/>
          <w:i w:val="false"/>
          <w:caps w:val="false"/>
          <w:smallCaps w:val="false"/>
          <w:sz w:val="20"/>
        </w:rPr>
        <w:t xml:space="preserve">2.8 million and is expected to be recognized over the next </w:t>
      </w:r>
      <w:bookmarkStart w:id="510" w:name="xdx_907_eus-gaap--EmployeeServiceShareBa"/>
      <w:bookmarkEnd w:id="510"/>
      <w:r>
        <w:rPr>
          <w:rFonts w:ascii="Times New Roman;Times;Serif" w:hAnsi="Times New Roman;Times;Serif"/>
          <w:b w:val="false"/>
          <w:i w:val="false"/>
          <w:caps w:val="false"/>
          <w:smallCaps w:val="false"/>
          <w:sz w:val="20"/>
        </w:rPr>
        <w:t>1.8 years.</w:t>
      </w:r>
    </w:p>
    <w:p>
      <w:pPr>
        <w:pStyle w:val="TextBody"/>
        <w:bidi w:val="0"/>
        <w:spacing w:before="0" w:after="0"/>
        <w:ind w:left="0" w:right="0" w:hanging="0"/>
        <w:jc w:val="both"/>
        <w:rPr>
          <w:caps w:val="false"/>
          <w:smallCaps w:val="false"/>
        </w:rPr>
      </w:pPr>
      <w:bookmarkStart w:id="511" w:name="xdx_893_eus-gaap--ScheduleOfEmployeeServ"/>
      <w:bookmarkEnd w:id="511"/>
      <w:r>
        <w:rPr>
          <w:caps w:val="false"/>
          <w:smallCaps w:val="false"/>
        </w:rPr>
        <w:t> </w:t>
      </w:r>
      <w:bookmarkStart w:id="512" w:name="xdx_8BF_zMXA7EtEH1ye"/>
      <w:bookmarkEnd w:id="512"/>
      <w:r>
        <w:rPr>
          <w:rFonts w:ascii="Times New Roman;Times;Serif" w:hAnsi="Times New Roman;Times;Serif"/>
          <w:b w:val="false"/>
          <w:i w:val="false"/>
          <w:caps w:val="false"/>
          <w:smallCaps w:val="false"/>
          <w:sz w:val="20"/>
        </w:rPr>
        <w:t>Schedule of Stock Compensation Expenses </w:t>
      </w:r>
    </w:p>
    <w:tbl>
      <w:tblPr>
        <w:tblW w:w="7042" w:type="dxa"/>
        <w:jc w:val="left"/>
        <w:tblInd w:w="0" w:type="dxa"/>
        <w:tblLayout w:type="fixed"/>
        <w:tblCellMar>
          <w:top w:w="0" w:type="dxa"/>
          <w:left w:w="0" w:type="dxa"/>
          <w:bottom w:w="0" w:type="dxa"/>
          <w:right w:w="0" w:type="dxa"/>
        </w:tblCellMar>
      </w:tblPr>
      <w:tblGrid>
        <w:gridCol w:w="3875"/>
        <w:gridCol w:w="60"/>
        <w:gridCol w:w="366"/>
        <w:gridCol w:w="994"/>
        <w:gridCol w:w="156"/>
        <w:gridCol w:w="156"/>
        <w:gridCol w:w="366"/>
        <w:gridCol w:w="994"/>
        <w:gridCol w:w="75"/>
      </w:tblGrid>
      <w:tr>
        <w:trPr/>
        <w:tc>
          <w:tcPr>
            <w:tcW w:w="387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bookmarkStart w:id="513" w:name="xdx_49A_20260401__20260630_zUqMX5bv5Lcd"/>
            <w:bookmarkEnd w:id="513"/>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bookmarkStart w:id="514" w:name="xdx_492_20250401__20250630_zVPiOiJpE1od"/>
            <w:bookmarkEnd w:id="514"/>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15" w:name="xdx_409_eus-gaap--ShareBasedCompensation"/>
            <w:bookmarkEnd w:id="515"/>
          </w:p>
        </w:tc>
      </w:tr>
      <w:tr>
        <w:trPr/>
        <w:tc>
          <w:tcPr>
            <w:tcW w:w="3875"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527</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482</w:t>
            </w:r>
          </w:p>
        </w:tc>
        <w:tc>
          <w:tcPr>
            <w:tcW w:w="75" w:type="dxa"/>
            <w:tcBorders/>
            <w:shd w:fill="CCEEFF" w:val="clear"/>
            <w:vAlign w:val="center"/>
          </w:tcPr>
          <w:p>
            <w:pPr>
              <w:pStyle w:val="TableContents"/>
              <w:bidi w:val="0"/>
              <w:spacing w:before="0" w:after="283"/>
              <w:jc w:val="left"/>
              <w:rPr/>
            </w:pPr>
            <w:r>
              <w:rPr/>
              <w:t> </w:t>
            </w:r>
            <w:bookmarkStart w:id="516" w:name="xdx_401_eus-gaap--ShareBasedCompensation"/>
            <w:bookmarkEnd w:id="516"/>
          </w:p>
        </w:tc>
      </w:tr>
      <w:tr>
        <w:trPr/>
        <w:tc>
          <w:tcPr>
            <w:tcW w:w="387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176</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jc w:val="left"/>
              <w:rPr/>
            </w:pPr>
            <w:r>
              <w:rPr/>
              <w:t> </w:t>
            </w:r>
            <w:bookmarkStart w:id="517" w:name="xdx_400_eus-gaap--ShareBasedCompensation"/>
            <w:bookmarkEnd w:id="517"/>
          </w:p>
        </w:tc>
      </w:tr>
      <w:tr>
        <w:trPr/>
        <w:tc>
          <w:tcPr>
            <w:tcW w:w="387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3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bookmarkStart w:id="518" w:name="xdx_403_eus-gaap--ShareBasedCompensation"/>
            <w:bookmarkEnd w:id="518"/>
          </w:p>
        </w:tc>
      </w:tr>
      <w:tr>
        <w:trPr/>
        <w:tc>
          <w:tcPr>
            <w:tcW w:w="3875" w:type="dxa"/>
            <w:tcBorders/>
            <w:shd w:fill="FFFFFF" w:val="clear"/>
            <w:vAlign w:val="center"/>
          </w:tcPr>
          <w:p>
            <w:pPr>
              <w:pStyle w:val="TableContents"/>
              <w:bidi w:val="0"/>
              <w:spacing w:before="0" w:after="283"/>
              <w:jc w:val="left"/>
              <w:rPr/>
            </w:pPr>
            <w:r>
              <w:rPr/>
              <w:t>Total stock based compensation expense</w:t>
            </w:r>
          </w:p>
        </w:tc>
        <w:tc>
          <w:tcPr>
            <w:tcW w:w="60" w:type="dxa"/>
            <w:tcBorders/>
            <w:shd w:fill="FFFFFF" w:val="cle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jc w:val="right"/>
              <w:rPr/>
            </w:pPr>
            <w:r>
              <w:rPr/>
              <w:t>755</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jc w:val="right"/>
              <w:rPr/>
            </w:pPr>
            <w:r>
              <w:rPr/>
              <w:t>505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772" w:type="dxa"/>
        <w:jc w:val="left"/>
        <w:tblInd w:w="0" w:type="dxa"/>
        <w:tblLayout w:type="fixed"/>
        <w:tblCellMar>
          <w:top w:w="0" w:type="dxa"/>
          <w:left w:w="0" w:type="dxa"/>
          <w:bottom w:w="0" w:type="dxa"/>
          <w:right w:w="0" w:type="dxa"/>
        </w:tblCellMar>
      </w:tblPr>
      <w:tblGrid>
        <w:gridCol w:w="3875"/>
        <w:gridCol w:w="60"/>
        <w:gridCol w:w="254"/>
        <w:gridCol w:w="1018"/>
        <w:gridCol w:w="109"/>
        <w:gridCol w:w="109"/>
        <w:gridCol w:w="254"/>
        <w:gridCol w:w="1018"/>
        <w:gridCol w:w="75"/>
      </w:tblGrid>
      <w:tr>
        <w:trPr/>
        <w:tc>
          <w:tcPr>
            <w:tcW w:w="387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bookmarkStart w:id="519" w:name="xdx_492_20260101__20260630_zCuBq179Kexb"/>
            <w:bookmarkEnd w:id="519"/>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bookmarkStart w:id="520" w:name="xdx_49D_20250101__20250630_z9cPzObi7fw3"/>
            <w:bookmarkEnd w:id="520"/>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21" w:name="xdx_407_eus-gaap--ShareBasedCompensation"/>
            <w:bookmarkEnd w:id="521"/>
          </w:p>
        </w:tc>
      </w:tr>
      <w:tr>
        <w:trPr/>
        <w:tc>
          <w:tcPr>
            <w:tcW w:w="3875"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1,512</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982</w:t>
            </w:r>
          </w:p>
        </w:tc>
        <w:tc>
          <w:tcPr>
            <w:tcW w:w="75" w:type="dxa"/>
            <w:tcBorders/>
            <w:shd w:fill="CCEEFF" w:val="clear"/>
            <w:vAlign w:val="center"/>
          </w:tcPr>
          <w:p>
            <w:pPr>
              <w:pStyle w:val="TableContents"/>
              <w:bidi w:val="0"/>
              <w:spacing w:before="0" w:after="283"/>
              <w:jc w:val="left"/>
              <w:rPr/>
            </w:pPr>
            <w:r>
              <w:rPr/>
              <w:t> </w:t>
            </w:r>
            <w:bookmarkStart w:id="522" w:name="xdx_405_eus-gaap--ShareBasedCompensation"/>
            <w:bookmarkEnd w:id="522"/>
          </w:p>
        </w:tc>
      </w:tr>
      <w:tr>
        <w:trPr/>
        <w:tc>
          <w:tcPr>
            <w:tcW w:w="387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184</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bookmarkStart w:id="523" w:name="xdx_40B_eus-gaap--ShareBasedCompensation"/>
            <w:bookmarkEnd w:id="523"/>
          </w:p>
        </w:tc>
      </w:tr>
      <w:tr>
        <w:trPr/>
        <w:tc>
          <w:tcPr>
            <w:tcW w:w="387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95</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bookmarkStart w:id="524" w:name="xdx_403_eus-gaap--ShareBasedCompensation"/>
            <w:bookmarkEnd w:id="524"/>
          </w:p>
        </w:tc>
      </w:tr>
      <w:tr>
        <w:trPr/>
        <w:tc>
          <w:tcPr>
            <w:tcW w:w="3875" w:type="dxa"/>
            <w:tcBorders/>
            <w:shd w:fill="FFFFFF" w:val="clear"/>
            <w:vAlign w:val="center"/>
          </w:tcPr>
          <w:p>
            <w:pPr>
              <w:pStyle w:val="TableContents"/>
              <w:bidi w:val="0"/>
              <w:spacing w:before="0" w:after="283"/>
              <w:jc w:val="left"/>
              <w:rPr/>
            </w:pPr>
            <w:r>
              <w:rPr/>
              <w:t>Total stock based compensation expense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pPr>
            <w:r>
              <w:rPr/>
              <w:t>1,791</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jc w:val="right"/>
              <w:rPr/>
            </w:pPr>
            <w:r>
              <w:rPr/>
              <w:t>1,045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5" w:name="xdx_8A5_zr3vRWqnnjEe"/>
      <w:bookmarkEnd w:id="52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26" w:name="xdx_89E_eus-gaap--ScheduleOfShareBasedCo"/>
      <w:bookmarkEnd w:id="526"/>
      <w:r>
        <w:rPr>
          <w:rFonts w:ascii="Times New Roman;Times;Serif" w:hAnsi="Times New Roman;Times;Serif"/>
          <w:b w:val="false"/>
          <w:i w:val="false"/>
          <w:caps w:val="false"/>
          <w:smallCaps w:val="false"/>
          <w:sz w:val="20"/>
        </w:rPr>
        <w:t>The following table presents a summary of stock option award activity during the three and six months ended June 30, 2026:</w:t>
      </w:r>
    </w:p>
    <w:p>
      <w:pPr>
        <w:pStyle w:val="TextBody"/>
        <w:bidi w:val="0"/>
        <w:spacing w:before="0" w:after="0"/>
        <w:ind w:left="0" w:right="0" w:hanging="0"/>
        <w:jc w:val="left"/>
        <w:rPr>
          <w:caps w:val="false"/>
          <w:smallCaps w:val="false"/>
        </w:rPr>
      </w:pPr>
      <w:r>
        <w:rPr>
          <w:caps w:val="false"/>
          <w:smallCaps w:val="false"/>
        </w:rPr>
        <w:t> </w:t>
      </w:r>
      <w:bookmarkStart w:id="527" w:name="xdx_8BD_zalevOmZ9Yx6"/>
      <w:bookmarkEnd w:id="527"/>
      <w:r>
        <w:rPr>
          <w:rFonts w:ascii="Times New Roman;Times;Serif" w:hAnsi="Times New Roman;Times;Serif"/>
          <w:b w:val="false"/>
          <w:i w:val="false"/>
          <w:caps w:val="false"/>
          <w:smallCaps w:val="false"/>
          <w:sz w:val="20"/>
        </w:rPr>
        <w:t>Schedule of Outstanding Stock Options </w:t>
      </w:r>
    </w:p>
    <w:tbl>
      <w:tblPr>
        <w:tblW w:w="10205" w:type="dxa"/>
        <w:jc w:val="left"/>
        <w:tblInd w:w="0" w:type="dxa"/>
        <w:tblLayout w:type="fixed"/>
        <w:tblCellMar>
          <w:top w:w="0" w:type="dxa"/>
          <w:left w:w="0" w:type="dxa"/>
          <w:bottom w:w="0" w:type="dxa"/>
          <w:right w:w="0" w:type="dxa"/>
        </w:tblCellMar>
      </w:tblPr>
      <w:tblGrid>
        <w:gridCol w:w="1704"/>
        <w:gridCol w:w="60"/>
        <w:gridCol w:w="203"/>
        <w:gridCol w:w="1552"/>
        <w:gridCol w:w="95"/>
        <w:gridCol w:w="60"/>
        <w:gridCol w:w="338"/>
        <w:gridCol w:w="1353"/>
        <w:gridCol w:w="60"/>
        <w:gridCol w:w="60"/>
        <w:gridCol w:w="404"/>
        <w:gridCol w:w="2161"/>
        <w:gridCol w:w="60"/>
        <w:gridCol w:w="60"/>
        <w:gridCol w:w="526"/>
        <w:gridCol w:w="1430"/>
        <w:gridCol w:w="79"/>
      </w:tblGrid>
      <w:tr>
        <w:trPr/>
        <w:tc>
          <w:tcPr>
            <w:tcW w:w="1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Options (in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 (in thousands)</w:t>
            </w:r>
          </w:p>
        </w:tc>
        <w:tc>
          <w:tcPr>
            <w:tcW w:w="79"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Outstanding, January 1, 2026</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bookmarkStart w:id="528" w:name="xdx_982_eus-gaap--ShareBasedCompensation"/>
            <w:bookmarkEnd w:id="528"/>
          </w:p>
        </w:tc>
        <w:tc>
          <w:tcPr>
            <w:tcW w:w="1552" w:type="dxa"/>
            <w:tcBorders/>
            <w:shd w:fill="CCEEFF" w:val="cle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bookmarkStart w:id="529" w:name="xdx_98A_eus-gaap--ShareBasedCompensation"/>
            <w:bookmarkEnd w:id="529"/>
          </w:p>
        </w:tc>
        <w:tc>
          <w:tcPr>
            <w:tcW w:w="1353" w:type="dxa"/>
            <w:tcBorders/>
            <w:shd w:fill="CCEEFF" w:val="clear"/>
            <w:vAlign w:val="center"/>
          </w:tcPr>
          <w:p>
            <w:pPr>
              <w:pStyle w:val="TableContents"/>
              <w:bidi w:val="0"/>
              <w:spacing w:before="0" w:after="283"/>
              <w:jc w:val="right"/>
              <w:rPr/>
            </w:pPr>
            <w:r>
              <w:rPr/>
              <w:t>32.56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pPr>
            <w:bookmarkStart w:id="530" w:name="xdx_90E_eus-gaap--SharebasedCompensation"/>
            <w:bookmarkEnd w:id="530"/>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bookmarkStart w:id="531" w:name="xdx_984_eus-gaap--ShareBasedCompensation"/>
            <w:bookmarkEnd w:id="531"/>
          </w:p>
        </w:tc>
        <w:tc>
          <w:tcPr>
            <w:tcW w:w="1430" w:type="dxa"/>
            <w:tcBorders/>
            <w:shd w:fill="CCEEFF" w:val="clear"/>
            <w:vAlign w:val="center"/>
          </w:tcPr>
          <w:p>
            <w:pPr>
              <w:pStyle w:val="TableContents"/>
              <w:bidi w:val="0"/>
              <w:spacing w:before="0" w:after="283"/>
              <w:jc w:val="right"/>
              <w:rPr/>
            </w:pPr>
            <w:r>
              <w:rPr/>
              <w:t>1</w:t>
            </w:r>
          </w:p>
        </w:tc>
        <w:tc>
          <w:tcPr>
            <w:tcW w:w="79" w:type="dxa"/>
            <w:tcBorders/>
            <w:shd w:fill="CCEEFF" w:val="clear"/>
            <w:vAlign w:val="center"/>
          </w:tcPr>
          <w:p>
            <w:pPr>
              <w:pStyle w:val="TableContents"/>
              <w:bidi w:val="0"/>
              <w:spacing w:before="0" w:after="283"/>
              <w:jc w:val="left"/>
              <w:rPr/>
            </w:pPr>
            <w:r>
              <w:rPr/>
              <w:t> </w:t>
            </w:r>
          </w:p>
        </w:tc>
      </w:tr>
      <w:tr>
        <w:trPr/>
        <w:tc>
          <w:tcPr>
            <w:tcW w:w="1704"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bookmarkStart w:id="532" w:name="xdx_980_eus-gaap--ShareBasedCompensation"/>
            <w:bookmarkEnd w:id="532"/>
          </w:p>
        </w:tc>
        <w:tc>
          <w:tcPr>
            <w:tcW w:w="15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bookmarkStart w:id="533" w:name="xdx_980_eus-gaap--StockIssuedDuringPerio"/>
            <w:bookmarkEnd w:id="533"/>
          </w:p>
        </w:tc>
        <w:tc>
          <w:tcPr>
            <w:tcW w:w="1552" w:type="dxa"/>
            <w:tcBorders/>
            <w:shd w:fill="CCEEFF" w:val="cle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bookmarkStart w:id="534" w:name="xdx_981_eus-gaap--ShareBasedCompensation"/>
            <w:bookmarkEnd w:id="534"/>
          </w:p>
        </w:tc>
        <w:tc>
          <w:tcPr>
            <w:tcW w:w="1353" w:type="dxa"/>
            <w:tcBorders/>
            <w:shd w:fill="CCEEFF" w:val="clear"/>
            <w:vAlign w:val="center"/>
          </w:tcPr>
          <w:p>
            <w:pPr>
              <w:pStyle w:val="TableContents"/>
              <w:bidi w:val="0"/>
              <w:spacing w:before="0" w:after="283"/>
              <w:jc w:val="right"/>
              <w:rPr/>
            </w:pPr>
            <w:r>
              <w:rPr/>
              <w:t>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1704"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bookmarkStart w:id="535" w:name="xdx_983_eus-gaap--ShareBasedCompensation"/>
            <w:bookmarkEnd w:id="535"/>
          </w:p>
        </w:tc>
        <w:tc>
          <w:tcPr>
            <w:tcW w:w="155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bookmarkStart w:id="536" w:name="xdx_98D_eus-gaap--ShareBasedCompensation"/>
            <w:bookmarkEnd w:id="536"/>
          </w:p>
        </w:tc>
        <w:tc>
          <w:tcPr>
            <w:tcW w:w="1353" w:type="dxa"/>
            <w:tcBorders/>
            <w:shd w:fill="FFFFFF" w:val="clear"/>
            <w:vAlign w:val="center"/>
          </w:tcPr>
          <w:p>
            <w:pPr>
              <w:pStyle w:val="TableContents"/>
              <w:bidi w:val="0"/>
              <w:spacing w:before="0" w:after="283"/>
              <w:jc w:val="right"/>
              <w:rPr/>
            </w:pPr>
            <w:r>
              <w:rPr/>
              <w:t>40.22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7" w:name="xdx_984_eus-gaap--ShareBasedCompensation"/>
            <w:bookmarkEnd w:id="537"/>
          </w:p>
        </w:tc>
        <w:tc>
          <w:tcPr>
            <w:tcW w:w="15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6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1704" w:type="dxa"/>
            <w:tcBorders/>
            <w:shd w:fill="FFFFFF" w:val="clear"/>
            <w:vAlign w:val="center"/>
          </w:tcPr>
          <w:p>
            <w:pPr>
              <w:pStyle w:val="TableContents"/>
              <w:bidi w:val="0"/>
              <w:spacing w:before="0" w:after="283"/>
              <w:jc w:val="left"/>
              <w:rPr/>
            </w:pPr>
            <w:r>
              <w:rPr/>
              <w:t>Outstanding, June 30, 2026</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38" w:name="xdx_98F_eus-gaap--ShareBasedCompensation"/>
            <w:bookmarkEnd w:id="538"/>
          </w:p>
        </w:tc>
        <w:tc>
          <w:tcPr>
            <w:tcW w:w="1552" w:type="dxa"/>
            <w:tcBorders>
              <w:bottom w:val="double" w:sz="6" w:space="0" w:color="000000"/>
            </w:tcBorders>
            <w:shd w:fill="FFFFFF" w:val="clear"/>
            <w:tcMar>
              <w:bottom w:w="28" w:type="dxa"/>
            </w:tcMar>
            <w:vAlign w:val="center"/>
          </w:tcPr>
          <w:p>
            <w:pPr>
              <w:pStyle w:val="TableContents"/>
              <w:bidi w:val="0"/>
              <w:spacing w:before="0" w:after="283"/>
              <w:jc w:val="right"/>
              <w:rPr/>
            </w:pPr>
            <w:r>
              <w:rPr/>
              <w:t>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9" w:name="xdx_98E_eus-gaap--ShareBasedCompensation"/>
            <w:bookmarkEnd w:id="539"/>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43.28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16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40" w:name="xdx_90E_eus-gaap--SharebasedCompensation"/>
            <w:bookmarkEnd w:id="540"/>
            <w:r>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1" w:name="xdx_980_eus-gaap--ShareBasedCompensation"/>
            <w:bookmarkEnd w:id="541"/>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603</w:t>
            </w:r>
          </w:p>
        </w:tc>
        <w:tc>
          <w:tcPr>
            <w:tcW w:w="79" w:type="dxa"/>
            <w:tcBorders/>
            <w:shd w:fill="FFFFFF" w:val="clear"/>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Exercisable, June 30, 2026</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42" w:name="xdx_981_eus-gaap--ShareBasedCompensation"/>
            <w:bookmarkEnd w:id="542"/>
          </w:p>
        </w:tc>
        <w:tc>
          <w:tcPr>
            <w:tcW w:w="1552" w:type="dxa"/>
            <w:tcBorders>
              <w:bottom w:val="double" w:sz="6"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3" w:name="xdx_985_eus-gaap--ShareBasedCompensation"/>
            <w:bookmarkEnd w:id="543"/>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48.21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6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44" w:name="xdx_903_eus-gaap--SharebasedCompensation"/>
            <w:bookmarkEnd w:id="544"/>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5" w:name="xdx_983_eus-gaap--SharebasedCompensation"/>
            <w:bookmarkEnd w:id="545"/>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430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6" w:name="xdx_8A7_z3sBgmEeo4Fa"/>
      <w:bookmarkEnd w:id="5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is calculated as the difference between the fair market value at June 30, 2026 and the exercise price per share of the stock option. The options granted to employees generally vest over a 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7" w:name="xdx_89B_eus-gaap--ScheduleOfShareBasedCo"/>
      <w:bookmarkEnd w:id="547"/>
      <w:r>
        <w:rPr>
          <w:rFonts w:ascii="Times New Roman;Times;Serif" w:hAnsi="Times New Roman;Times;Serif"/>
          <w:b w:val="false"/>
          <w:i w:val="false"/>
          <w:caps w:val="false"/>
          <w:smallCaps w:val="false"/>
          <w:sz w:val="20"/>
        </w:rPr>
        <w:t>The following table provides additional information about stock options that are outstanding and exercisable at June 30, 2026:</w:t>
      </w:r>
    </w:p>
    <w:p>
      <w:pPr>
        <w:pStyle w:val="TextBody"/>
        <w:bidi w:val="0"/>
        <w:spacing w:before="0" w:after="0"/>
        <w:ind w:left="0" w:right="0" w:hanging="0"/>
        <w:jc w:val="left"/>
        <w:rPr>
          <w:caps w:val="false"/>
          <w:smallCaps w:val="false"/>
        </w:rPr>
      </w:pPr>
      <w:r>
        <w:rPr>
          <w:caps w:val="false"/>
          <w:smallCaps w:val="false"/>
        </w:rPr>
        <w:t> </w:t>
      </w:r>
      <w:bookmarkStart w:id="548" w:name="xdx_8B3_ziS9GAeRiBe2"/>
      <w:bookmarkEnd w:id="548"/>
      <w:r>
        <w:rPr>
          <w:rFonts w:ascii="Times New Roman;Times;Serif" w:hAnsi="Times New Roman;Times;Serif"/>
          <w:b w:val="false"/>
          <w:i w:val="false"/>
          <w:caps w:val="false"/>
          <w:smallCaps w:val="false"/>
          <w:sz w:val="20"/>
        </w:rPr>
        <w:t>Schedule of Stock Options Outstanding and Exercisable </w:t>
      </w:r>
    </w:p>
    <w:tbl>
      <w:tblPr>
        <w:tblW w:w="10205" w:type="dxa"/>
        <w:jc w:val="left"/>
        <w:tblInd w:w="0" w:type="dxa"/>
        <w:tblLayout w:type="fixed"/>
        <w:tblCellMar>
          <w:top w:w="0" w:type="dxa"/>
          <w:left w:w="0" w:type="dxa"/>
          <w:bottom w:w="28" w:type="dxa"/>
          <w:right w:w="0" w:type="dxa"/>
        </w:tblCellMar>
      </w:tblPr>
      <w:tblGrid>
        <w:gridCol w:w="1258"/>
        <w:gridCol w:w="60"/>
        <w:gridCol w:w="311"/>
        <w:gridCol w:w="1977"/>
        <w:gridCol w:w="60"/>
        <w:gridCol w:w="60"/>
        <w:gridCol w:w="487"/>
        <w:gridCol w:w="3595"/>
        <w:gridCol w:w="60"/>
        <w:gridCol w:w="60"/>
        <w:gridCol w:w="299"/>
        <w:gridCol w:w="1899"/>
        <w:gridCol w:w="79"/>
      </w:tblGrid>
      <w:tr>
        <w:trPr/>
        <w:tc>
          <w:tcPr>
            <w:tcW w:w="1258" w:type="dxa"/>
            <w:tcBorders>
              <w:bottom w:val="single" w:sz="8" w:space="0" w:color="000000"/>
            </w:tcBorders>
            <w:vAlign w:val="center"/>
          </w:tcPr>
          <w:p>
            <w:pPr>
              <w:pStyle w:val="TableContents"/>
              <w:bidi w:val="0"/>
              <w:spacing w:before="0" w:after="283"/>
              <w:jc w:val="center"/>
              <w:rPr>
                <w:b/>
              </w:rPr>
            </w:pPr>
            <w:r>
              <w:rPr>
                <w:b/>
              </w:rPr>
              <w:t>Exercise Price</w:t>
            </w:r>
          </w:p>
        </w:tc>
        <w:tc>
          <w:tcPr>
            <w:tcW w:w="60" w:type="dxa"/>
            <w:tcBorders/>
            <w:tcMar>
              <w:bottom w:w="0" w:type="dxa"/>
            </w:tcMar>
            <w:vAlign w:val="center"/>
          </w:tcPr>
          <w:p>
            <w:pPr>
              <w:pStyle w:val="TableContents"/>
              <w:bidi w:val="0"/>
              <w:spacing w:before="0" w:after="283"/>
              <w:jc w:val="left"/>
              <w:rPr/>
            </w:pPr>
            <w:r>
              <w:rPr/>
              <w:t> </w:t>
            </w:r>
          </w:p>
        </w:tc>
        <w:tc>
          <w:tcPr>
            <w:tcW w:w="2288" w:type="dxa"/>
            <w:gridSpan w:val="2"/>
            <w:tcBorders>
              <w:bottom w:val="single" w:sz="8" w:space="0" w:color="000000"/>
            </w:tcBorders>
            <w:vAlign w:val="center"/>
          </w:tcPr>
          <w:p>
            <w:pPr>
              <w:pStyle w:val="TableContents"/>
              <w:bidi w:val="0"/>
              <w:spacing w:before="0" w:after="283"/>
              <w:jc w:val="center"/>
              <w:rPr>
                <w:b/>
              </w:rPr>
            </w:pPr>
            <w:r>
              <w:rPr>
                <w:b/>
              </w:rPr>
              <w:t>Options Outstanding (in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82" w:type="dxa"/>
            <w:gridSpan w:val="2"/>
            <w:tcBorders>
              <w:bottom w:val="single" w:sz="8" w:space="0" w:color="000000"/>
            </w:tcBorders>
            <w:vAlign w:val="center"/>
          </w:tcPr>
          <w:p>
            <w:pPr>
              <w:pStyle w:val="TableContents"/>
              <w:bidi w:val="0"/>
              <w:spacing w:before="0" w:after="283"/>
              <w:jc w:val="center"/>
              <w:rPr>
                <w:b/>
              </w:rPr>
            </w:pPr>
            <w:r>
              <w:rPr>
                <w:b/>
              </w:rPr>
              <w:t>Options Outstanding Weighted Average Remaining Contractual Life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8" w:type="dxa"/>
            <w:gridSpan w:val="2"/>
            <w:tcBorders>
              <w:bottom w:val="single" w:sz="8" w:space="0" w:color="000000"/>
            </w:tcBorders>
            <w:vAlign w:val="center"/>
          </w:tcPr>
          <w:p>
            <w:pPr>
              <w:pStyle w:val="TableContents"/>
              <w:bidi w:val="0"/>
              <w:spacing w:before="0" w:after="283"/>
              <w:jc w:val="center"/>
              <w:rPr>
                <w:b/>
              </w:rPr>
            </w:pPr>
            <w:r>
              <w:rPr>
                <w:b/>
              </w:rPr>
              <w:t>Options Exercisable (in thousands)</w:t>
            </w:r>
          </w:p>
        </w:tc>
        <w:tc>
          <w:tcPr>
            <w:tcW w:w="79" w:type="dxa"/>
            <w:tcBorders/>
            <w:tcMar>
              <w:bottom w:w="0" w:type="dxa"/>
            </w:tcMar>
            <w:vAlign w:val="center"/>
          </w:tcPr>
          <w:p>
            <w:pPr>
              <w:pStyle w:val="TableContents"/>
              <w:bidi w:val="0"/>
              <w:spacing w:before="0" w:after="283"/>
              <w:jc w:val="left"/>
              <w:rPr/>
            </w:pPr>
            <w:r>
              <w:rPr/>
              <w:t> </w:t>
            </w:r>
          </w:p>
        </w:tc>
      </w:tr>
      <w:tr>
        <w:trPr/>
        <w:tc>
          <w:tcPr>
            <w:tcW w:w="1258" w:type="dxa"/>
            <w:tcBorders/>
            <w:shd w:fill="CCEEFF" w:val="clear"/>
            <w:tcMar>
              <w:bottom w:w="0" w:type="dxa"/>
            </w:tcMar>
            <w:vAlign w:val="center"/>
          </w:tcPr>
          <w:p>
            <w:pPr>
              <w:pStyle w:val="TableContents"/>
              <w:bidi w:val="0"/>
              <w:spacing w:before="0" w:after="283"/>
              <w:jc w:val="center"/>
              <w:rPr/>
            </w:pPr>
            <w:r>
              <w:rPr/>
              <w:t>$</w:t>
            </w:r>
            <w:bookmarkStart w:id="549" w:name="xdx_909_eus-gaap--ShareBasedCompensation"/>
            <w:bookmarkEnd w:id="549"/>
            <w:r>
              <w:rPr/>
              <w:t>4.05 - $</w:t>
            </w:r>
            <w:bookmarkStart w:id="550" w:name="xdx_906_eus-gaap--ShareBasedCompensation"/>
            <w:bookmarkEnd w:id="550"/>
            <w:r>
              <w:rPr/>
              <w:t>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bookmarkStart w:id="551" w:name="xdx_903_eus-gaap--ShareBasedCompensation"/>
            <w:bookmarkEnd w:id="551"/>
            <w:r>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left"/>
              <w:rPr/>
            </w:pPr>
            <w:r>
              <w:rPr/>
              <w:t> </w:t>
            </w:r>
          </w:p>
        </w:tc>
        <w:tc>
          <w:tcPr>
            <w:tcW w:w="3595" w:type="dxa"/>
            <w:tcBorders/>
            <w:shd w:fill="CCEEFF" w:val="clear"/>
            <w:tcMar>
              <w:bottom w:w="0" w:type="dxa"/>
            </w:tcMar>
            <w:vAlign w:val="center"/>
          </w:tcPr>
          <w:p>
            <w:pPr>
              <w:pStyle w:val="TableContents"/>
              <w:bidi w:val="0"/>
              <w:spacing w:before="0" w:after="283"/>
              <w:jc w:val="center"/>
              <w:rPr/>
            </w:pPr>
            <w:bookmarkStart w:id="552" w:name="xdx_908_eus-gaap--SharebasedCompensation"/>
            <w:bookmarkEnd w:id="552"/>
            <w:r>
              <w:rPr/>
              <w:t>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9"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center"/>
              <w:rPr/>
            </w:pPr>
            <w:bookmarkStart w:id="553" w:name="xdx_901_eus-gaap--ShareBasedCompensation"/>
            <w:bookmarkEnd w:id="553"/>
            <w:r>
              <w:rPr/>
              <w:t>89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258" w:type="dxa"/>
            <w:tcBorders/>
            <w:shd w:fill="FFFFFF" w:val="clear"/>
            <w:tcMar>
              <w:bottom w:w="0" w:type="dxa"/>
            </w:tcMar>
            <w:vAlign w:val="center"/>
          </w:tcPr>
          <w:p>
            <w:pPr>
              <w:pStyle w:val="TableContents"/>
              <w:bidi w:val="0"/>
              <w:spacing w:before="0" w:after="283"/>
              <w:jc w:val="center"/>
              <w:rPr/>
            </w:pPr>
            <w:r>
              <w:rPr/>
              <w:t>$</w:t>
            </w:r>
            <w:bookmarkStart w:id="554" w:name="xdx_907_eus-gaap--ShareBasedCompensation"/>
            <w:bookmarkEnd w:id="554"/>
            <w:r>
              <w:rPr/>
              <w:t>4.86 - $</w:t>
            </w:r>
            <w:bookmarkStart w:id="555" w:name="xdx_90F_eus-gaap--ShareBasedCompensation"/>
            <w:bookmarkEnd w:id="555"/>
            <w:r>
              <w:rPr/>
              <w:t>12.98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1977" w:type="dxa"/>
            <w:tcBorders/>
            <w:shd w:fill="FFFFFF" w:val="clear"/>
            <w:tcMar>
              <w:bottom w:w="0" w:type="dxa"/>
            </w:tcMar>
            <w:vAlign w:val="center"/>
          </w:tcPr>
          <w:p>
            <w:pPr>
              <w:pStyle w:val="TableContents"/>
              <w:bidi w:val="0"/>
              <w:spacing w:before="0" w:after="283"/>
              <w:jc w:val="right"/>
              <w:rPr/>
            </w:pPr>
            <w:bookmarkStart w:id="556" w:name="xdx_90D_eus-gaap--ShareBasedCompensation"/>
            <w:bookmarkEnd w:id="556"/>
            <w:r>
              <w:rPr/>
              <w:t>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7" w:type="dxa"/>
            <w:tcBorders/>
            <w:shd w:fill="FFFFFF" w:val="clear"/>
            <w:tcMar>
              <w:bottom w:w="0" w:type="dxa"/>
            </w:tcMar>
            <w:vAlign w:val="center"/>
          </w:tcPr>
          <w:p>
            <w:pPr>
              <w:pStyle w:val="TableContents"/>
              <w:bidi w:val="0"/>
              <w:spacing w:before="0" w:after="283"/>
              <w:jc w:val="left"/>
              <w:rPr/>
            </w:pPr>
            <w:r>
              <w:rPr/>
              <w:t> </w:t>
            </w:r>
          </w:p>
        </w:tc>
        <w:tc>
          <w:tcPr>
            <w:tcW w:w="3595" w:type="dxa"/>
            <w:tcBorders/>
            <w:shd w:fill="FFFFFF" w:val="clear"/>
            <w:tcMar>
              <w:bottom w:w="0" w:type="dxa"/>
            </w:tcMar>
            <w:vAlign w:val="center"/>
          </w:tcPr>
          <w:p>
            <w:pPr>
              <w:pStyle w:val="TableContents"/>
              <w:bidi w:val="0"/>
              <w:spacing w:before="0" w:after="283"/>
              <w:jc w:val="center"/>
              <w:rPr/>
            </w:pPr>
            <w:bookmarkStart w:id="557" w:name="xdx_909_eus-gaap--SharebasedCompensation"/>
            <w:bookmarkEnd w:id="557"/>
            <w:r>
              <w:rPr/>
              <w:t>5.97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9"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center"/>
              <w:rPr/>
            </w:pPr>
            <w:bookmarkStart w:id="558" w:name="xdx_90B_eus-gaap--ShareBasedCompensation"/>
            <w:bookmarkEnd w:id="558"/>
            <w:r>
              <w:rPr/>
              <w:t>84</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258" w:type="dxa"/>
            <w:tcBorders/>
            <w:shd w:fill="CCEEFF" w:val="clear"/>
            <w:tcMar>
              <w:bottom w:w="0" w:type="dxa"/>
            </w:tcMar>
            <w:vAlign w:val="center"/>
          </w:tcPr>
          <w:p>
            <w:pPr>
              <w:pStyle w:val="TableContents"/>
              <w:bidi w:val="0"/>
              <w:spacing w:before="0" w:after="283"/>
              <w:jc w:val="center"/>
              <w:rPr/>
            </w:pPr>
            <w:r>
              <w:rPr/>
              <w:t>$</w:t>
            </w:r>
            <w:bookmarkStart w:id="559" w:name="xdx_901_eus-gaap--ShareBasedCompensation"/>
            <w:bookmarkEnd w:id="559"/>
            <w:r>
              <w:rPr/>
              <w:t>12.99 - $</w:t>
            </w:r>
            <w:bookmarkStart w:id="560" w:name="xdx_907_eus-gaap--ShareBasedCompensation"/>
            <w:bookmarkEnd w:id="560"/>
            <w:r>
              <w:rPr/>
              <w:t>225.00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c>
          <w:tcPr>
            <w:tcW w:w="1977" w:type="dxa"/>
            <w:tcBorders/>
            <w:shd w:fill="CCEEFF" w:val="clear"/>
            <w:tcMar>
              <w:bottom w:w="0" w:type="dxa"/>
            </w:tcMar>
            <w:vAlign w:val="center"/>
          </w:tcPr>
          <w:p>
            <w:pPr>
              <w:pStyle w:val="TableContents"/>
              <w:bidi w:val="0"/>
              <w:spacing w:before="0" w:after="283"/>
              <w:jc w:val="right"/>
              <w:rPr/>
            </w:pPr>
            <w:bookmarkStart w:id="561" w:name="xdx_901_eus-gaap--ShareBasedCompensation"/>
            <w:bookmarkEnd w:id="561"/>
            <w:r>
              <w:rPr/>
              <w:t>154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left"/>
              <w:rPr/>
            </w:pPr>
            <w:r>
              <w:rPr/>
              <w:t> </w:t>
            </w:r>
          </w:p>
        </w:tc>
        <w:tc>
          <w:tcPr>
            <w:tcW w:w="3595" w:type="dxa"/>
            <w:tcBorders/>
            <w:shd w:fill="CCEEFF" w:val="clear"/>
            <w:tcMar>
              <w:bottom w:w="0" w:type="dxa"/>
            </w:tcMar>
            <w:vAlign w:val="center"/>
          </w:tcPr>
          <w:p>
            <w:pPr>
              <w:pStyle w:val="TableContents"/>
              <w:bidi w:val="0"/>
              <w:spacing w:before="0" w:after="283"/>
              <w:jc w:val="center"/>
              <w:rPr/>
            </w:pPr>
            <w:bookmarkStart w:id="562" w:name="xdx_909_eus-gaap--SharebasedCompensation"/>
            <w:bookmarkEnd w:id="562"/>
            <w:r>
              <w:rPr/>
              <w:t>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9"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center"/>
              <w:rPr/>
            </w:pPr>
            <w:bookmarkStart w:id="563" w:name="xdx_902_eus-gaap--ShareBasedCompensation"/>
            <w:bookmarkEnd w:id="563"/>
            <w:r>
              <w:rPr/>
              <w:t>154</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4" w:name="xdx_8A3_zns9wIx19dy5"/>
      <w:bookmarkEnd w:id="5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5" w:name="xdx_89A_eus-gaap--ScheduleOfSharebasedCo"/>
      <w:bookmarkEnd w:id="565"/>
      <w:r>
        <w:rPr>
          <w:rFonts w:ascii="Times New Roman;Times;Serif" w:hAnsi="Times New Roman;Times;Serif"/>
          <w:b w:val="false"/>
          <w:i w:val="false"/>
          <w:caps w:val="false"/>
          <w:smallCaps w:val="false"/>
          <w:sz w:val="20"/>
        </w:rPr>
        <w:t>The following table presents a summary of restricted and deferred stock unit (“Unit” or “Units”) activity during the three and six months ended June 30,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66" w:name="xdx_8B1_zZea3G90HSsc"/>
      <w:bookmarkEnd w:id="566"/>
      <w:r>
        <w:rPr>
          <w:rFonts w:ascii="Times New Roman;Times;Serif" w:hAnsi="Times New Roman;Times;Serif"/>
          <w:b w:val="false"/>
          <w:i w:val="false"/>
          <w:caps w:val="false"/>
          <w:smallCaps w:val="false"/>
          <w:sz w:val="20"/>
        </w:rPr>
        <w:t>Schedule of Restricted and Deferred Stock Unit </w:t>
      </w:r>
    </w:p>
    <w:tbl>
      <w:tblPr>
        <w:tblW w:w="10205" w:type="dxa"/>
        <w:jc w:val="left"/>
        <w:tblInd w:w="0" w:type="dxa"/>
        <w:tblLayout w:type="fixed"/>
        <w:tblCellMar>
          <w:top w:w="0" w:type="dxa"/>
          <w:left w:w="0" w:type="dxa"/>
          <w:bottom w:w="0" w:type="dxa"/>
          <w:right w:w="0" w:type="dxa"/>
        </w:tblCellMar>
      </w:tblPr>
      <w:tblGrid>
        <w:gridCol w:w="2595"/>
        <w:gridCol w:w="60"/>
        <w:gridCol w:w="373"/>
        <w:gridCol w:w="2865"/>
        <w:gridCol w:w="95"/>
        <w:gridCol w:w="60"/>
        <w:gridCol w:w="984"/>
        <w:gridCol w:w="3096"/>
        <w:gridCol w:w="77"/>
      </w:tblGrid>
      <w:tr>
        <w:trPr/>
        <w:tc>
          <w:tcPr>
            <w:tcW w:w="2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7" w:type="dxa"/>
            <w:tcBorders/>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283"/>
              <w:jc w:val="left"/>
              <w:rPr/>
            </w:pPr>
            <w:r>
              <w:rPr/>
              <w:t>Nonvested, January 1, 2026</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bookmarkStart w:id="567" w:name="xdx_985_eus-gaap--ShareBasedCompensation"/>
            <w:bookmarkEnd w:id="567"/>
          </w:p>
        </w:tc>
        <w:tc>
          <w:tcPr>
            <w:tcW w:w="2865" w:type="dxa"/>
            <w:tcBorders/>
            <w:shd w:fill="CCEEFF" w:val="clear"/>
            <w:vAlign w:val="center"/>
          </w:tcPr>
          <w:p>
            <w:pPr>
              <w:pStyle w:val="TableContents"/>
              <w:bidi w:val="0"/>
              <w:spacing w:before="0" w:after="283"/>
              <w:jc w:val="right"/>
              <w:rPr/>
            </w:pPr>
            <w:r>
              <w:rPr/>
              <w:t>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w:t>
            </w:r>
            <w:bookmarkStart w:id="568" w:name="xdx_985_eus-gaap--ShareBasedCompensation"/>
            <w:bookmarkEnd w:id="568"/>
          </w:p>
        </w:tc>
        <w:tc>
          <w:tcPr>
            <w:tcW w:w="3096" w:type="dxa"/>
            <w:tcBorders/>
            <w:shd w:fill="CCEEFF" w:val="clear"/>
            <w:vAlign w:val="center"/>
          </w:tcPr>
          <w:p>
            <w:pPr>
              <w:pStyle w:val="TableContents"/>
              <w:bidi w:val="0"/>
              <w:spacing w:before="0" w:after="283"/>
              <w:jc w:val="right"/>
              <w:rPr/>
            </w:pPr>
            <w:r>
              <w:rPr/>
              <w:t>7.73</w:t>
            </w:r>
          </w:p>
        </w:tc>
        <w:tc>
          <w:tcPr>
            <w:tcW w:w="77" w:type="dxa"/>
            <w:tcBorders/>
            <w:shd w:fill="CCEEFF" w:val="clear"/>
            <w:vAlign w:val="center"/>
          </w:tcPr>
          <w:p>
            <w:pPr>
              <w:pStyle w:val="TableContents"/>
              <w:bidi w:val="0"/>
              <w:spacing w:before="0" w:after="283"/>
              <w:jc w:val="left"/>
              <w:rPr/>
            </w:pPr>
            <w:r>
              <w:rPr/>
              <w:t> </w:t>
            </w:r>
          </w:p>
        </w:tc>
      </w:tr>
      <w:tr>
        <w:trPr/>
        <w:tc>
          <w:tcPr>
            <w:tcW w:w="25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bookmarkStart w:id="569" w:name="xdx_98E_eus-gaap--ShareBasedCompensation"/>
            <w:bookmarkEnd w:id="569"/>
          </w:p>
        </w:tc>
        <w:tc>
          <w:tcPr>
            <w:tcW w:w="2865" w:type="dxa"/>
            <w:tcBorders/>
            <w:shd w:fill="FFFFFF" w:val="clear"/>
            <w:vAlign w:val="center"/>
          </w:tcPr>
          <w:p>
            <w:pPr>
              <w:pStyle w:val="TableContents"/>
              <w:bidi w:val="0"/>
              <w:spacing w:before="0" w:after="283"/>
              <w:jc w:val="right"/>
              <w:rPr/>
            </w:pPr>
            <w:r>
              <w:rPr/>
              <w:t>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bookmarkStart w:id="570" w:name="xdx_989_eus-gaap--ShareBasedCompensation"/>
            <w:bookmarkEnd w:id="570"/>
          </w:p>
        </w:tc>
        <w:tc>
          <w:tcPr>
            <w:tcW w:w="3096" w:type="dxa"/>
            <w:tcBorders/>
            <w:shd w:fill="FFFFFF" w:val="clear"/>
            <w:vAlign w:val="center"/>
          </w:tcPr>
          <w:p>
            <w:pPr>
              <w:pStyle w:val="TableContents"/>
              <w:bidi w:val="0"/>
              <w:spacing w:before="0" w:after="283"/>
              <w:jc w:val="right"/>
              <w:rPr/>
            </w:pPr>
            <w:r>
              <w:rPr/>
              <w:t>7.17</w:t>
            </w:r>
          </w:p>
        </w:tc>
        <w:tc>
          <w:tcPr>
            <w:tcW w:w="77" w:type="dxa"/>
            <w:tcBorders/>
            <w:shd w:fill="FFFFFF" w:val="clear"/>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bookmarkStart w:id="571" w:name="xdx_982_eus-gaap--ShareBasedCompensation"/>
            <w:bookmarkEnd w:id="571"/>
          </w:p>
        </w:tc>
        <w:tc>
          <w:tcPr>
            <w:tcW w:w="2865" w:type="dxa"/>
            <w:tcBorders/>
            <w:shd w:fill="CCEEFF" w:val="cle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bookmarkStart w:id="572" w:name="xdx_983_eus-gaap--ShareBasedCompensation"/>
            <w:bookmarkEnd w:id="572"/>
          </w:p>
        </w:tc>
        <w:tc>
          <w:tcPr>
            <w:tcW w:w="3096" w:type="dxa"/>
            <w:tcBorders/>
            <w:shd w:fill="CCEEFF" w:val="clear"/>
            <w:vAlign w:val="center"/>
          </w:tcPr>
          <w:p>
            <w:pPr>
              <w:pStyle w:val="TableContents"/>
              <w:bidi w:val="0"/>
              <w:spacing w:before="0" w:after="283"/>
              <w:jc w:val="right"/>
              <w:rPr/>
            </w:pPr>
            <w:r>
              <w:rPr/>
              <w:t>7.18</w:t>
            </w:r>
          </w:p>
        </w:tc>
        <w:tc>
          <w:tcPr>
            <w:tcW w:w="77" w:type="dxa"/>
            <w:tcBorders/>
            <w:shd w:fill="CCEEFF" w:val="clear"/>
            <w:vAlign w:val="center"/>
          </w:tcPr>
          <w:p>
            <w:pPr>
              <w:pStyle w:val="TableContents"/>
              <w:bidi w:val="0"/>
              <w:spacing w:before="0" w:after="283"/>
              <w:jc w:val="left"/>
              <w:rPr/>
            </w:pPr>
            <w:r>
              <w:rPr/>
              <w:t> </w:t>
            </w:r>
          </w:p>
        </w:tc>
      </w:tr>
      <w:tr>
        <w:trPr/>
        <w:tc>
          <w:tcPr>
            <w:tcW w:w="2595"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3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3" w:name="xdx_986_eus-gaap--ShareBasedCompensation"/>
            <w:bookmarkEnd w:id="573"/>
          </w:p>
        </w:tc>
        <w:tc>
          <w:tcPr>
            <w:tcW w:w="2865"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4" w:name="xdx_98E_eus-gaap--ShareBasedCompensation"/>
            <w:bookmarkEnd w:id="574"/>
          </w:p>
        </w:tc>
        <w:tc>
          <w:tcPr>
            <w:tcW w:w="3096" w:type="dxa"/>
            <w:tcBorders>
              <w:bottom w:val="single" w:sz="8" w:space="0" w:color="000000"/>
            </w:tcBorders>
            <w:shd w:fill="FFFFFF" w:val="clear"/>
            <w:tcMar>
              <w:bottom w:w="28" w:type="dxa"/>
            </w:tcMar>
            <w:vAlign w:val="center"/>
          </w:tcPr>
          <w:p>
            <w:pPr>
              <w:pStyle w:val="TableContents"/>
              <w:bidi w:val="0"/>
              <w:spacing w:before="0" w:after="283"/>
              <w:jc w:val="right"/>
              <w:rPr/>
            </w:pPr>
            <w:r>
              <w:rPr/>
              <w:t>9.46</w:t>
            </w:r>
          </w:p>
        </w:tc>
        <w:tc>
          <w:tcPr>
            <w:tcW w:w="77" w:type="dxa"/>
            <w:tcBorders/>
            <w:shd w:fill="FFFFFF" w:val="clear"/>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283"/>
              <w:jc w:val="left"/>
              <w:rPr/>
            </w:pPr>
            <w:r>
              <w:rPr/>
              <w:t>Nonvested, June 30, 2026</w:t>
            </w:r>
          </w:p>
        </w:tc>
        <w:tc>
          <w:tcPr>
            <w:tcW w:w="60" w:type="dxa"/>
            <w:tcBorders/>
            <w:shd w:fill="CCEEFF" w:val="clear"/>
            <w:vAlign w:val="center"/>
          </w:tcPr>
          <w:p>
            <w:pPr>
              <w:pStyle w:val="TableContents"/>
              <w:bidi w:val="0"/>
              <w:spacing w:before="0" w:after="283"/>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5" w:name="xdx_989_eus-gaap--ShareBasedCompensation"/>
            <w:bookmarkEnd w:id="575"/>
          </w:p>
        </w:tc>
        <w:tc>
          <w:tcPr>
            <w:tcW w:w="2865" w:type="dxa"/>
            <w:tcBorders>
              <w:bottom w:val="double" w:sz="6" w:space="0" w:color="000000"/>
            </w:tcBorders>
            <w:shd w:fill="CCEEFF" w:val="clear"/>
            <w:tcMar>
              <w:bottom w:w="28" w:type="dxa"/>
            </w:tcMar>
            <w:vAlign w:val="center"/>
          </w:tcPr>
          <w:p>
            <w:pPr>
              <w:pStyle w:val="TableContents"/>
              <w:bidi w:val="0"/>
              <w:spacing w:before="0" w:after="283"/>
              <w:jc w:val="right"/>
              <w:rPr/>
            </w:pPr>
            <w:r>
              <w:rPr/>
              <w:t>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6" w:name="xdx_984_eus-gaap--ShareBasedCompensation"/>
            <w:bookmarkEnd w:id="576"/>
          </w:p>
        </w:tc>
        <w:tc>
          <w:tcPr>
            <w:tcW w:w="3096" w:type="dxa"/>
            <w:tcBorders>
              <w:bottom w:val="double" w:sz="6" w:space="0" w:color="000000"/>
            </w:tcBorders>
            <w:shd w:fill="CCEEFF" w:val="clear"/>
            <w:tcMar>
              <w:bottom w:w="28" w:type="dxa"/>
            </w:tcMar>
            <w:vAlign w:val="center"/>
          </w:tcPr>
          <w:p>
            <w:pPr>
              <w:pStyle w:val="TableContents"/>
              <w:bidi w:val="0"/>
              <w:spacing w:before="0" w:after="283"/>
              <w:jc w:val="right"/>
              <w:rPr/>
            </w:pPr>
            <w:r>
              <w:rPr/>
              <w:t>7.50</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7" w:name="xdx_8AA_zazt3ldJnp95"/>
      <w:bookmarkEnd w:id="5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Units granted to employees vest over </w:t>
      </w:r>
      <w:bookmarkStart w:id="578" w:name="xdx_905_eus-gaap--ShareBasedCompensation"/>
      <w:bookmarkEnd w:id="578"/>
      <w:r>
        <w:rPr>
          <w:rFonts w:ascii="Times New Roman;Times;Serif" w:hAnsi="Times New Roman;Times;Serif"/>
          <w:b w:val="false"/>
          <w:i w:val="false"/>
          <w:caps w:val="false"/>
          <w:smallCaps w:val="false"/>
          <w:sz w:val="18"/>
        </w:rPr>
        <w:t>2</w:t>
      </w:r>
      <w:r>
        <w:rPr>
          <w:rFonts w:ascii="Times New Roman;Times;Serif" w:hAnsi="Times New Roman;Times;Serif"/>
          <w:b w:val="false"/>
          <w:i w:val="false"/>
          <w:caps w:val="false"/>
          <w:smallCaps w:val="false"/>
          <w:sz w:val="20"/>
        </w:rPr>
        <w:t xml:space="preserve">two to </w:t>
      </w:r>
      <w:bookmarkStart w:id="579" w:name="xdx_902_eus-gaap--ShareBasedCompensation"/>
      <w:bookmarkEnd w:id="579"/>
      <w:r>
        <w:rPr>
          <w:rFonts w:ascii="Times New Roman;Times;Serif" w:hAnsi="Times New Roman;Times;Serif"/>
          <w:b w:val="false"/>
          <w:i w:val="false"/>
          <w:caps w:val="false"/>
          <w:smallCaps w:val="false"/>
          <w:sz w:val="18"/>
        </w:rPr>
        <w:t>4</w:t>
      </w:r>
      <w:r>
        <w:rPr>
          <w:rFonts w:ascii="Times New Roman;Times;Serif" w:hAnsi="Times New Roman;Times;Serif"/>
          <w:b w:val="false"/>
          <w:i w:val="false"/>
          <w:caps w:val="false"/>
          <w:smallCaps w:val="false"/>
          <w:sz w:val="20"/>
        </w:rPr>
        <w:t xml:space="preserve">four-year periods. The Company granted </w:t>
      </w:r>
      <w:bookmarkStart w:id="580" w:name="xdx_90D_eus-gaap--ShareBasedCompensation"/>
      <w:bookmarkEnd w:id="580"/>
      <w:r>
        <w:rPr>
          <w:rFonts w:ascii="Times New Roman;Times;Serif" w:hAnsi="Times New Roman;Times;Serif"/>
          <w:b w:val="false"/>
          <w:i w:val="false"/>
          <w:caps w:val="false"/>
          <w:smallCaps w:val="false"/>
          <w:sz w:val="20"/>
        </w:rPr>
        <w:t>75,000 RSUs during the six months ended June 30, 2026 that will vest on or before January 1, 2027, contingent on each recipient’s continued employment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following the Company’s annual meeting of stockholders, the Company generally grants each non-employee director an equity award that vests over a </w:t>
      </w:r>
      <w:bookmarkStart w:id="581" w:name="xdx_90A_eus-gaap--ShareBasedCompensation"/>
      <w:bookmarkEnd w:id="581"/>
      <w:r>
        <w:rPr>
          <w:rFonts w:ascii="Times New Roman;Times;Serif" w:hAnsi="Times New Roman;Times;Serif"/>
          <w:b w:val="false"/>
          <w:i w:val="false"/>
          <w:caps w:val="false"/>
          <w:smallCaps w:val="false"/>
          <w:sz w:val="20"/>
        </w:rPr>
        <w:t xml:space="preserve">12-month period. Upon a non-employee director’s initial appointment or election to the board of directors, the Company grants such non-employee director an equity award subject to vesting over a </w:t>
      </w:r>
      <w:bookmarkStart w:id="582" w:name="xdx_90B_eus-gaap--ShareBasedCompensation"/>
      <w:bookmarkEnd w:id="582"/>
      <w:r>
        <w:rPr>
          <w:rFonts w:ascii="Times New Roman;Times;Serif" w:hAnsi="Times New Roman;Times;Serif"/>
          <w:b w:val="false"/>
          <w:i w:val="false"/>
          <w:caps w:val="false"/>
          <w:smallCaps w:val="false"/>
          <w:sz w:val="20"/>
        </w:rPr>
        <w:t>36-month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Information for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grant any stock options during the three and six months ended June 30, 2026 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17, 2026, Daniel S. Goldberger, the Company’s former Chief Executive Officer, notified the Company of his intention to retire as Chief Executive Officer effective April 1, 2026 (the “Separation Date”). Mr. Goldberger also resigned as a member of the Company’s Board effective March 17, 2026. Pursuant to and subject to the terms and conditions of Mr. Goldberger’s separation agreement effective as of March 17, 2026 (the “Goldberger Separation Agreement”), </w:t>
      </w:r>
      <w:bookmarkStart w:id="583" w:name="xdx_903_ecustom--StockModifiedDuringPeri"/>
      <w:bookmarkEnd w:id="583"/>
      <w:r>
        <w:rPr>
          <w:rFonts w:ascii="Times New Roman;Times;Serif" w:hAnsi="Times New Roman;Times;Serif"/>
          <w:b w:val="false"/>
          <w:i w:val="false"/>
          <w:caps w:val="false"/>
          <w:smallCaps w:val="false"/>
          <w:sz w:val="20"/>
        </w:rPr>
        <w:t>62,937 of Mr. Goldberger’s outstanding restricted stock units were modified to either vest on April 1, 2026 or vest during a twelve-month consulting period following April 1, 2026, which would otherwise have been forfeited. The service period required for vesting during the consulting period is considered substantially less than the service period prior to retirement. As a result, the Company recorded incremental stock compensation expense of $</w:t>
      </w:r>
      <w:bookmarkStart w:id="584" w:name="xdx_906_ecustom--IncrementalStockCompens"/>
      <w:bookmarkEnd w:id="584"/>
      <w:r>
        <w:rPr>
          <w:rFonts w:ascii="Times New Roman;Times;Serif" w:hAnsi="Times New Roman;Times;Serif"/>
          <w:b w:val="false"/>
          <w:i w:val="false"/>
          <w:caps w:val="false"/>
          <w:smallCaps w:val="false"/>
          <w:sz w:val="20"/>
        </w:rPr>
        <w:t>0.5 million due to the acceleration in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5" w:name="xdx_80D_eus-gaap--SegmentReportingDisclo"/>
      <w:bookmarkEnd w:id="585"/>
      <w:r>
        <w:rPr>
          <w:rFonts w:ascii="Times New Roman;Times;Serif" w:hAnsi="Times New Roman;Times;Serif"/>
          <w:b/>
          <w:i w:val="false"/>
          <w:caps w:val="false"/>
          <w:smallCaps w:val="false"/>
          <w:sz w:val="20"/>
        </w:rPr>
        <w:t xml:space="preserve">Note 14. </w:t>
      </w:r>
      <w:bookmarkStart w:id="586" w:name="xdx_826_zHiRajH03uF5"/>
      <w:bookmarkEnd w:id="586"/>
      <w:r>
        <w:rPr>
          <w:rFonts w:ascii="Times New Roman;Times;Serif" w:hAnsi="Times New Roman;Times;Serif"/>
          <w:b/>
          <w:i w:val="false"/>
          <w:caps w:val="false"/>
          <w:smallCaps w:val="false"/>
          <w:sz w:val="20"/>
        </w:rPr>
        <w:t xml:space="preserve">Segment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views its operations and manages its business as </w:t>
      </w:r>
      <w:bookmarkStart w:id="587" w:name="xdx_906_eus-gaap--NumberOfReportableSegm"/>
      <w:bookmarkEnd w:id="587"/>
      <w:r>
        <w:rPr>
          <w:rFonts w:ascii="Times New Roman;Times;Serif" w:hAnsi="Times New Roman;Times;Serif"/>
          <w:b w:val="false"/>
          <w:i w:val="false"/>
          <w:caps w:val="false"/>
          <w:smallCaps w:val="false"/>
          <w:sz w:val="20"/>
        </w:rPr>
        <w:t>one operating segment: Bioelectronic Innovations. Our CODM is our Interim President and Chief Financial Officer. The CODM uses loss from operations, as reported on our Consolidated Statements of Operations, including the breakdown of expenses presented below, in evaluating the performance of the Bioelectronic Innovations segment and in determining how to allocate resources to the Company as a whole. The CODM does not review assets in evaluating the results of the Bioelectronic Innovations segment, and therefore, such information is not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8" w:name="xdx_897_eus-gaap--ScheduleOfSegmentRepor"/>
      <w:bookmarkEnd w:id="588"/>
      <w:r>
        <w:rPr>
          <w:rFonts w:ascii="Times New Roman;Times;Serif" w:hAnsi="Times New Roman;Times;Serif"/>
          <w:b w:val="false"/>
          <w:i w:val="false"/>
          <w:caps w:val="false"/>
          <w:smallCaps w:val="false"/>
          <w:sz w:val="20"/>
        </w:rPr>
        <w:t>The following table provides the GAAP operating financial results of the Bioelectronic Innovations segment:</w:t>
      </w:r>
    </w:p>
    <w:p>
      <w:pPr>
        <w:pStyle w:val="TextBody"/>
        <w:bidi w:val="0"/>
        <w:spacing w:before="0" w:after="0"/>
        <w:ind w:left="0" w:right="0" w:hanging="0"/>
        <w:jc w:val="both"/>
        <w:rPr>
          <w:caps w:val="false"/>
          <w:smallCaps w:val="false"/>
        </w:rPr>
      </w:pPr>
      <w:r>
        <w:rPr>
          <w:caps w:val="false"/>
          <w:smallCaps w:val="false"/>
        </w:rPr>
        <w:t> </w:t>
      </w:r>
      <w:bookmarkStart w:id="589" w:name="xdx_8BA_zyeMDDr6chyb"/>
      <w:bookmarkEnd w:id="589"/>
      <w:r>
        <w:rPr>
          <w:rFonts w:ascii="Times New Roman;Times;Serif" w:hAnsi="Times New Roman;Times;Serif"/>
          <w:b w:val="false"/>
          <w:i w:val="false"/>
          <w:caps w:val="false"/>
          <w:smallCaps w:val="false"/>
          <w:sz w:val="20"/>
        </w:rPr>
        <w:t>Schedule of Operating Financial Segment</w:t>
      </w:r>
    </w:p>
    <w:tbl>
      <w:tblPr>
        <w:tblW w:w="7201" w:type="dxa"/>
        <w:jc w:val="left"/>
        <w:tblInd w:w="0" w:type="dxa"/>
        <w:tblLayout w:type="fixed"/>
        <w:tblCellMar>
          <w:top w:w="0" w:type="dxa"/>
          <w:left w:w="0" w:type="dxa"/>
          <w:bottom w:w="0" w:type="dxa"/>
          <w:right w:w="0" w:type="dxa"/>
        </w:tblCellMar>
      </w:tblPr>
      <w:tblGrid>
        <w:gridCol w:w="2765"/>
        <w:gridCol w:w="60"/>
        <w:gridCol w:w="176"/>
        <w:gridCol w:w="858"/>
        <w:gridCol w:w="119"/>
        <w:gridCol w:w="75"/>
        <w:gridCol w:w="176"/>
        <w:gridCol w:w="801"/>
        <w:gridCol w:w="95"/>
        <w:gridCol w:w="60"/>
        <w:gridCol w:w="148"/>
        <w:gridCol w:w="723"/>
        <w:gridCol w:w="101"/>
        <w:gridCol w:w="63"/>
        <w:gridCol w:w="148"/>
        <w:gridCol w:w="723"/>
        <w:gridCol w:w="110"/>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90" w:name="xdx_490_20260401__20260630_zS9AzGYHcfU5"/>
            <w:bookmarkEnd w:id="590"/>
          </w:p>
        </w:tc>
        <w:tc>
          <w:tcPr>
            <w:tcW w:w="10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91" w:name="xdx_497_20250401__20250630_z4Ku6Dxggu6h"/>
            <w:bookmarkEnd w:id="591"/>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2" w:name="xdx_49E_20260101__20260630_z6yVEfjLL9g"/>
            <w:bookmarkEnd w:id="592"/>
          </w:p>
        </w:tc>
        <w:tc>
          <w:tcPr>
            <w:tcW w:w="8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593" w:name="xdx_492_20250101__20250630_zGWym6pbj9pb"/>
            <w:bookmarkEnd w:id="593"/>
          </w:p>
        </w:tc>
        <w:tc>
          <w:tcPr>
            <w:tcW w:w="8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594" w:name="xdx_402_eus-gaap--RevenueFromContractWit"/>
            <w:bookmarkEnd w:id="594"/>
          </w:p>
        </w:tc>
      </w:tr>
      <w:tr>
        <w:trPr/>
        <w:tc>
          <w:tcPr>
            <w:tcW w:w="2765" w:type="dxa"/>
            <w:tcBorders/>
            <w:shd w:fill="CCEEFF" w:val="clear"/>
            <w:vAlign w:val="center"/>
          </w:tcPr>
          <w:p>
            <w:pPr>
              <w:pStyle w:val="TableContents"/>
              <w:bidi w:val="0"/>
              <w:spacing w:before="0" w:after="283"/>
              <w:jc w:val="left"/>
              <w:rPr/>
            </w:pPr>
            <w:r>
              <w:rPr/>
              <w:t xml:space="preserve">Net sales </w:t>
            </w:r>
            <w:bookmarkStart w:id="595" w:name="xdx_F4D_zKP2ZNchW8Tc"/>
            <w:bookmarkEnd w:id="595"/>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9,450</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7,381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19,034</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14,100</w:t>
            </w:r>
          </w:p>
        </w:tc>
        <w:tc>
          <w:tcPr>
            <w:tcW w:w="110" w:type="dxa"/>
            <w:tcBorders/>
            <w:shd w:fill="CCEEFF" w:val="clear"/>
            <w:vAlign w:val="center"/>
          </w:tcPr>
          <w:p>
            <w:pPr>
              <w:pStyle w:val="TableContents"/>
              <w:bidi w:val="0"/>
              <w:spacing w:before="0" w:after="283"/>
              <w:jc w:val="left"/>
              <w:rPr/>
            </w:pPr>
            <w:r>
              <w:rPr/>
              <w:t> </w:t>
            </w:r>
            <w:bookmarkStart w:id="596" w:name="xdx_40A_eus-gaap--CostOfGoodsAndServices"/>
            <w:bookmarkEnd w:id="596"/>
          </w:p>
        </w:tc>
      </w:tr>
      <w:tr>
        <w:trPr/>
        <w:tc>
          <w:tcPr>
            <w:tcW w:w="276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1,273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2,493</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1,952</w:t>
            </w:r>
          </w:p>
        </w:tc>
        <w:tc>
          <w:tcPr>
            <w:tcW w:w="110" w:type="dxa"/>
            <w:tcBorders/>
            <w:shd w:fill="FFFFFF" w:val="clear"/>
            <w:vAlign w:val="center"/>
          </w:tcPr>
          <w:p>
            <w:pPr>
              <w:pStyle w:val="TableContents"/>
              <w:bidi w:val="0"/>
              <w:spacing w:before="0" w:after="283"/>
              <w:jc w:val="left"/>
              <w:rPr/>
            </w:pPr>
            <w:r>
              <w:rPr/>
              <w:t> </w:t>
            </w:r>
            <w:bookmarkStart w:id="597" w:name="xdx_407_eus-gaap--GrossProfit_pn3n3_hus-"/>
            <w:bookmarkEnd w:id="597"/>
          </w:p>
        </w:tc>
      </w:tr>
      <w:tr>
        <w:trPr/>
        <w:tc>
          <w:tcPr>
            <w:tcW w:w="276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8,177</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6,442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16,541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12,148</w:t>
            </w:r>
          </w:p>
        </w:tc>
        <w:tc>
          <w:tcPr>
            <w:tcW w:w="110" w:type="dxa"/>
            <w:tcBorders/>
            <w:shd w:fill="CCEEFF" w:val="clear"/>
            <w:vAlign w:val="center"/>
          </w:tcPr>
          <w:p>
            <w:pPr>
              <w:pStyle w:val="TableContents"/>
              <w:bidi w:val="0"/>
              <w:spacing w:before="0" w:after="283"/>
              <w:jc w:val="left"/>
              <w:rPr/>
            </w:pPr>
            <w:r>
              <w:rPr/>
              <w:t> </w:t>
            </w:r>
            <w:bookmarkStart w:id="598" w:name="xdx_403_eus-gaap--OperatingExpensesAbstr"/>
            <w:bookmarkEnd w:id="598"/>
          </w:p>
        </w:tc>
      </w:tr>
      <w:tr>
        <w:trPr/>
        <w:tc>
          <w:tcPr>
            <w:tcW w:w="276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99" w:name="xdx_405_eus-gaap--ResearchAndDevelopment"/>
            <w:bookmarkEnd w:id="599"/>
          </w:p>
        </w:tc>
      </w:tr>
      <w:tr>
        <w:trPr/>
        <w:tc>
          <w:tcPr>
            <w:tcW w:w="27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818</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1,558</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1,153</w:t>
            </w:r>
          </w:p>
        </w:tc>
        <w:tc>
          <w:tcPr>
            <w:tcW w:w="110" w:type="dxa"/>
            <w:tcBorders/>
            <w:shd w:fill="CCEEFF" w:val="clear"/>
            <w:vAlign w:val="center"/>
          </w:tcPr>
          <w:p>
            <w:pPr>
              <w:pStyle w:val="TableContents"/>
              <w:bidi w:val="0"/>
              <w:spacing w:before="0" w:after="283"/>
              <w:jc w:val="left"/>
              <w:rPr/>
            </w:pPr>
            <w:r>
              <w:rPr/>
              <w:t> </w:t>
            </w:r>
            <w:bookmarkStart w:id="600" w:name="xdx_404_eus-gaap--SellingAndMarketingExp"/>
            <w:bookmarkEnd w:id="600"/>
          </w:p>
        </w:tc>
      </w:tr>
      <w:tr>
        <w:trPr/>
        <w:tc>
          <w:tcPr>
            <w:tcW w:w="2765" w:type="dxa"/>
            <w:tcBorders/>
            <w:shd w:fill="FFFFFF" w:val="clear"/>
            <w:vAlign w:val="center"/>
          </w:tcPr>
          <w:p>
            <w:pPr>
              <w:pStyle w:val="TableContents"/>
              <w:bidi w:val="0"/>
              <w:spacing w:before="0" w:after="283"/>
              <w:jc w:val="left"/>
              <w:rPr/>
            </w:pPr>
            <w:r>
              <w:rPr/>
              <w:t>Variable sales and marketing</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3,536</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7,307</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4,774</w:t>
            </w:r>
          </w:p>
        </w:tc>
        <w:tc>
          <w:tcPr>
            <w:tcW w:w="110" w:type="dxa"/>
            <w:tcBorders/>
            <w:shd w:fill="FFFFFF" w:val="clear"/>
            <w:vAlign w:val="center"/>
          </w:tcPr>
          <w:p>
            <w:pPr>
              <w:pStyle w:val="TableContents"/>
              <w:bidi w:val="0"/>
              <w:spacing w:before="0" w:after="283"/>
              <w:jc w:val="left"/>
              <w:rPr/>
            </w:pPr>
            <w:r>
              <w:rPr/>
              <w:t> </w:t>
            </w:r>
            <w:bookmarkStart w:id="601" w:name="xdx_406_ecustom--FixedSalesAndMarketing_"/>
            <w:bookmarkEnd w:id="601"/>
          </w:p>
        </w:tc>
      </w:tr>
      <w:tr>
        <w:trPr/>
        <w:tc>
          <w:tcPr>
            <w:tcW w:w="2765" w:type="dxa"/>
            <w:tcBorders/>
            <w:shd w:fill="CCEEFF" w:val="clear"/>
            <w:vAlign w:val="center"/>
          </w:tcPr>
          <w:p>
            <w:pPr>
              <w:pStyle w:val="TableContents"/>
              <w:bidi w:val="0"/>
              <w:spacing w:before="0" w:after="283"/>
              <w:jc w:val="left"/>
              <w:rPr/>
            </w:pPr>
            <w:r>
              <w:rPr/>
              <w:t>Fixed sales and marketing</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2,767</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5,343</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4,663</w:t>
            </w:r>
          </w:p>
        </w:tc>
        <w:tc>
          <w:tcPr>
            <w:tcW w:w="110" w:type="dxa"/>
            <w:tcBorders/>
            <w:shd w:fill="CCEEFF" w:val="clear"/>
            <w:vAlign w:val="center"/>
          </w:tcPr>
          <w:p>
            <w:pPr>
              <w:pStyle w:val="TableContents"/>
              <w:bidi w:val="0"/>
              <w:spacing w:before="0" w:after="283"/>
              <w:jc w:val="left"/>
              <w:rPr/>
            </w:pPr>
            <w:r>
              <w:rPr/>
              <w:t> </w:t>
            </w:r>
            <w:bookmarkStart w:id="602" w:name="xdx_40C_eus-gaap--GeneralAndAdministrati"/>
            <w:bookmarkEnd w:id="602"/>
          </w:p>
        </w:tc>
      </w:tr>
      <w:tr>
        <w:trPr/>
        <w:tc>
          <w:tcPr>
            <w:tcW w:w="27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3,828</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4,552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10,421</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8,886</w:t>
            </w:r>
          </w:p>
        </w:tc>
        <w:tc>
          <w:tcPr>
            <w:tcW w:w="110" w:type="dxa"/>
            <w:tcBorders/>
            <w:shd w:fill="FFFFFF" w:val="clear"/>
            <w:vAlign w:val="center"/>
          </w:tcPr>
          <w:p>
            <w:pPr>
              <w:pStyle w:val="TableContents"/>
              <w:bidi w:val="0"/>
              <w:spacing w:before="0" w:after="283"/>
              <w:jc w:val="left"/>
              <w:rPr/>
            </w:pPr>
            <w:r>
              <w:rPr/>
              <w:t> </w:t>
            </w:r>
            <w:bookmarkStart w:id="603" w:name="xdx_409_eus-gaap--OperatingExpenses_pn3n"/>
            <w:bookmarkEnd w:id="603"/>
          </w:p>
        </w:tc>
      </w:tr>
      <w:tr>
        <w:trPr/>
        <w:tc>
          <w:tcPr>
            <w:tcW w:w="27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pPr>
            <w:r>
              <w:rPr/>
              <w:t>10,949</w:t>
            </w:r>
          </w:p>
        </w:tc>
        <w:tc>
          <w:tcPr>
            <w:tcW w:w="119"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283"/>
              <w:jc w:val="right"/>
              <w:rPr/>
            </w:pPr>
            <w:r>
              <w:rPr/>
              <w:t>9,948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24,629</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19,476</w:t>
            </w:r>
          </w:p>
        </w:tc>
        <w:tc>
          <w:tcPr>
            <w:tcW w:w="110" w:type="dxa"/>
            <w:tcBorders/>
            <w:shd w:fill="CCEEFF" w:val="clear"/>
            <w:vAlign w:val="center"/>
          </w:tcPr>
          <w:p>
            <w:pPr>
              <w:pStyle w:val="TableContents"/>
              <w:bidi w:val="0"/>
              <w:spacing w:before="0" w:after="283"/>
              <w:jc w:val="left"/>
              <w:rPr/>
            </w:pPr>
            <w:r>
              <w:rPr/>
              <w:t> </w:t>
            </w:r>
            <w:bookmarkStart w:id="604" w:name="xdx_402_eus-gaap--OperatingIncomeLoss_pn"/>
            <w:bookmarkEnd w:id="604"/>
          </w:p>
        </w:tc>
      </w:tr>
      <w:tr>
        <w:trPr/>
        <w:tc>
          <w:tcPr>
            <w:tcW w:w="276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jc w:val="right"/>
              <w:rPr/>
            </w:pPr>
            <w:r>
              <w:rPr/>
              <w:t>(2,772</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jc w:val="right"/>
              <w:rPr/>
            </w:pPr>
            <w:r>
              <w:rPr/>
              <w:t>(3,506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pPr>
            <w:r>
              <w:rPr/>
              <w:t>(8,088</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pPr>
            <w:r>
              <w:rPr/>
              <w:t>(7,328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r>
    </w:p>
    <w:tbl>
      <w:tblPr>
        <w:tblW w:w="5868" w:type="dxa"/>
        <w:jc w:val="left"/>
        <w:tblInd w:w="0" w:type="dxa"/>
        <w:tblLayout w:type="fixed"/>
        <w:tblCellMar>
          <w:top w:w="0" w:type="dxa"/>
          <w:left w:w="0" w:type="dxa"/>
          <w:bottom w:w="0" w:type="dxa"/>
          <w:right w:w="0" w:type="dxa"/>
        </w:tblCellMar>
      </w:tblPr>
      <w:tblGrid>
        <w:gridCol w:w="140"/>
        <w:gridCol w:w="23"/>
        <w:gridCol w:w="570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605" w:name="xdx_F00_z6fZ33tlzbZ3"/>
            <w:bookmarkEnd w:id="605"/>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5705" w:type="dxa"/>
            <w:tcBorders/>
            <w:vAlign w:val="center"/>
          </w:tcPr>
          <w:p>
            <w:pPr>
              <w:pStyle w:val="TableContents"/>
              <w:bidi w:val="0"/>
              <w:spacing w:before="0" w:after="283"/>
              <w:jc w:val="both"/>
              <w:rPr>
                <w:rFonts w:ascii="Times New Roman;Times;Serif" w:hAnsi="Times New Roman;Times;Serif"/>
                <w:sz w:val="20"/>
              </w:rPr>
            </w:pPr>
            <w:bookmarkStart w:id="606" w:name="xdx_F15_zaLQB34ImSP7"/>
            <w:bookmarkEnd w:id="606"/>
            <w:r>
              <w:rPr>
                <w:rFonts w:ascii="Times New Roman;Times;Serif" w:hAnsi="Times New Roman;Times;Serif"/>
                <w:sz w:val="20"/>
              </w:rPr>
              <w:t>See Note 4 Revenue for geographical and disaggregation information.</w:t>
            </w:r>
          </w:p>
        </w:tc>
      </w:tr>
    </w:tbl>
    <w:p>
      <w:pPr>
        <w:pStyle w:val="TextBody"/>
        <w:bidi w:val="0"/>
        <w:spacing w:before="0" w:after="0"/>
        <w:ind w:left="0" w:right="0" w:hanging="0"/>
        <w:jc w:val="both"/>
        <w:rPr>
          <w:caps w:val="false"/>
          <w:smallCaps w:val="false"/>
        </w:rPr>
      </w:pPr>
      <w:bookmarkStart w:id="607" w:name="xdx_8AD_zsy8Rp3BXj73"/>
      <w:bookmarkEnd w:id="60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8" w:name="xdx_805_eus-gaap--CommitmentsAndContinge"/>
      <w:bookmarkEnd w:id="608"/>
      <w:r>
        <w:rPr>
          <w:rFonts w:ascii="Times New Roman;Times;Serif" w:hAnsi="Times New Roman;Times;Serif"/>
          <w:b/>
          <w:i w:val="false"/>
          <w:caps w:val="false"/>
          <w:smallCaps w:val="false"/>
          <w:sz w:val="20"/>
        </w:rPr>
        <w:t xml:space="preserve">Note 15. </w:t>
      </w:r>
      <w:bookmarkStart w:id="609" w:name="xdx_82A_zOf57gtePRC9"/>
      <w:bookmarkEnd w:id="60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be a party to various legal proceedings and claims arising out of the ordinary course of its business. Although the final results of all such matters and claims cannot be predicted with certainty, the Company currently believes that there are no current proceedings or claims pending against it the ultimate resolution of which would have a material adverse effect on its financial condition or results of operations. However, should the Company fail to prevail in any legal matter, including the Pulsetto litigation referenced below, or should several legal matters be resolved against the Company in the same reporting period, such matters could have a material adverse effect on the Company’s operating results and cash flows for that particular period. In all cases, at each reporting period, the Company evaluates whether or not a potential loss amount or a potential range of loss is probable and reasonably estimable under </w:t>
      </w:r>
      <w:r>
        <w:rPr>
          <w:rFonts w:ascii="Times New Roman;Times;Serif" w:hAnsi="Times New Roman;Times;Serif"/>
          <w:b w:val="false"/>
          <w:i/>
          <w:caps w:val="false"/>
          <w:smallCaps w:val="false"/>
          <w:sz w:val="20"/>
        </w:rPr>
        <w:t>ASC 450</w:t>
      </w:r>
      <w:r>
        <w:rPr>
          <w:rFonts w:ascii="Times New Roman;Times;Serif" w:hAnsi="Times New Roman;Times;Serif"/>
          <w:b w:val="false"/>
          <w:i w:val="false"/>
          <w:caps w:val="false"/>
          <w:smallCaps w:val="false"/>
          <w:sz w:val="20"/>
        </w:rPr>
        <w:t>, “Contingencies.” Legal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UAB Pulsetto v. electroCore,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11, 2025, UAB Pulsetto (“Pulsetto”) filed a declaratory judgment action against the Company in the United States District Court for the District of New Jersey, captioned </w:t>
      </w:r>
      <w:r>
        <w:rPr>
          <w:rFonts w:ascii="Times New Roman;Times;Serif" w:hAnsi="Times New Roman;Times;Serif"/>
          <w:b w:val="false"/>
          <w:i/>
          <w:caps w:val="false"/>
          <w:smallCaps w:val="false"/>
          <w:sz w:val="20"/>
        </w:rPr>
        <w:t xml:space="preserve">UAB Pulsetto v. electroCore, Inc., Civ. No. 25-10036 (D.N.J.), </w:t>
      </w:r>
      <w:r>
        <w:rPr>
          <w:rFonts w:ascii="Times New Roman;Times;Serif" w:hAnsi="Times New Roman;Times;Serif"/>
          <w:b w:val="false"/>
          <w:i w:val="false"/>
          <w:caps w:val="false"/>
          <w:smallCaps w:val="false"/>
          <w:sz w:val="20"/>
        </w:rPr>
        <w:t>asserting that its non-invasive vagus nerve stimulation product does not infringe the Company’s U.S. Patent No. 11,446,491 (the “491 Patent”).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2025, the Company filed a responsive pleading, answering the complaint and asserting counterclaims, that Pulsetto’s non-invasive vagus nerve stimulation product infringes the ‘491 Patent, as well as the Company’s U.S. Patent Nos. 8,948,873, 9,339,653, 10,874,857, 8,843,210, 9,242,092, 11,623,078, and 10,441,780, as well as claims that Pulsetto’s commercial conduct has infringed and continues to infringe the Company’s Truvaga® and gammaCore® trademarks, and committed acts of false advertising and unfair competition in violation of state and federal law. On September 5, 2025, Pulsetto requested leave to file a motion to dismiss the Company’s counterclaims for lack or jurisdiction and/or insufficient pleadings. The Company has opposed that request, which has not yet been considered by the trial judge. On September 9, 2025, the court approved a schedule for discovery, and certain proceedings, filings, submissions, motions, reports and conferences. The parties have exchanged initial requests for the production of documents relevant to the dispute and have proceeded with exchanging their respective infringement and invalidity contentions, as the case may be. Pulsetto has also moved to compel the Company to provide certain discovery information related to potential infringement damages, and the Company has opposed that motion, which has not yet been considered by the trial judge. The parties are still in the early stages of discovery. The parties held an in-person settlement conference with a Magistrate Judge on March 4, 2026. The parties were ordered to engage in private mediation, all proceedings in the lawsuit were stayed until June 5, 2026, and the two pending motions before the trial judge have been dismissed without prejudice (subject to being refiled at a later time), while the parties proceed with court ordered private mediation. The mediation was adjourned and rescheduled for September 10, 2026, and we anticipate the case will remain stayed at least until September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Pulsetto’s claim is without merit and intends to defend vigorously against it and to pursue vigorously the Company’s patent and non-patent counterclaims against Pulsetto. The Company expenses associated legal fees in the period they are incurred, and in light of, among other things, the preliminary stage of the litigation, the Company is unable to determine the reasonable probability of loss or a range of potential loss or gain or a range of potential gain. Accordingly, the Company has not established an accrual for potential losses or gains, if any, that could result from any unfavorable or favorable outcome, and there can be no assurance that these litigation matters will not result in substantial litigation costs and/or judgments or settlements that could adversely affect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 CEO Retirement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subject to the terms and conditions of the Goldberger Separation Agreement, and in accordance with our Executive Severance Policy, he will receive a cash severance payment of $</w:t>
      </w:r>
      <w:bookmarkStart w:id="610" w:name="xdx_905_eus-gaap--SupplementalUnemployme"/>
      <w:bookmarkEnd w:id="610"/>
      <w:r>
        <w:rPr>
          <w:rFonts w:ascii="Times New Roman;Times;Serif" w:hAnsi="Times New Roman;Times;Serif"/>
          <w:b w:val="false"/>
          <w:i w:val="false"/>
          <w:caps w:val="false"/>
          <w:smallCaps w:val="false"/>
          <w:sz w:val="20"/>
        </w:rPr>
        <w:t>1,200,018, payable in substantially equal installments over the 12-month period commencing on the Company’s first regular payroll date following the Separation Date. The Company recorded a liability for the severance amount upon the execution of the Goldberger Separation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no material purchase obligations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CVR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NURO acquisition on May 1, 2025, the Company entered into a contingent value rights agreement (the “CVR Agreement”) with the former shareholders of NURO which, among other things, entitles the former shareholders to </w:t>
      </w:r>
      <w:bookmarkStart w:id="611" w:name="xdx_907_eus-gaap--OtherCommitmentsDescri"/>
      <w:bookmarkEnd w:id="611"/>
      <w:r>
        <w:rPr>
          <w:rFonts w:ascii="Times New Roman;Times;Serif" w:hAnsi="Times New Roman;Times;Serif"/>
          <w:b w:val="false"/>
          <w:i w:val="false"/>
          <w:caps w:val="false"/>
          <w:smallCaps w:val="false"/>
          <w:sz w:val="20"/>
        </w:rPr>
        <w:t>(1) an amount equal to $125,000 less any funds used by the Company as of July 1, 2025 out of a reserve of $250,000 for payment of potential expenses of the Company that were reserved against NURO’s net cash balance; (2) the balance of the funds remaining in the reserve as of May 1, 2027; and (3) earnout payments after the first and second anniversaries of the acquisition based on the Company’s sale of Quell products. In October 2025, the Company distributed approximately $243,000 under the CVR Agreement. As of June 30, 2026 and December 31, 2025, the Company has recorded a liability of $563,000 and $604,000, respectively, for expected payments under the CVR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2" w:name="xdx_808_eus-gaap--RelatedPartyTransactio"/>
      <w:bookmarkEnd w:id="612"/>
      <w:r>
        <w:rPr>
          <w:rFonts w:ascii="Times New Roman;Times;Serif" w:hAnsi="Times New Roman;Times;Serif"/>
          <w:b/>
          <w:i w:val="false"/>
          <w:caps w:val="false"/>
          <w:smallCaps w:val="false"/>
          <w:sz w:val="20"/>
        </w:rPr>
        <w:t xml:space="preserve">Note 16. </w:t>
      </w:r>
      <w:bookmarkStart w:id="613" w:name="xdx_829_zIZwXNUcQn5j"/>
      <w:bookmarkEnd w:id="613"/>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an executive of the Company co-founded the Vagus Nerve Society, an academic society dedicated to the ongoing education and training of scientists and clinicians and the power of the vagus nerve and its application in a broad spectrum of health-related conditions. During the three and six months ended June 30, 2026, the Company incurred aggregate expenses of $</w:t>
      </w:r>
      <w:bookmarkStart w:id="614" w:name="xdx_903_eus-gaap--RelatedPartyTransactio"/>
      <w:bookmarkEnd w:id="614"/>
      <w:r>
        <w:rPr>
          <w:rFonts w:ascii="Times New Roman;Times;Serif" w:hAnsi="Times New Roman;Times;Serif"/>
          <w:b w:val="false"/>
          <w:i w:val="false"/>
          <w:caps w:val="false"/>
          <w:smallCaps w:val="false"/>
          <w:sz w:val="20"/>
        </w:rPr>
        <w:t>75,000 and $</w:t>
      </w:r>
      <w:bookmarkStart w:id="615" w:name="xdx_90D_eus-gaap--RelatedPartyTransactio"/>
      <w:bookmarkEnd w:id="615"/>
      <w:r>
        <w:rPr>
          <w:rFonts w:ascii="Times New Roman;Times;Serif" w:hAnsi="Times New Roman;Times;Serif"/>
          <w:b w:val="false"/>
          <w:i w:val="false"/>
          <w:caps w:val="false"/>
          <w:smallCaps w:val="false"/>
          <w:sz w:val="20"/>
        </w:rPr>
        <w:t>150,000, respectively, for unrestricted and directed educational grants to the Vagus Nerve Society.</w:t>
      </w:r>
    </w:p>
    <w:p>
      <w:pPr>
        <w:pStyle w:val="TextBody"/>
        <w:bidi w:val="0"/>
        <w:spacing w:before="0" w:after="0"/>
        <w:ind w:left="0" w:right="0" w:hanging="0"/>
        <w:jc w:val="both"/>
        <w:rPr>
          <w:caps w:val="false"/>
          <w:smallCaps w:val="false"/>
        </w:rPr>
      </w:pPr>
      <w:bookmarkStart w:id="616" w:name="xdx_812_zPYHY2oj6nng"/>
      <w:bookmarkEnd w:id="6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7" w:name="a_008"/>
      <w:bookmarkEnd w:id="61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condensed consolidated financial statements and related notes appearing elsewhere in this Quarterly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Quarterly Report, including those set forth under Item 1A. “Risk Factors” and under “Forward-Looking Statements”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is a bioelectronic technology company whose mission is to improve health and quality of life through innovative, non-invasive, bioelectronic technologies. Our two leading commercial products are gammaCore non-invasive vagus nerve stimulation, or nVNS, and Quell Fibromyalgia, or Quell. We also sell our Truvaga and TAC-STIM products, which are handheld, personal-use consumer products, developed to promote general wellness and human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proprietary nVNS technology, which works through a variety of mechanistic pathways including the modulation of neurotransmitters, and Quell for chronic pain are designed to address many of the limitations of traditional non-invasive approaches.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generates revenues from the sale of prescription medical devices and non-prescription wellness products in the United States and select overseas markets. We have two principal product categories: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use prescription medical devices for the management and treatment of certain medical conditions such as primary headache and fibromyalgia;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use consumer products that promote general wellness and human performance.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be a leader in non-invasive bioelectronic technologies delivering better health. To achieve this, we offer multiple propositions: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Prescription medical devices for the treatment of certain FDA cleared medical conditions such as gammaCore for primary headache and Quell Fibromyalgia for fibromyalgia;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Nonprescription Truvaga for the support of general health and wellbeing;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Non-prescription TAC-STIM for human performance.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choose to relaunch our FDA cleared Quell 2.0 product for lower extremity pain in the direct-to-consumer business channel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two largest customers by revenue are the United States Department of Veterans Affairs, or VA, and the United Kingdom National Health Service, or NHS, both utilizing prescription products under qualifying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Department of Veteran Affairs comprised 75.8% and 75.3% of our revenue during the three and six months ended June 30, 2026, respectively. Our prescription gammaCore and Quell Fibromyalgia devices are also made available to the government channel through our relationship with Lovell and its qualifying FSS, GSA Advantage (GSA), the VA Distribution and Pricing Agreement (DAPA), and Defense Logistics Agency’s ECAT system procurement portals through the Lovell contract vehicles (ECAT). The majority of our second quarter 2026 sales were made pursuant to our qualifying Federal Supply Schedule, or FSS, contract which has an expiry date of June 14, 2030, as well as open market sales to individual facilities within the government channels, and our relationship with Lovell. During the remainder of 2026, we intend to generate the majority of our sales in the VA channel through our agreement with Lovell.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Demand for prescription devices in the U.S. is driven by clinical data and our increased presence in the field. Our sales efforts are primarily in the government channel broadly, and specifically to our largest customer, the VA, pursuant to our FSS contract and/or through our relationship with Lovell and its qualifying FSS, GSA, DAPA, and ECAT contracts. Our sales force is comprised of an internal sales team and outside commission only sales agents and sub reps. In addition, we have a small team of dedicated resources seeking to accelerate adoption in managed care systems. Sales to the NHS in the United Kingdom made under the U.K. MedTech Funding Mandate, or MTFM, for cluster headache (CH) comprised 4.0% and 3.9% of our revenue during the three and six months ended June 30, 2026, respectively. We plan on continuing to use this program during the remainder of 2026, and potentially in years to come.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Demand for prescription devices outside the U.S. is driven by similar factors, including the strength of our clinical and health economic data. Our sales efforts are primarily focused on headache specialists, and specifically, for cluster headache patients.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general wellness products direct-to-consumer through our ecommerce site, www.truvaga.com, and through select Truvaga retail and marketplace partners, including Best Buy and Rehabmart. We also partner with organizations such as Ben Greenfield Life, Perks at Work, True Medicine and a growing number of affiliates and influencers who promote Truvaga and support awareness and customer acquisition through promotional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the TAC-STIM handset for human performance as a COtS solution to active-duty military and professional organizations. We are exploring strategies to make our TAC-STIM product available to other branches of the active-duty military, first responders, elite athletes and certain human performance professionals in the United States and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Truvaga and TAC-STIM are intended for general wellness in compliance with the FDA guidance document entitled “General Wellness: Policy for Low-Risk Devices; Guidance for Industry and FDA Staff, issued on September 27, 2019” and updated in January 2026. Truvaga and TAC-STIM handsets are not intended to diagnose, treat, cure, or prevent any disease or medical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Quell 2.0 is a wearable neuromodulation technology FDA cleared for Over the Counter (OTC) sales direct-to-consumer for chronic lower extremity pain. Quell 2.0 is no longer commercially available; however, replacement electrodes continue to be sold to existing Quell 2.0 customers. Although we may choose to relaunch the Quell 2.0 product in the direct-to-consumer business channel in the future, there can be no assurance that we will do so successfully,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 variety of challenges and risks that we will need to address and manage as we pursue our strategies, including our ability to develop and retain an effective sales force, achieve market acceptance of our medical devices among clinicians, patients, and third-party payers, expand the use of our bioelectronic technology for additional therapeutic indications, and to develop our nascent wellness and human performance business including the continued commercialization of Truvaga Plus, our app-enabled device under the Truvaga brand, and the possible relaunch of our direct-to-consumer Quell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to execute on our strategic plans, we are also managing an executive leadership transition following recent changes to our senior management. We believe the transition provides an opportunity to strengthen operational execution, bring additional experience and perspectives to our commercial and product strategies, and enhance organizational focus as we pursue our near- and long-term objectives. However, leadership transitions can introduce operational and strategic challenges, and new leadership may implement shifts in priorities, management style, or organizational structure. These changes could result in temporary inefficiencies, delays in decision-making, or periods of misalignment across departments as roles and processes evolve. In addition, uncertainty during a transition may affect employee morale and retention, including among key personnel, and there is a risk that institutional knowledge is lost during the leadership change, which could impact our ability to manage ongoing projects, maintain customer relationships, and achieve our strategic objectives. We intend to remain focused on continuity of execution and disciplined prioritization as we navigate this transition, while continuing to evaluate the opportunities and challenges that may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our commercialization efforts, as well as research and product development activities, there may be uncertainty regarding our ability to achieve or maintain profitability. If we fail to become profitable or are unable to sustain profitability, then we may be unable to continue our operations at planned levels and be forced to reduce or terminate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cash requirements for the next 12 months and beyond are based on the commercial success of our products. There are significant risks and uncertainties as to our ability to achieve these operating results. Due to these risks and uncertainties, we may need to reduce our activities significantly more than our current operating plan and cash flow projections assume in order to fund operations for the next 12 months. There can be no assurance that we will have sufficient cash flow and liquidity to fund our planned activities, which could force us to significantly reduce or curtail our activities and, ultimately, potentially cease operations. See also “Liquidity Outlook.”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our Form S-3 registration statement (File No. 333-284477), or the 2025 Shelf Registration Statement, was declared effective by the SEC. The 2025 Shelf Registration Statement relates to the potential offering and issuance from time to time of common stock, preferred stock, warrants, rights, debt securities and units, up to an aggregate amount of $100.0 million. The proposed maximum offering price per unit and the proposed maximum aggregate offering price per class of security in any future offering under the 2025 Shelf Registration Statement will be determined from time to time by us in connection with the issuance by us of the securities registered under the 2025 Shelf Registration Statement. As of July 31, 2026, we have $95.9 million remaining for potential issuance under the 2025 Shelf Registration Statement (including $15.7 million under the Sales Agreement (as defined below)). If we raise additional funds by issuing equity or debt securities, either through the sale of securities pursuant to a registration statement or by other means, our existing stockholders may experience dilution, and the new equity or debt securities may have rights, preferences and privileges senior to those of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“LSA Closing Date”), we, and our wholly owned subsidiary, NURO, each as borrowers, entered into a Loan and Security Agreement (the “Loan and Security Agreement”), with Avenue Venture Opportunities Fund II, L.P. (“Avenue”), as administrative agent and collateral agent, and as lender, that is secured by a lien on substantially all of our assets, including a negative pledge on intellectual property, subject to limited exceptions, pursuant to the Loan and Security Agreement. The Loan and Security Agreement provides for term loans in an aggregate principal amount of up to $12.0 million (the “Loan Amount”) to be delivered in two tranches (the “Term Loans”). The tranches consist of (i) a term loan advanced to the Company on the LSA Closing Date in an aggregate principal amount of $7.5 million (“Tranche 1”), and (ii) subject to the achievement of certain performance milestones set forth in the Loan and Security Agreement, a right of the Company to request that Avenue make additional term loan advances to the Company in an aggregate principal amount of up to $4.5 million (“Tranche 2”), which right expired on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we entered into the Sales Agreement with Wainwright. Under the Sales Agreement, the Company may offer and sell shares of its common stock, par value $0.001 per share, from time to time having an aggregate offering price of up to $20 million (the “ATM Shares”) during the term of the Sales Agreement through Wainwright, acting as sales agent. The Company has filed a prospectus supplement relating to the offer and sale of the Shares pursuant to the Sales Agreement. The ATM Shares were registered under the Company’s previously filed and effective Registration Statement on Form S-3 (File No. 333-262223) (the “2022 Shelf Registration Statement”), which was initially filed with the Securities and Exchange Commission (the “SEC”) on January 18, 2022 and declared effective on January 25, 2022. As of the date hereof, the 2022 Shelf Registration Statement has expired, and any sales of ATM Shares will be made pursuant to the 2025 Shelf Registration Statement. The Company intends to use the net proceeds from any offering pursuant to the Sales Agreement to continue to fund sales and marketing, working capital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sold 494,601 shares of its common stock at a weighted average price of $8.17 per share, net of issuance costs for approximately $3.9 million in net proceeds, pursuant to the Sales Agreement. Subsequent to June 30, 2026, the Company sold 10,745 shares of its common stock at a weighted average price of $8.35 per share, net of issuance costs, for approximately $86,200 in net proceeds, pursuant to the Sales Agreement. No sales were made pursuant to the Sales Agreement during the three months ended March 31, 2026. As of July 31, 2026, the Company had approximately $15.7 million of ATM Shares remaining available for issuance under the Sales Agreement. Additionally, during the three and six months ended June 30, 2026, the Company received net proceeds of approximately $0.9 million and $1.1 million, respectively, from the exercise of warrants and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FDA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FDA personnel visited our facility in Rockaway, New Jersey, to inspect matters relating to our wholly-owned subsidiary, NURO, through which we acquired the Quell product line in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the FDA concluded its inspection and issued the Company a FDA Form 483 letter, citing four observations and two discussion points regarding the Company’s processes for addressing and documenting patient complaints. On June 15, 2026, the Company submitted a written response letter to the FDA describing four corrective action records initiated to address the observations and one discussion point, as well as one preventative action initiated to address the other discussion point. As of the filing of this Quarterly Report, the Company has not received any comments, follow-up questions, or other response from the FDA regarding the Company’s response letter.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are items within our financial statements that require management to make accounting estimates, we do not believe them to be critical, as defined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June 30, 2026 and 2025 with the changes in those items in dollars.</w:t>
      </w:r>
    </w:p>
    <w:p>
      <w:pPr>
        <w:pStyle w:val="TextBody"/>
        <w:bidi w:val="0"/>
        <w:spacing w:before="0" w:after="0"/>
        <w:ind w:left="0" w:right="0" w:hanging="0"/>
        <w:jc w:val="left"/>
        <w:rPr>
          <w:caps w:val="false"/>
          <w:smallCaps w:val="false"/>
        </w:rPr>
      </w:pPr>
      <w:r>
        <w:rPr>
          <w:caps w:val="false"/>
          <w:smallCaps w:val="false"/>
        </w:rPr>
        <w:t> </w:t>
      </w:r>
    </w:p>
    <w:tbl>
      <w:tblPr>
        <w:tblW w:w="8303" w:type="dxa"/>
        <w:jc w:val="left"/>
        <w:tblInd w:w="0" w:type="dxa"/>
        <w:tblLayout w:type="fixed"/>
        <w:tblCellMar>
          <w:top w:w="0" w:type="dxa"/>
          <w:left w:w="0" w:type="dxa"/>
          <w:bottom w:w="0" w:type="dxa"/>
          <w:right w:w="0" w:type="dxa"/>
        </w:tblCellMar>
      </w:tblPr>
      <w:tblGrid>
        <w:gridCol w:w="3290"/>
        <w:gridCol w:w="60"/>
        <w:gridCol w:w="281"/>
        <w:gridCol w:w="1365"/>
        <w:gridCol w:w="431"/>
        <w:gridCol w:w="120"/>
        <w:gridCol w:w="281"/>
        <w:gridCol w:w="1275"/>
        <w:gridCol w:w="215"/>
        <w:gridCol w:w="60"/>
        <w:gridCol w:w="163"/>
        <w:gridCol w:w="652"/>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6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65" w:type="dxa"/>
            <w:tcBorders/>
            <w:shd w:fill="CCEEFF" w:val="clear"/>
            <w:vAlign w:val="center"/>
          </w:tcPr>
          <w:p>
            <w:pPr>
              <w:pStyle w:val="TableContents"/>
              <w:bidi w:val="0"/>
              <w:spacing w:before="0" w:after="283"/>
              <w:jc w:val="right"/>
              <w:rPr/>
            </w:pPr>
            <w:r>
              <w:rPr/>
              <w:t>9,450</w:t>
            </w:r>
          </w:p>
        </w:tc>
        <w:tc>
          <w:tcPr>
            <w:tcW w:w="4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275" w:type="dxa"/>
            <w:tcBorders/>
            <w:shd w:fill="CCEEFF" w:val="clear"/>
            <w:vAlign w:val="center"/>
          </w:tcPr>
          <w:p>
            <w:pPr>
              <w:pStyle w:val="TableContents"/>
              <w:bidi w:val="0"/>
              <w:spacing w:before="0" w:after="283"/>
              <w:jc w:val="right"/>
              <w:rPr/>
            </w:pPr>
            <w:r>
              <w:rPr/>
              <w:t>7,381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2,069</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1,273</w:t>
            </w:r>
          </w:p>
        </w:tc>
        <w:tc>
          <w:tcPr>
            <w:tcW w:w="43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FFFFFF" w:val="clear"/>
            <w:tcMar>
              <w:bottom w:w="28" w:type="dxa"/>
            </w:tcMar>
            <w:vAlign w:val="center"/>
          </w:tcPr>
          <w:p>
            <w:pPr>
              <w:pStyle w:val="TableContents"/>
              <w:bidi w:val="0"/>
              <w:spacing w:before="0" w:after="283"/>
              <w:jc w:val="right"/>
              <w:rPr/>
            </w:pPr>
            <w:r>
              <w:rPr/>
              <w:t>939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334</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8,177</w:t>
            </w:r>
          </w:p>
        </w:tc>
        <w:tc>
          <w:tcPr>
            <w:tcW w:w="4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6,442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1,735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i/>
              </w:rPr>
            </w:pPr>
            <w:r>
              <w:rPr>
                <w:i/>
              </w:rPr>
              <w:t>Gross margin</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i/>
              </w:rPr>
            </w:pPr>
            <w:r>
              <w:rPr>
                <w:i/>
              </w:rPr>
              <w:t>86.5</w:t>
            </w:r>
          </w:p>
        </w:tc>
        <w:tc>
          <w:tcPr>
            <w:tcW w:w="431" w:type="dxa"/>
            <w:tcBorders/>
            <w:shd w:fill="FFFFFF" w:val="clear"/>
            <w:vAlign w:val="center"/>
          </w:tcPr>
          <w:p>
            <w:pPr>
              <w:pStyle w:val="TableContents"/>
              <w:bidi w:val="0"/>
              <w:spacing w:before="0" w:after="283"/>
              <w:jc w:val="left"/>
              <w:rPr>
                <w:i/>
              </w:rPr>
            </w:pPr>
            <w:r>
              <w:rPr>
                <w:i/>
              </w:rPr>
              <w:t>%</w:t>
            </w:r>
          </w:p>
        </w:tc>
        <w:tc>
          <w:tcPr>
            <w:tcW w:w="12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i/>
              </w:rPr>
            </w:pPr>
            <w:r>
              <w:rPr>
                <w:i/>
              </w:rPr>
              <w:t>87.3</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 </w:t>
            </w:r>
          </w:p>
        </w:tc>
        <w:tc>
          <w:tcPr>
            <w:tcW w:w="4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818</w:t>
            </w:r>
          </w:p>
        </w:tc>
        <w:tc>
          <w:tcPr>
            <w:tcW w:w="43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511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307</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10,131</w:t>
            </w:r>
          </w:p>
        </w:tc>
        <w:tc>
          <w:tcPr>
            <w:tcW w:w="4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CCEEFF" w:val="clear"/>
            <w:tcMar>
              <w:bottom w:w="28" w:type="dxa"/>
            </w:tcMar>
            <w:vAlign w:val="center"/>
          </w:tcPr>
          <w:p>
            <w:pPr>
              <w:pStyle w:val="TableContents"/>
              <w:bidi w:val="0"/>
              <w:spacing w:before="0" w:after="283"/>
              <w:jc w:val="right"/>
              <w:rPr/>
            </w:pPr>
            <w:r>
              <w:rPr/>
              <w:t>9,437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694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10,949</w:t>
            </w:r>
          </w:p>
        </w:tc>
        <w:tc>
          <w:tcPr>
            <w:tcW w:w="43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FFFFFF" w:val="clear"/>
            <w:tcMar>
              <w:bottom w:w="28" w:type="dxa"/>
            </w:tcMar>
            <w:vAlign w:val="center"/>
          </w:tcPr>
          <w:p>
            <w:pPr>
              <w:pStyle w:val="TableContents"/>
              <w:bidi w:val="0"/>
              <w:spacing w:before="0" w:after="283"/>
              <w:jc w:val="right"/>
              <w:rPr/>
            </w:pPr>
            <w:r>
              <w:rPr/>
              <w:t>9,948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(2,772</w:t>
            </w:r>
          </w:p>
        </w:tc>
        <w:tc>
          <w:tcPr>
            <w:tcW w:w="43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(3,506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734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 </w:t>
            </w:r>
          </w:p>
        </w:tc>
        <w:tc>
          <w:tcPr>
            <w:tcW w:w="43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Interest and other income</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(40</w:t>
            </w:r>
          </w:p>
        </w:tc>
        <w:tc>
          <w:tcPr>
            <w:tcW w:w="43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pPr>
            <w:r>
              <w:rPr/>
              <w:t>321</w:t>
            </w:r>
          </w:p>
        </w:tc>
        <w:tc>
          <w:tcPr>
            <w:tcW w:w="43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316</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43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CCEEFF" w:val="clear"/>
            <w:tcMar>
              <w:bottom w:w="28" w:type="dxa"/>
            </w:tcMar>
            <w:vAlign w:val="center"/>
          </w:tcPr>
          <w:p>
            <w:pPr>
              <w:pStyle w:val="TableContents"/>
              <w:bidi w:val="0"/>
              <w:spacing w:before="0" w:after="283"/>
              <w:jc w:val="right"/>
              <w:rPr/>
            </w:pPr>
            <w:r>
              <w:rPr/>
              <w:t>228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(222</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287</w:t>
            </w:r>
          </w:p>
        </w:tc>
        <w:tc>
          <w:tcPr>
            <w:tcW w:w="43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FFFFFF" w:val="clear"/>
            <w:tcMar>
              <w:bottom w:w="28" w:type="dxa"/>
            </w:tcMar>
            <w:vAlign w:val="center"/>
          </w:tcPr>
          <w:p>
            <w:pPr>
              <w:pStyle w:val="TableContents"/>
              <w:bidi w:val="0"/>
              <w:spacing w:before="0" w:after="283"/>
              <w:jc w:val="right"/>
              <w:rPr/>
            </w:pPr>
            <w:r>
              <w:rPr/>
              <w:t>165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122</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5" w:type="dxa"/>
            <w:tcBorders/>
            <w:shd w:fill="CCEEFF" w:val="clear"/>
            <w:vAlign w:val="center"/>
          </w:tcPr>
          <w:p>
            <w:pPr>
              <w:pStyle w:val="TableContents"/>
              <w:bidi w:val="0"/>
              <w:spacing w:before="0" w:after="283"/>
              <w:jc w:val="right"/>
              <w:rPr/>
            </w:pPr>
            <w:r>
              <w:rPr/>
              <w:t>(3,059</w:t>
            </w:r>
          </w:p>
        </w:tc>
        <w:tc>
          <w:tcPr>
            <w:tcW w:w="43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(3,671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612</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Benefit from income taxes</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43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5" w:type="dxa"/>
            <w:tcBorders>
              <w:bottom w:val="double" w:sz="6" w:space="0" w:color="000000"/>
            </w:tcBorders>
            <w:shd w:fill="CCEEFF" w:val="clear"/>
            <w:tcMar>
              <w:bottom w:w="28" w:type="dxa"/>
            </w:tcMar>
            <w:vAlign w:val="center"/>
          </w:tcPr>
          <w:p>
            <w:pPr>
              <w:pStyle w:val="TableContents"/>
              <w:bidi w:val="0"/>
              <w:spacing w:before="0" w:after="283"/>
              <w:jc w:val="right"/>
              <w:rPr/>
            </w:pPr>
            <w:r>
              <w:rPr/>
              <w:t>(3,059</w:t>
            </w:r>
          </w:p>
        </w:tc>
        <w:tc>
          <w:tcPr>
            <w:tcW w:w="43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5" w:type="dxa"/>
            <w:tcBorders>
              <w:bottom w:val="double" w:sz="6" w:space="0" w:color="000000"/>
            </w:tcBorders>
            <w:shd w:fill="CCEEFF" w:val="clear"/>
            <w:tcMar>
              <w:bottom w:w="28" w:type="dxa"/>
            </w:tcMar>
            <w:vAlign w:val="center"/>
          </w:tcPr>
          <w:p>
            <w:pPr>
              <w:pStyle w:val="TableContents"/>
              <w:bidi w:val="0"/>
              <w:spacing w:before="0" w:after="283"/>
              <w:jc w:val="right"/>
              <w:rPr/>
            </w:pPr>
            <w:r>
              <w:rPr/>
              <w:t>(3,671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pPr>
            <w:r>
              <w:rPr/>
              <w:t>612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three months ended June 30, 2026 increased 28% to $9.5 million as compared to the three months ended June 30, 2025. The increase of $2.1 million is primarily due to an increase in net sales of Quell Fibromyalgia products and prescription (Rx) gammaCore, which are sold to the VA through our United States – Rx channel, and revenue from the sales of our nonprescription general wellness Truvaga products. We acquired the Quell Fibromyalgia product from NURO in May 2025. We expect that the majority of 2026 fiscal year revenue will continue to come from sales of our Rx products to the 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net sales by channel:</w:t>
      </w:r>
    </w:p>
    <w:p>
      <w:pPr>
        <w:pStyle w:val="TextBody"/>
        <w:bidi w:val="0"/>
        <w:spacing w:before="0" w:after="0"/>
        <w:ind w:left="0" w:right="0" w:hanging="0"/>
        <w:jc w:val="both"/>
        <w:rPr>
          <w:caps w:val="false"/>
          <w:smallCaps w:val="false"/>
        </w:rPr>
      </w:pPr>
      <w:r>
        <w:rPr>
          <w:caps w:val="false"/>
          <w:smallCaps w:val="false"/>
        </w:rPr>
        <w:t> </w:t>
      </w:r>
    </w:p>
    <w:tbl>
      <w:tblPr>
        <w:tblW w:w="5602" w:type="dxa"/>
        <w:jc w:val="left"/>
        <w:tblInd w:w="0" w:type="dxa"/>
        <w:tblLayout w:type="fixed"/>
        <w:tblCellMar>
          <w:top w:w="0" w:type="dxa"/>
          <w:left w:w="0" w:type="dxa"/>
          <w:bottom w:w="0" w:type="dxa"/>
          <w:right w:w="0" w:type="dxa"/>
        </w:tblCellMar>
      </w:tblPr>
      <w:tblGrid>
        <w:gridCol w:w="2435"/>
        <w:gridCol w:w="60"/>
        <w:gridCol w:w="279"/>
        <w:gridCol w:w="1118"/>
        <w:gridCol w:w="119"/>
        <w:gridCol w:w="119"/>
        <w:gridCol w:w="279"/>
        <w:gridCol w:w="1118"/>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b/>
              </w:rPr>
            </w:pPr>
            <w:r>
              <w:rPr>
                <w:b/>
              </w:rPr>
              <w:t>Channel:</w:t>
            </w:r>
          </w:p>
        </w:tc>
        <w:tc>
          <w:tcPr>
            <w:tcW w:w="60" w:type="dxa"/>
            <w:tcBorders/>
            <w:vAlign w:val="center"/>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United States – Rx</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7,447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5,693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General Wellness</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1,306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1,014</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Outside the United States</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503</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469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TAC-STIM</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185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181</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In-License / Other</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Total Net Sales</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pPr>
            <w:r>
              <w:rPr/>
              <w:t>9,450</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pPr>
            <w:r>
              <w:rPr/>
              <w:t>7,381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$1.7 million to $8.2 million for the three months ended June 30, 2026 compared to the three months ended June 30, 2025. The increase in gross profit is primarily attributable to the increased net sales. Gross margin decreased to 86.5% for the three months ended June 30, 2026, compared to 87.3% for the three months ended June 30, 2025. The decrease in gross margin was primarily due to an increase in our inventory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of $0.8 million for the three months ended June 30, 2026, increased by $307,000 compared to the prior year. This increase was primarily due to increased studies and grants, higher stock-based compensation and initial costs to develop enhancements to our Truvaga mobile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$10.1 million for the three months ended June 30, 2026 which increased by $0.7 million compared to the previous year. Sales and marketing increased $1.4 million from the prior year. The increase in sales and marketing was primarily driven by $0.9 million of variable selling expenses, which contributed to a $2.1 million increase in sales. General and administrative expense decreased $0.7 million from the prior year. The decrease was primarily attributable to $0.5 million in bad debt expense recorded in the three months ended June 30, 2025 (associated with a TAC-STIM receivable) that did not recur, as well as a reduction in professional fees in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$0.3 million for the three months ended June 30, 2026, an increase of $0.1 million as compared to the three months ended June 30, 2025. The increase was primarily attributable to interest associated with the convertible term debt financing with Avenue. Other expense for the three months ended June 30, 2025 of approximately $0.2 million consisted primarily of non-recurring acquisition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2026 and 2025 with the changes in those items in dollars.</w:t>
      </w:r>
    </w:p>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3290"/>
        <w:gridCol w:w="60"/>
        <w:gridCol w:w="255"/>
        <w:gridCol w:w="1242"/>
        <w:gridCol w:w="392"/>
        <w:gridCol w:w="109"/>
        <w:gridCol w:w="255"/>
        <w:gridCol w:w="1242"/>
        <w:gridCol w:w="215"/>
        <w:gridCol w:w="60"/>
        <w:gridCol w:w="147"/>
        <w:gridCol w:w="668"/>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19,034</w:t>
            </w:r>
          </w:p>
        </w:tc>
        <w:tc>
          <w:tcPr>
            <w:tcW w:w="3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14,100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4,934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2,493</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1,952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541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16,541</w:t>
            </w:r>
          </w:p>
        </w:tc>
        <w:tc>
          <w:tcPr>
            <w:tcW w:w="3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12,148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4,393</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i/>
              </w:rPr>
            </w:pPr>
            <w:r>
              <w:rPr>
                <w:i/>
              </w:rPr>
              <w:t>Gross margin</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i/>
              </w:rPr>
            </w:pPr>
            <w:r>
              <w:rPr>
                <w:i/>
              </w:rPr>
              <w:t>86.9</w:t>
            </w:r>
          </w:p>
        </w:tc>
        <w:tc>
          <w:tcPr>
            <w:tcW w:w="392" w:type="dxa"/>
            <w:tcBorders/>
            <w:shd w:fill="FFFFFF" w:val="clear"/>
            <w:vAlign w:val="center"/>
          </w:tcPr>
          <w:p>
            <w:pPr>
              <w:pStyle w:val="TableContents"/>
              <w:bidi w:val="0"/>
              <w:spacing w:before="0" w:after="283"/>
              <w:jc w:val="left"/>
              <w:rPr>
                <w:i/>
              </w:rPr>
            </w:pPr>
            <w:r>
              <w:rPr>
                <w:i/>
              </w:rPr>
              <w:t>%</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i/>
              </w:rPr>
            </w:pPr>
            <w:r>
              <w:rPr>
                <w:i/>
              </w:rPr>
              <w:t>86.8</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3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1,558</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1,153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405</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23,071</w:t>
            </w:r>
          </w:p>
        </w:tc>
        <w:tc>
          <w:tcPr>
            <w:tcW w:w="3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18,323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4,748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24,629</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19,476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5,153</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(8,088</w:t>
            </w:r>
          </w:p>
        </w:tc>
        <w:tc>
          <w:tcPr>
            <w:tcW w:w="39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(7,328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(760</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Interest and other income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(92</w:t>
            </w:r>
          </w:p>
        </w:tc>
        <w:tc>
          <w:tcPr>
            <w:tcW w:w="39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639</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629</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3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387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563</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246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317</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(8,651</w:t>
            </w:r>
          </w:p>
        </w:tc>
        <w:tc>
          <w:tcPr>
            <w:tcW w:w="39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(7,574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(1,077</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Benefit from income taxes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273</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pPr>
            <w:r>
              <w:rPr/>
              <w:t>(8,330</w:t>
            </w:r>
          </w:p>
        </w:tc>
        <w:tc>
          <w:tcPr>
            <w:tcW w:w="39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pPr>
            <w:r>
              <w:rPr/>
              <w:t>(7,526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(804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six months ended June 30, 2026 increased 35% to $19.0 million as compared to the six months ended June 30, 2025. The increase of $5.0 million is primarily due to an increase in net sales of Rx gammaCore to the VA, sales of Quell Fibromyalgia products, which were acquired from NURO in May 2025 and are also sold to the VA, and revenue from the sales of our nonprescription general wellness Truvaga products. We expect that the majority of 2026 fiscal year revenue will continue to come from sales of our Rx products to the 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net sales by channel:</w:t>
      </w:r>
    </w:p>
    <w:p>
      <w:pPr>
        <w:pStyle w:val="TextBody"/>
        <w:bidi w:val="0"/>
        <w:spacing w:before="0" w:after="0"/>
        <w:ind w:left="0" w:right="0" w:hanging="0"/>
        <w:jc w:val="both"/>
        <w:rPr>
          <w:caps w:val="false"/>
          <w:smallCaps w:val="false"/>
        </w:rPr>
      </w:pPr>
      <w:r>
        <w:rPr>
          <w:caps w:val="false"/>
          <w:smallCaps w:val="false"/>
        </w:rPr>
        <w:t> </w:t>
      </w:r>
    </w:p>
    <w:tbl>
      <w:tblPr>
        <w:tblW w:w="5302" w:type="dxa"/>
        <w:jc w:val="left"/>
        <w:tblInd w:w="0" w:type="dxa"/>
        <w:tblLayout w:type="fixed"/>
        <w:tblCellMar>
          <w:top w:w="0" w:type="dxa"/>
          <w:left w:w="0" w:type="dxa"/>
          <w:bottom w:w="0" w:type="dxa"/>
          <w:right w:w="0" w:type="dxa"/>
        </w:tblCellMar>
      </w:tblPr>
      <w:tblGrid>
        <w:gridCol w:w="2435"/>
        <w:gridCol w:w="60"/>
        <w:gridCol w:w="217"/>
        <w:gridCol w:w="1056"/>
        <w:gridCol w:w="93"/>
        <w:gridCol w:w="93"/>
        <w:gridCol w:w="217"/>
        <w:gridCol w:w="1056"/>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b/>
              </w:rPr>
            </w:pPr>
            <w:r>
              <w:rPr>
                <w:b/>
              </w:rPr>
              <w:t>Channel:</w:t>
            </w:r>
          </w:p>
        </w:tc>
        <w:tc>
          <w:tcPr>
            <w:tcW w:w="60"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United States – Rx</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14,868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10,703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General Wellness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2,894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2,114</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Outside the United States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1,005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967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TAC-STIM</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227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271</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In-License / Other</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45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Total Net Sales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19,034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14,100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$4.4 million to $16.5 million for the six months ended June 30, 2026 compared to the six months ended June 30, 2025. The increase in gross profit is primarily attributable to the increased net sales. Gross margin increased to 86.9% for the six months ended June 30, 2026 compared to 86.8%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of $1.6 million for the six months ended June 30, 2026, increased by $0.4 million compared to the prior year. This increase was primarily due to increased studies and grants, higher stock based compensation and initial costs to develop enhancements to our Truvaga mobile application.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$23.1 million for the six months ended June 30, 2026 which increased by $4.7 million compared to the previous year. Sales and marketing increased $3.2 million from the prior year. The increase in sales and marketing was primarily driven by $2.5 million of variable selling expenses, which contributed to a $4.9 million increase in sales. General and administrative expense increased $1.5 million from the prior year. This increase was primarily driven by $1.2 million of severance and $0.5 million of stock compensation expense associated with the former CEO’s retirement, $0.3 million in legal fees associated with the senior management changes, and $0.4 million in legal fees associated with ongoing litigation, partially offset by $0.5 million bad debt expense recorded in the three months ended June 30, 2025 (associated with a TAC-STIM receivable) that did not recur.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$0.6 million for the six months ended June 30, 2026, an increase of $0.3 million as compared to the six months ended June 30, 2025. The increase was primarily attributable to interest associated with the convertible term debt financing with Avenue. Other expense for the six months ended June 30, 2025 of approximately $0.2 million consisted primarily of non-recurring acquisition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from 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eligible, from time to time, to receive cash from the sale of our net operating losses under New Jersey’s Department of the Treasury - Division of Taxation NOL Transfer Program. During the six months ended June 30, 2026 and 2025, we received net cash payments of $321,000 and $48,000 from the sale of our New Jersey state net operating losses,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our cash, cash equivalents, and marketable securities was $10.0 million compared to $11.6 million at December 31, 2025.</w:t>
      </w:r>
    </w:p>
    <w:p>
      <w:pPr>
        <w:pStyle w:val="TextBody"/>
        <w:bidi w:val="0"/>
        <w:spacing w:before="0" w:after="0"/>
        <w:ind w:left="0" w:right="0" w:hanging="0"/>
        <w:jc w:val="left"/>
        <w:rPr>
          <w:caps w:val="false"/>
          <w:smallCaps w:val="false"/>
        </w:rPr>
      </w:pPr>
      <w:r>
        <w:rPr>
          <w:caps w:val="false"/>
          <w:smallCaps w:val="false"/>
        </w:rPr>
        <w:t> </w:t>
      </w:r>
    </w:p>
    <w:tbl>
      <w:tblPr>
        <w:tblW w:w="6793" w:type="dxa"/>
        <w:jc w:val="left"/>
        <w:tblInd w:w="0" w:type="dxa"/>
        <w:tblLayout w:type="fixed"/>
        <w:tblCellMar>
          <w:top w:w="0" w:type="dxa"/>
          <w:left w:w="0" w:type="dxa"/>
          <w:bottom w:w="0" w:type="dxa"/>
          <w:right w:w="0" w:type="dxa"/>
        </w:tblCellMar>
      </w:tblPr>
      <w:tblGrid>
        <w:gridCol w:w="3125"/>
        <w:gridCol w:w="60"/>
        <w:gridCol w:w="287"/>
        <w:gridCol w:w="1303"/>
        <w:gridCol w:w="195"/>
        <w:gridCol w:w="123"/>
        <w:gridCol w:w="287"/>
        <w:gridCol w:w="1303"/>
        <w:gridCol w:w="11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Net cash (used in) provided by</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03" w:type="dxa"/>
            <w:tcBorders/>
            <w:shd w:fill="FFFFFF" w:val="clear"/>
            <w:vAlign w:val="center"/>
          </w:tcPr>
          <w:p>
            <w:pPr>
              <w:pStyle w:val="TableContents"/>
              <w:bidi w:val="0"/>
              <w:spacing w:before="0" w:after="283"/>
              <w:jc w:val="right"/>
              <w:rPr/>
            </w:pPr>
            <w:r>
              <w:rPr/>
              <w:t>(6,526</w:t>
            </w:r>
          </w:p>
        </w:tc>
        <w:tc>
          <w:tcPr>
            <w:tcW w:w="195"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03" w:type="dxa"/>
            <w:tcBorders/>
            <w:shd w:fill="FFFFFF" w:val="clear"/>
            <w:vAlign w:val="center"/>
          </w:tcPr>
          <w:p>
            <w:pPr>
              <w:pStyle w:val="TableContents"/>
              <w:bidi w:val="0"/>
              <w:spacing w:before="0" w:after="283"/>
              <w:jc w:val="right"/>
              <w:rPr/>
            </w:pPr>
            <w:r>
              <w:rPr/>
              <w:t>(4,978</w:t>
            </w:r>
          </w:p>
        </w:tc>
        <w:tc>
          <w:tcPr>
            <w:tcW w:w="110" w:type="dxa"/>
            <w:tcBorders/>
            <w:shd w:fill="FFFFFF" w:val="clear"/>
            <w:vAlign w:val="center"/>
          </w:tcPr>
          <w:p>
            <w:pPr>
              <w:pStyle w:val="TableContents"/>
              <w:bidi w:val="0"/>
              <w:spacing w:before="0" w:after="283"/>
              <w:jc w:val="left"/>
              <w:rPr/>
            </w:pPr>
            <w:r>
              <w:rPr/>
              <w:t>)</w:t>
            </w:r>
          </w:p>
        </w:tc>
      </w:tr>
      <w:tr>
        <w:trPr/>
        <w:tc>
          <w:tcPr>
            <w:tcW w:w="312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3,027</w:t>
            </w:r>
          </w:p>
        </w:tc>
        <w:tc>
          <w:tcPr>
            <w:tcW w:w="19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4,685</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03" w:type="dxa"/>
            <w:tcBorders/>
            <w:shd w:fill="FFFFFF" w:val="clear"/>
            <w:vAlign w:val="center"/>
          </w:tcPr>
          <w:p>
            <w:pPr>
              <w:pStyle w:val="TableContents"/>
              <w:bidi w:val="0"/>
              <w:spacing w:before="0" w:after="283"/>
              <w:jc w:val="right"/>
              <w:rPr/>
            </w:pPr>
            <w:r>
              <w:rPr/>
              <w:t>4,974</w:t>
            </w:r>
          </w:p>
        </w:tc>
        <w:tc>
          <w:tcPr>
            <w:tcW w:w="19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03" w:type="dxa"/>
            <w:tcBorders/>
            <w:shd w:fill="FFFFFF" w:val="clear"/>
            <w:vAlign w:val="center"/>
          </w:tcPr>
          <w:p>
            <w:pPr>
              <w:pStyle w:val="TableContents"/>
              <w:bidi w:val="0"/>
              <w:spacing w:before="0" w:after="283"/>
              <w:jc w:val="right"/>
              <w:rPr/>
            </w:pPr>
            <w:r>
              <w:rPr/>
              <w:t>183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$6.5 million and $5.0 million for the six months ended June 30, 2026 and 2025, respectively. The increase of $1.5 million in operating cash used is primarily due to investments in higher inventory levels and the timing in payment of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$3.0 million and $4.7 million for the six months ended June 30, 2026 and 2025, respectively. During the six months ended June 30, 2026 and June 30, 2025, cash used in investing activities was related to the proceeds from the sale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was $5.0 million which was attributable to $3.9 million of net proceeds from the sale of ATM Shares pursuant to the Sales Agreement and the exercise of warrants and options in the amount of $0.8 million and $0.3 million, respectively. During the six months ended June 30, 2025, net cash provided by financing activities was $0.2 million which was attributable to sale of ATM Shares pursuant to the Sales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Liquidity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net losses, and we expect to continue to incur net losses for the near future as we work to increase market acceptance of our products. We have never been profitable and we have incurred net losses and negative cash used in operations in each year since our inception. We incurred net losses of $8.3 million and $7.5 million, and used cash in our operations of $6.5 million and $5.0 million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funded its operations with the proceeds of equity and debt financings. As of June 30, 2026, the Company’s cash, cash equivalents and marketable securities totalled $10.0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repayments under the Loan and Security Agreement are scheduled for $2.5 million in 2027, $3.0 million in 2028 and $2.3 million in 2029 (inclusive of a final payment fee of 3.5% of the loan amount). See </w:t>
      </w:r>
      <w:r>
        <w:rPr>
          <w:rFonts w:ascii="Times New Roman;Times;Serif" w:hAnsi="Times New Roman;Times;Serif"/>
          <w:b w:val="false"/>
          <w:i/>
          <w:caps w:val="false"/>
          <w:smallCaps w:val="false"/>
          <w:sz w:val="20"/>
        </w:rPr>
        <w:t>Note 9 – Long-Term Debt</w:t>
      </w:r>
      <w:r>
        <w:rPr>
          <w:rFonts w:ascii="Times New Roman;Times;Serif" w:hAnsi="Times New Roman;Times;Serif"/>
          <w:b w:val="false"/>
          <w:i w:val="false"/>
          <w:caps w:val="false"/>
          <w:smallCaps w:val="false"/>
          <w:sz w:val="20"/>
        </w:rPr>
        <w:t xml:space="preserve"> in the condensed consolidated financial statements for additional details of our current and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remainder of 2026, we intend to continue to make targeted investments in sales, marketing, and research and development to continue driving commercial activities. We have historically funded our operations from the sale of our common stock and debt financing and may continue to do so through utilization of the at-the-market facility pursuant to the Sales Agreement, or other equity or debt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expected cash flow from operations and expected access to capital from existing and/or future debt and equity sources, the Company’s currently forecasted cash is less than the requirements to fund its operating expenses, future investments and capital expenditure requirements, as currently planned, for at least the next 12 months from the date the accompanying condensed consolidated financial statements are issued. These factors raise substantial doubt regarding the Company’s ability to continue as a going concern. There remain significant risks and uncertainties regarding the Company’s business, financial condition and results of operations. Due to these risks and uncertainties, there can be no assurance that we will have sufficient cash flow and liquidity to fund our planned activities, which could force us to significantly reduce or curtail our activities and, ultimately, potentially cease operations. The accompanying condensed consolidated financial statements do not include any adjustment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“Capital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have any off-balance sheet arrangements, as defined in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evaluate all new accounting pronouncements issued by the FASB, SEC, or other authoritative accounting bodies to determine the potential impact they may have on our Condensed Consolidated Financial Statements. See Note 2 “Basis of Presentation” of the notes to our condensed consolidated financial statements in this Quarterly Report for additional information about these recently issued accounting standards and their potential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8" w:name="a_009"/>
      <w:bookmarkEnd w:id="61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our products in the United States and sell those products into several countries. As a result, our financial results could be affected by factors such as changes in foreign currency exchange rates or weak economic conditions in foreign markets. Most of our sales in Europe are denominated in British Pound Sterling and our license agreement with Teijin is denominated in Japanese Yen.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U.S. dollar uniformly increased or decreased in strength by 15% relative to the foreign currencies in which our sales were denominated, our net income would have correspondingly increased or decreased by an immaterial amount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investigational sites, suppliers and other vendors in Europe and internationally. In addition, our license agreement requires payments to us to be denominated in Japanese Yen. We are subject to fluctuations in foreign currency rates in connection with these agreements. We do not hedge our foreign currency 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potential changes noted above are based on sensitivity analyses performed on our financial position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9" w:name="a_010"/>
      <w:bookmarkEnd w:id="61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 making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of the Exchange Act, an evaluation as of June 30, 2026 was conducted under the supervision and with the participation of our management, including our Interim President and Chief Financial Officer, of the effectiveness of our disclosure controls and procedures (as defined in Rule 13a-15(e) under the Exchange Act). Based on this evaluation, the Interim President and Chief Financial Officer concluded that our disclosure controls and procedures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of Prior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 for the year ended December 31, 2025, management identified a deficiency in its internal control over financial reporting related to the accuracy of its lease accounting. The Company previously recorded a lease modification in conjunction with the lease expansion of its Rockaway location in the second quarter of 2024. During the fourth quarter of 2025, the Company discovered an error in the lease payments used in the initial calculations in conjunction with the lease modification. While the error did not result in a material misstatement or a restatement of the Company’s consolidated financial statements, management concluded that there was a reasonable possibility that a material misstatement could have occurred without being prevented or detected on a timely basis, and therefore, the control deficiency was deemed to be a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management has completed its remediation measures designed to address the material weakness identified above. These measures included the implementation of an enhanced review control over the accounting for leases and any other significant non-routine transactions, including enhanced management review and approval procedures. In addition, the Company hired a new controller in September 2025 who management believes has the technical accounting skills and breadth of supervisory and review skills necessary to oversee the accounting function.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changes described above, there was no change in our internal control over financial reporting as such term is defined in Rules 13a-15(f) and 15d-15(f) under the Exchange Act, that occurred during the three and six months ended June 30, 2026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0" w:name="a_011"/>
      <w:bookmarkEnd w:id="620"/>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1" w:name="a_012"/>
      <w:bookmarkEnd w:id="621"/>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“Note 15. Commitments and Contingencies” of the condensed consolidated financial statements included in this Quarterly Report is incorporated here by reference to this Part II Item 1. For additional information regarding the risks associated with the regulation of our FDA-cleared medical devices, please refer to “Risks Related to Regulation of our Industry” in Item 1A of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2" w:name="a_013"/>
      <w:bookmarkEnd w:id="62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risk factors included in Item 1A. of the Annual Report, the risk factors included in any quarterly report filed subsequent to the Annual Report, and the other information in this Quarterly Report, including the section of this Quarterly Report titled “Management’s Discussion and Analysis of Financial Condition and Results of Operations”, our financial statements and related notes. If any of the events described in the Annual Report, in any quarterly report filed subsequent to the Annual Report, and the risks described elsewhere in this Quarterly Report occur, our business, operating results and financial condition could be seriously harmed. This Quarterly Report also contains forward-looking statements that involve risks and uncertainties. Our actual results could differ materially from those anticipated in the forward-looking statements as a result of factors that are described in the Annual Report, in any quarterly report filed subsequent to the Annual Report, and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3" w:name="a_015"/>
      <w:bookmarkEnd w:id="623"/>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4" w:name="a_016"/>
      <w:bookmarkEnd w:id="624"/>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5" w:name="a_017"/>
      <w:bookmarkEnd w:id="62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6" w:name="a_018"/>
      <w:bookmarkEnd w:id="62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applicable.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applicable.</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Trading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no director or Section 16 officer </w:t>
      </w:r>
      <w:bookmarkStart w:id="627" w:name="xdx_90F_eecd--NonRule10b51ArrAdoptedFlag"/>
      <w:bookmarkStart w:id="628" w:name="xdx_901_eecd--Rule10b51ArrAdoptedFlag_db"/>
      <w:bookmarkEnd w:id="627"/>
      <w:bookmarkEnd w:id="628"/>
      <w:r>
        <w:rPr>
          <w:rFonts w:ascii="Times New Roman;Times;Serif" w:hAnsi="Times New Roman;Times;Serif"/>
          <w:b w:val="false"/>
          <w:i w:val="false"/>
          <w:caps w:val="false"/>
          <w:smallCaps w:val="false"/>
          <w:sz w:val="20"/>
        </w:rPr>
        <w:t xml:space="preserve">adopted or </w:t>
      </w:r>
      <w:bookmarkStart w:id="629" w:name="xdx_903_eecd--NonRule10b51ArrTrmntdFlag_"/>
      <w:bookmarkStart w:id="630" w:name="xdx_901_eecd--Rule10b51ArrTrmntdFlag_dbF"/>
      <w:bookmarkEnd w:id="629"/>
      <w:bookmarkEnd w:id="630"/>
      <w:r>
        <w:rPr>
          <w:rFonts w:ascii="Times New Roman;Times;Serif" w:hAnsi="Times New Roman;Times;Serif"/>
          <w:b w:val="false"/>
          <w:i w:val="false"/>
          <w:caps w:val="false"/>
          <w:smallCaps w:val="false"/>
          <w:sz w:val="20"/>
        </w:rPr>
        <w:t>terminated any Rule 10b5-1 trading arrangements or non-Rule 10b5-1 trading arrangements (in each case, as defined in Item 408(a) of Regulation S-K promulgated by the SEC).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631" w:name="a_019"/>
      <w:bookmarkEnd w:id="631"/>
      <w:r>
        <w:rPr>
          <w:rFonts w:ascii="Times New Roman;Times;Serif" w:hAnsi="Times New Roman;Times;Serif"/>
          <w:b/>
          <w:i/>
          <w:caps w:val="false"/>
          <w:smallCaps w:val="false"/>
          <w:sz w:val="20"/>
        </w:rPr>
        <w:t xml:space="preserve">Item 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
        <w:gridCol w:w="60"/>
        <w:gridCol w:w="9393"/>
      </w:tblGrid>
      <w:tr>
        <w:trPr/>
        <w:tc>
          <w:tcPr>
            <w:tcW w:w="75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69" w:type="dxa"/>
            <w:tcBorders/>
            <w:vAlign w:val="center"/>
          </w:tcPr>
          <w:p>
            <w:pPr>
              <w:pStyle w:val="TableContents"/>
              <w:bidi w:val="0"/>
              <w:spacing w:before="0" w:after="283"/>
              <w:jc w:val="left"/>
              <w:rPr>
                <w:caps w:val="false"/>
                <w:smallCaps w:val="false"/>
              </w:rPr>
            </w:pPr>
            <w:r>
              <w:rPr>
                <w:caps w:val="false"/>
                <w:smallCaps w:val="false"/>
              </w:rPr>
              <w:t> </w:t>
            </w:r>
          </w:p>
        </w:tc>
        <w:tc>
          <w:tcPr>
            <w:tcW w:w="100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 attached as Exhibit 32.1 that accompanies this Quarterly Report is not deemed filed with the SEC and is not to be incorporated by reference into any filing of electroCore, Inc. under the Securities Act of 1933 or the Securities Exchange Act of 1934, whether made before or after the date of this Quarterly Report, irrespective of any general incorporation language contained in such filing.</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32" w:name="a_020"/>
      <w:bookmarkEnd w:id="632"/>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Quarterly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1760"/>
        <w:gridCol w:w="320"/>
        <w:gridCol w:w="654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8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Joshua S. Lev</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S. Lev</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President and Chief Financial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 and 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633" w:name="ex31-1.htm"/>
      <w:bookmarkStart w:id="634" w:name="ksex311"/>
      <w:bookmarkEnd w:id="633"/>
      <w:bookmarkEnd w:id="634"/>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Joshua S. Lev,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electroCore, Inc.;</w:t>
            </w:r>
          </w:p>
        </w:tc>
      </w:tr>
      <w:tr>
        <w:trPr/>
        <w:tc>
          <w:tcPr>
            <w:tcW w:w="157" w:type="dxa"/>
            <w:tcBorders/>
            <w:vAlign w:val="center"/>
          </w:tcPr>
          <w:p>
            <w:pPr>
              <w:pStyle w:val="TableContents"/>
              <w:bidi w:val="0"/>
              <w:spacing w:before="0" w:after="283"/>
              <w:jc w:val="left"/>
              <w:rPr/>
            </w:pPr>
            <w:r>
              <w:rPr/>
              <w:t> </w:t>
            </w:r>
          </w:p>
        </w:tc>
        <w:tc>
          <w:tcPr>
            <w:tcW w:w="10048" w:type="dxa"/>
            <w:tcBorders/>
            <w:vAlign w:val="center"/>
          </w:tcPr>
          <w:p>
            <w:pPr>
              <w:pStyle w:val="TableContents"/>
              <w:bidi w:val="0"/>
              <w:spacing w:before="0" w:after="283"/>
              <w:jc w:val="both"/>
              <w:rPr/>
            </w:pPr>
            <w:r>
              <w:rPr/>
              <w:t> </w:t>
            </w:r>
          </w:p>
        </w:tc>
      </w:tr>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left"/>
              <w:rPr/>
            </w:pPr>
            <w:r>
              <w:rPr/>
              <w:t> </w:t>
            </w:r>
          </w:p>
        </w:tc>
        <w:tc>
          <w:tcPr>
            <w:tcW w:w="10048" w:type="dxa"/>
            <w:tcBorders/>
            <w:vAlign w:val="center"/>
          </w:tcPr>
          <w:p>
            <w:pPr>
              <w:pStyle w:val="TableContents"/>
              <w:bidi w:val="0"/>
              <w:spacing w:before="0" w:after="283"/>
              <w:jc w:val="both"/>
              <w:rPr/>
            </w:pPr>
            <w:r>
              <w:rPr/>
              <w:t> </w:t>
            </w:r>
          </w:p>
        </w:tc>
      </w:tr>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left"/>
              <w:rPr/>
            </w:pPr>
            <w:r>
              <w:rPr/>
              <w:t> </w:t>
            </w:r>
          </w:p>
        </w:tc>
        <w:tc>
          <w:tcPr>
            <w:tcW w:w="10048" w:type="dxa"/>
            <w:tcBorders/>
            <w:vAlign w:val="center"/>
          </w:tcPr>
          <w:p>
            <w:pPr>
              <w:pStyle w:val="TableContents"/>
              <w:bidi w:val="0"/>
              <w:spacing w:before="0" w:after="283"/>
              <w:jc w:val="both"/>
              <w:rPr/>
            </w:pPr>
            <w:r>
              <w:rPr/>
              <w:t> </w:t>
            </w:r>
          </w:p>
        </w:tc>
      </w:tr>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760"/>
        <w:gridCol w:w="6230"/>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6230" w:type="dxa"/>
            <w:tcBorders>
              <w:bottom w:val="single" w:sz="8" w:space="0" w:color="000000"/>
            </w:tcBorders>
            <w:tcMar>
              <w:bottom w:w="28" w:type="dxa"/>
            </w:tcMar>
            <w:vAlign w:val="center"/>
          </w:tcPr>
          <w:p>
            <w:pPr>
              <w:pStyle w:val="TableContents"/>
              <w:bidi w:val="0"/>
              <w:spacing w:before="0" w:after="283"/>
              <w:jc w:val="center"/>
              <w:rPr>
                <w:i/>
              </w:rPr>
            </w:pPr>
            <w:r>
              <w:rPr>
                <w:i/>
              </w:rPr>
              <w:t>/s/ Joshua S. Lev</w:t>
            </w:r>
          </w:p>
        </w:tc>
      </w:tr>
      <w:tr>
        <w:trPr/>
        <w:tc>
          <w:tcPr>
            <w:tcW w:w="17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Joshua S. Lev</w:t>
            </w:r>
          </w:p>
        </w:tc>
      </w:tr>
      <w:tr>
        <w:trPr/>
        <w:tc>
          <w:tcPr>
            <w:tcW w:w="17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Interim President and Chief Financial Officer</w:t>
            </w:r>
          </w:p>
        </w:tc>
      </w:tr>
      <w:tr>
        <w:trPr/>
        <w:tc>
          <w:tcPr>
            <w:tcW w:w="17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Executive Officer, Principal Financial and Accounting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pPr>
      <w:bookmarkStart w:id="635" w:name="ex32-1.htm"/>
      <w:bookmarkStart w:id="636" w:name="ksex321"/>
      <w:bookmarkEnd w:id="635"/>
      <w:bookmarkEnd w:id="636"/>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electroCore, Inc, (the “Company”) for the period ended June 30, 2026 as filed with the Securities and Exchange Commission on the date hereof (the “Report”), the undersigned, Joshua S. Lev, as Interim President and Chief Financial Officer of the Company, hereby certifies, pursuant to 18 U.S.C. Section 1350, that to the best of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complies with the requirements of Section 13(a) or 15(d) of the Securities Exchange Act of 1934; and</w:t>
            </w:r>
          </w:p>
        </w:tc>
      </w:tr>
      <w:tr>
        <w:trPr/>
        <w:tc>
          <w:tcPr>
            <w:tcW w:w="177" w:type="dxa"/>
            <w:tcBorders/>
            <w:vAlign w:val="center"/>
          </w:tcPr>
          <w:p>
            <w:pPr>
              <w:pStyle w:val="TableContents"/>
              <w:bidi w:val="0"/>
              <w:spacing w:before="0" w:after="283"/>
              <w:jc w:val="both"/>
              <w:rPr/>
            </w:pPr>
            <w:r>
              <w:rPr/>
              <w:t> </w:t>
            </w:r>
          </w:p>
        </w:tc>
        <w:tc>
          <w:tcPr>
            <w:tcW w:w="10028" w:type="dxa"/>
            <w:tcBorders/>
            <w:vAlign w:val="center"/>
          </w:tcPr>
          <w:p>
            <w:pPr>
              <w:pStyle w:val="TableContents"/>
              <w:bidi w:val="0"/>
              <w:spacing w:before="0" w:after="283"/>
              <w:jc w:val="both"/>
              <w:rPr/>
            </w:pPr>
            <w:r>
              <w:rPr/>
              <w:t> </w:t>
            </w:r>
          </w:p>
        </w:tc>
      </w:tr>
      <w:tr>
        <w:trPr/>
        <w:tc>
          <w:tcPr>
            <w:tcW w:w="1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760"/>
        <w:gridCol w:w="6230"/>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6230" w:type="dxa"/>
            <w:tcBorders>
              <w:bottom w:val="single" w:sz="8" w:space="0" w:color="000000"/>
            </w:tcBorders>
            <w:tcMar>
              <w:bottom w:w="28" w:type="dxa"/>
            </w:tcMar>
            <w:vAlign w:val="center"/>
          </w:tcPr>
          <w:p>
            <w:pPr>
              <w:pStyle w:val="TableContents"/>
              <w:bidi w:val="0"/>
              <w:spacing w:before="0" w:after="283"/>
              <w:jc w:val="center"/>
              <w:rPr>
                <w:i/>
              </w:rPr>
            </w:pPr>
            <w:r>
              <w:rPr>
                <w:i/>
              </w:rPr>
              <w:t>/s/ Joshua S. Lev</w:t>
            </w:r>
          </w:p>
        </w:tc>
      </w:tr>
      <w:tr>
        <w:trPr/>
        <w:tc>
          <w:tcPr>
            <w:tcW w:w="17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Joshua S. Lev</w:t>
            </w:r>
          </w:p>
        </w:tc>
      </w:tr>
      <w:tr>
        <w:trPr/>
        <w:tc>
          <w:tcPr>
            <w:tcW w:w="17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Interim President and Chief Financial Officer</w:t>
            </w:r>
          </w:p>
        </w:tc>
      </w:tr>
      <w:tr>
        <w:trPr/>
        <w:tc>
          <w:tcPr>
            <w:tcW w:w="17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Executive Officer, Principal Financial and Accounting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16595</Words>
  <Characters>90205</Characters>
  <CharactersWithSpaces>108261</CharactersWithSpaces>
  <Paragraphs>5338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