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167005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auto"/>
        </w:rPr>
        <w:t>FORM 10-K</w:t>
      </w:r>
    </w:p>
    <w:p>
      <w:pPr>
        <w:spacing w:after="0" w:line="200" w:lineRule="exact"/>
        <w:rPr>
          <w:sz w:val="24"/>
          <w:szCs w:val="24"/>
          <w:color w:val="auto"/>
        </w:rPr>
      </w:pPr>
    </w:p>
    <w:p>
      <w:pPr>
        <w:spacing w:after="0" w:line="368"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4380" w:hanging="977"/>
        <w:spacing w:after="0"/>
        <w:tabs>
          <w:tab w:leader="none" w:pos="4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w:t>
      </w:r>
    </w:p>
    <w:p>
      <w:pPr>
        <w:spacing w:after="0" w:line="29"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SECTION 13 OR 15(d) OF THE SECURITIES</w:t>
      </w:r>
    </w:p>
    <w:p>
      <w:pPr>
        <w:spacing w:after="0" w:line="7" w:lineRule="exact"/>
        <w:rPr>
          <w:rFonts w:ascii="MS PGothic" w:cs="MS PGothic" w:eastAsia="MS PGothic" w:hAnsi="MS PGothic"/>
          <w:sz w:val="18"/>
          <w:szCs w:val="18"/>
          <w:color w:val="auto"/>
        </w:rPr>
      </w:pPr>
    </w:p>
    <w:p>
      <w:pPr>
        <w:ind w:left="4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020" w:hanging="678"/>
        <w:spacing w:after="0"/>
        <w:tabs>
          <w:tab w:leader="none" w:pos="40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w:t>
      </w:r>
    </w:p>
    <w:p>
      <w:pPr>
        <w:spacing w:after="0" w:line="29"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SECTION 13 OR 15(d) OF THE SECURITIES</w:t>
      </w:r>
    </w:p>
    <w:p>
      <w:pPr>
        <w:spacing w:after="0" w:line="7" w:lineRule="exact"/>
        <w:rPr>
          <w:rFonts w:ascii="MS PGothic" w:cs="MS PGothic" w:eastAsia="MS PGothic" w:hAnsi="MS PGothic"/>
          <w:sz w:val="18"/>
          <w:szCs w:val="18"/>
          <w:color w:val="auto"/>
        </w:rPr>
      </w:pPr>
    </w:p>
    <w:p>
      <w:pPr>
        <w:ind w:left="45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45" w:lineRule="exact"/>
        <w:rPr>
          <w:sz w:val="24"/>
          <w:szCs w:val="24"/>
          <w:color w:val="auto"/>
        </w:rPr>
      </w:pPr>
    </w:p>
    <w:p>
      <w:pPr>
        <w:ind w:left="3100"/>
        <w:spacing w:after="0"/>
        <w:tabs>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188595</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electroCore,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28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43"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93"/>
              </w:rPr>
              <w:t>Delaware</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jc w:val="right"/>
              <w:ind w:right="2285"/>
              <w:spacing w:after="0"/>
              <w:rPr>
                <w:sz w:val="20"/>
                <w:szCs w:val="20"/>
                <w:color w:val="auto"/>
              </w:rPr>
            </w:pPr>
            <w:r>
              <w:rPr>
                <w:rFonts w:ascii="Arial" w:cs="Arial" w:eastAsia="Arial" w:hAnsi="Arial"/>
                <w:sz w:val="18"/>
                <w:szCs w:val="18"/>
                <w:b w:val="1"/>
                <w:bCs w:val="1"/>
                <w:color w:val="auto"/>
              </w:rPr>
              <w:t>20-3454976</w:t>
            </w:r>
          </w:p>
        </w:tc>
        <w:tc>
          <w:tcPr>
            <w:tcW w:w="0" w:type="dxa"/>
            <w:vAlign w:val="bottom"/>
          </w:tcPr>
          <w:p>
            <w:pPr>
              <w:spacing w:after="0"/>
              <w:rPr>
                <w:sz w:val="1"/>
                <w:szCs w:val="1"/>
                <w:color w:val="auto"/>
              </w:rPr>
            </w:pPr>
          </w:p>
        </w:tc>
      </w:tr>
      <w:tr>
        <w:trPr>
          <w:trHeight w:val="126"/>
        </w:trPr>
        <w:tc>
          <w:tcPr>
            <w:tcW w:w="4800" w:type="dxa"/>
            <w:vAlign w:val="bottom"/>
            <w:gridSpan w:val="2"/>
            <w:vMerge w:val="restart"/>
          </w:tcPr>
          <w:p>
            <w:pPr>
              <w:jc w:val="center"/>
              <w:ind w:left="70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80" w:type="dxa"/>
            <w:vAlign w:val="bottom"/>
          </w:tcPr>
          <w:p>
            <w:pPr>
              <w:jc w:val="center"/>
              <w:ind w:right="1825"/>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44"/>
        </w:trPr>
        <w:tc>
          <w:tcPr>
            <w:tcW w:w="48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jc w:val="center"/>
              <w:ind w:right="1825"/>
              <w:spacing w:after="0" w:line="144"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4"/>
        </w:trPr>
        <w:tc>
          <w:tcPr>
            <w:tcW w:w="4800" w:type="dxa"/>
            <w:vAlign w:val="bottom"/>
            <w:gridSpan w:val="2"/>
          </w:tcPr>
          <w:p>
            <w:pPr>
              <w:ind w:left="1160"/>
              <w:spacing w:after="0"/>
              <w:rPr>
                <w:sz w:val="20"/>
                <w:szCs w:val="20"/>
                <w:color w:val="auto"/>
              </w:rPr>
            </w:pPr>
            <w:r>
              <w:rPr>
                <w:rFonts w:ascii="Arial" w:cs="Arial" w:eastAsia="Arial" w:hAnsi="Arial"/>
                <w:sz w:val="18"/>
                <w:szCs w:val="18"/>
                <w:b w:val="1"/>
                <w:bCs w:val="1"/>
                <w:color w:val="auto"/>
              </w:rPr>
              <w:t>200 Forge Way, Suite 205, Rockaway, NJ</w:t>
            </w: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80" w:type="dxa"/>
            <w:vAlign w:val="bottom"/>
          </w:tcPr>
          <w:p>
            <w:pPr>
              <w:jc w:val="right"/>
              <w:ind w:right="2485"/>
              <w:spacing w:after="0"/>
              <w:rPr>
                <w:sz w:val="20"/>
                <w:szCs w:val="20"/>
                <w:color w:val="auto"/>
              </w:rPr>
            </w:pPr>
            <w:r>
              <w:rPr>
                <w:rFonts w:ascii="Arial" w:cs="Arial" w:eastAsia="Arial" w:hAnsi="Arial"/>
                <w:sz w:val="18"/>
                <w:szCs w:val="18"/>
                <w:b w:val="1"/>
                <w:bCs w:val="1"/>
                <w:color w:val="auto"/>
              </w:rPr>
              <w:t>07866</w:t>
            </w:r>
          </w:p>
        </w:tc>
        <w:tc>
          <w:tcPr>
            <w:tcW w:w="0" w:type="dxa"/>
            <w:vAlign w:val="bottom"/>
          </w:tcPr>
          <w:p>
            <w:pPr>
              <w:spacing w:after="0"/>
              <w:rPr>
                <w:sz w:val="1"/>
                <w:szCs w:val="1"/>
                <w:color w:val="auto"/>
              </w:rPr>
            </w:pPr>
          </w:p>
        </w:tc>
      </w:tr>
      <w:tr>
        <w:trPr>
          <w:trHeight w:val="240"/>
        </w:trPr>
        <w:tc>
          <w:tcPr>
            <w:tcW w:w="4800" w:type="dxa"/>
            <w:vAlign w:val="bottom"/>
            <w:gridSpan w:val="2"/>
          </w:tcPr>
          <w:p>
            <w:pPr>
              <w:jc w:val="center"/>
              <w:ind w:left="702"/>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80" w:type="dxa"/>
            <w:vAlign w:val="bottom"/>
          </w:tcPr>
          <w:p>
            <w:pPr>
              <w:jc w:val="center"/>
              <w:ind w:right="182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73"/>
        </w:trPr>
        <w:tc>
          <w:tcPr>
            <w:tcW w:w="1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(973) 290-0097</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4"/>
        </w:trPr>
        <w:tc>
          <w:tcPr>
            <w:tcW w:w="7580" w:type="dxa"/>
            <w:vAlign w:val="bottom"/>
            <w:gridSpan w:val="4"/>
          </w:tcPr>
          <w:p>
            <w:pPr>
              <w:jc w:val="center"/>
              <w:ind w:left="3582"/>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9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15"/>
                <w:szCs w:val="15"/>
                <w:color w:val="auto"/>
                <w:w w:val="93"/>
              </w:rPr>
              <w:t>Trading symbol(s)</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Name of each exchange on which registered</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88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15"/>
                <w:szCs w:val="15"/>
                <w:b w:val="1"/>
                <w:bCs w:val="1"/>
                <w:color w:val="auto"/>
              </w:rPr>
              <w:t>ECOR</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Nasdaq Global Select Stock Market</w:t>
            </w:r>
          </w:p>
        </w:tc>
        <w:tc>
          <w:tcPr>
            <w:tcW w:w="0" w:type="dxa"/>
            <w:vAlign w:val="bottom"/>
          </w:tcPr>
          <w:p>
            <w:pPr>
              <w:spacing w:after="0"/>
              <w:rPr>
                <w:sz w:val="1"/>
                <w:szCs w:val="1"/>
                <w:color w:val="auto"/>
              </w:rPr>
            </w:pPr>
          </w:p>
        </w:tc>
      </w:tr>
    </w:tbl>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69" w:lineRule="exact"/>
        <w:rPr>
          <w:sz w:val="24"/>
          <w:szCs w:val="24"/>
          <w:color w:val="auto"/>
        </w:rPr>
      </w:pPr>
    </w:p>
    <w:p>
      <w:pPr>
        <w:ind w:right="3100"/>
        <w:spacing w:after="0" w:line="24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7" w:lineRule="exact"/>
        <w:rPr>
          <w:sz w:val="24"/>
          <w:szCs w:val="24"/>
          <w:color w:val="auto"/>
        </w:rPr>
      </w:pPr>
    </w:p>
    <w:p>
      <w:pPr>
        <w:ind w:right="16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100"/>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1"/>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14" w:lineRule="exact"/>
        <w:rPr>
          <w:sz w:val="24"/>
          <w:szCs w:val="24"/>
          <w:color w:val="auto"/>
        </w:rPr>
      </w:pPr>
    </w:p>
    <w:p>
      <w:pPr>
        <w:ind w:right="62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0"/>
        <w:spacing w:after="0" w:line="18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03" w:lineRule="exact"/>
        <w:rPr>
          <w:sz w:val="24"/>
          <w:szCs w:val="24"/>
          <w:color w:val="auto"/>
        </w:rPr>
      </w:pPr>
    </w:p>
    <w:p>
      <w:pPr>
        <w:ind w:right="380"/>
        <w:spacing w:after="0" w:line="255"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Global Select Stock Market on June 30, 2020 was $27,865,926.</w:t>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The number of shares of Registrant’s Common Stock outstanding as </w:t>
      </w:r>
      <w:r>
        <w:rPr>
          <w:rFonts w:ascii="Arial" w:cs="Arial" w:eastAsia="Arial" w:hAnsi="Arial"/>
          <w:sz w:val="14"/>
          <w:szCs w:val="14"/>
          <w:color w:val="auto"/>
        </w:rPr>
        <w:t>of March 5, 2021 was 48,476,785.</w:t>
      </w:r>
    </w:p>
    <w:p>
      <w:pPr>
        <w:spacing w:after="0" w:line="84" w:lineRule="exact"/>
        <w:rPr>
          <w:sz w:val="24"/>
          <w:szCs w:val="24"/>
          <w:color w:val="auto"/>
        </w:rPr>
      </w:pPr>
    </w:p>
    <w:p>
      <w:pPr>
        <w:ind w:right="740"/>
        <w:spacing w:after="0" w:line="255" w:lineRule="auto"/>
        <w:rPr>
          <w:sz w:val="20"/>
          <w:szCs w:val="20"/>
          <w:color w:val="auto"/>
        </w:rPr>
      </w:pPr>
      <w:r>
        <w:rPr>
          <w:rFonts w:ascii="Arial" w:cs="Arial" w:eastAsia="Arial" w:hAnsi="Arial"/>
          <w:sz w:val="15"/>
          <w:szCs w:val="15"/>
          <w:color w:val="auto"/>
        </w:rPr>
        <w:t>Portions of the Registrant’s Definitive Proxy Statement relating to the 2021 Annual Meeting of Stockholders, which will be filed with the Securities Exchange Commission within 120 days after the end of the Registrant’s fiscal year ended December 31,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17" w:right="319" w:bottom="74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860" w:type="dxa"/>
            <w:vAlign w:val="bottom"/>
          </w:tcPr>
          <w:p>
            <w:pPr>
              <w:ind w:left="4000"/>
              <w:spacing w:after="0"/>
              <w:rPr>
                <w:sz w:val="20"/>
                <w:szCs w:val="20"/>
                <w:color w:val="auto"/>
              </w:rPr>
            </w:pPr>
            <w:r>
              <w:rPr>
                <w:rFonts w:ascii="Arial" w:cs="Arial" w:eastAsia="Arial" w:hAnsi="Arial"/>
                <w:sz w:val="18"/>
                <w:szCs w:val="18"/>
                <w:b w:val="1"/>
                <w:bCs w:val="1"/>
                <w:color w:val="auto"/>
              </w:rPr>
              <w:t>Table of Content</w:t>
            </w:r>
          </w:p>
        </w:tc>
        <w:tc>
          <w:tcPr>
            <w:tcW w:w="960" w:type="dxa"/>
            <w:vAlign w:val="bottom"/>
          </w:tcPr>
          <w:p>
            <w:pPr>
              <w:ind w:left="600"/>
              <w:spacing w:after="0"/>
              <w:rPr>
                <w:sz w:val="20"/>
                <w:szCs w:val="20"/>
                <w:color w:val="auto"/>
              </w:rPr>
            </w:pPr>
            <w:r>
              <w:rPr>
                <w:rFonts w:ascii="Arial" w:cs="Arial" w:eastAsia="Arial" w:hAnsi="Arial"/>
                <w:sz w:val="18"/>
                <w:szCs w:val="18"/>
                <w:b w:val="1"/>
                <w:bCs w:val="1"/>
                <w:color w:val="auto"/>
                <w:w w:val="78"/>
              </w:rPr>
              <w:t>Page</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960" w:type="dxa"/>
            <w:vAlign w:val="bottom"/>
          </w:tcPr>
          <w:p>
            <w:pPr>
              <w:jc w:val="center"/>
              <w:ind w:left="510"/>
              <w:spacing w:after="0"/>
              <w:rPr>
                <w:sz w:val="20"/>
                <w:szCs w:val="20"/>
                <w:color w:val="auto"/>
              </w:rPr>
            </w:pPr>
            <w:r>
              <w:rPr>
                <w:rFonts w:ascii="Arial" w:cs="Arial" w:eastAsia="Arial" w:hAnsi="Arial"/>
                <w:sz w:val="18"/>
                <w:szCs w:val="18"/>
                <w:color w:val="auto"/>
                <w:w w:val="79"/>
              </w:rPr>
              <w:t>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860" w:type="dxa"/>
            <w:vAlign w:val="bottom"/>
          </w:tcPr>
          <w:p>
            <w:pPr>
              <w:ind w:left="20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23</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8860" w:type="dxa"/>
            <w:vAlign w:val="bottom"/>
          </w:tcPr>
          <w:p>
            <w:pPr>
              <w:ind w:left="2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Unresolved Staff Comments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tcPr>
          <w:p>
            <w:pPr>
              <w:ind w:left="2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Properties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860" w:type="dxa"/>
            <w:vAlign w:val="bottom"/>
          </w:tcPr>
          <w:p>
            <w:pPr>
              <w:ind w:left="2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Legal Proceedings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860" w:type="dxa"/>
            <w:vAlign w:val="bottom"/>
          </w:tcPr>
          <w:p>
            <w:pPr>
              <w:ind w:left="2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Mine Safety Disclosures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860" w:type="dxa"/>
            <w:vAlign w:val="bottom"/>
          </w:tcPr>
          <w:p>
            <w:pPr>
              <w:ind w:left="200"/>
              <w:spacing w:after="0"/>
              <w:rPr>
                <w:rFonts w:ascii="Arial" w:cs="Arial" w:eastAsia="Arial" w:hAnsi="Arial"/>
                <w:sz w:val="18"/>
                <w:szCs w:val="18"/>
                <w:u w:val="single" w:color="auto"/>
                <w:color w:val="0000EE"/>
                <w:w w:val="97"/>
              </w:rPr>
            </w:pPr>
            <w:hyperlink w:anchor="page85">
              <w:r>
                <w:rPr>
                  <w:rFonts w:ascii="Arial" w:cs="Arial" w:eastAsia="Arial" w:hAnsi="Arial"/>
                  <w:sz w:val="18"/>
                  <w:szCs w:val="18"/>
                  <w:u w:val="single" w:color="auto"/>
                  <w:color w:val="0000EE"/>
                  <w:w w:val="97"/>
                </w:rPr>
                <w:t>Market for Registrant’s Common Equity, Related Stockholder Matters and Issuer Purchases of Equity Securities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78</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86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Selected Financial Data</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78</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8860" w:type="dxa"/>
            <w:vAlign w:val="bottom"/>
          </w:tcPr>
          <w:p>
            <w:pPr>
              <w:ind w:left="2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79</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8860" w:type="dxa"/>
            <w:vAlign w:val="bottom"/>
          </w:tcPr>
          <w:p>
            <w:pPr>
              <w:ind w:left="20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Quantitative and Qualitative Disclosures About Market Risk</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8860" w:type="dxa"/>
            <w:vAlign w:val="bottom"/>
          </w:tcPr>
          <w:p>
            <w:pPr>
              <w:ind w:left="20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Financial Statements and Supplementary Data</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8860" w:type="dxa"/>
            <w:vAlign w:val="bottom"/>
          </w:tcPr>
          <w:p>
            <w:pPr>
              <w:ind w:left="20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Changes in and Disagreements with Accountants on Accounting and Financial Disclosure</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886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Controls and Procedures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90</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886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Other Information</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90</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886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Directors, Executive Officers and Corporate Governance</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886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Executive Compensation</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886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Security Ownership of Certain Beneficial Owners and Management and Related Stockholder Matters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886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Certain Relationships and Related Transactions, and Director Independence</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886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Principal Accounting Fees and Services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91</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886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Exhibits, Financial Statement Schedules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92</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886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Form 10-K Summary</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92</w:t>
            </w:r>
          </w:p>
        </w:tc>
      </w:tr>
    </w:tbl>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60" w:top="580" w:right="7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electroCore</w:t>
      </w:r>
    </w:p>
    <w:p>
      <w:pPr>
        <w:spacing w:after="0" w:line="12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this Annual Report, unless otherwise stated or the context otherwise indicates, references to “ECOR,” “electroCore,” “the Company,” “we,” “us,” “our” and similar references refer to electroCore, Inc., a Delaware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6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is a summary of certain important factors that may make an investment in our Company speculative or risky. You should carefully consider the full risk factor disclosure set forth in Item 1A of this Annual Report, in addition to the other information herein, including the section of this report titled “Management’s Discussion and Analysis of Financial Condition and Results of Operations” and our financial statements and related notes.</w:t>
      </w:r>
    </w:p>
    <w:p>
      <w:pPr>
        <w:spacing w:after="0" w:line="81" w:lineRule="exact"/>
        <w:rPr>
          <w:sz w:val="20"/>
          <w:szCs w:val="20"/>
          <w:color w:val="auto"/>
        </w:rPr>
      </w:pPr>
    </w:p>
    <w:p>
      <w:pPr>
        <w:ind w:left="340" w:hanging="20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coronavirus pandemic could have a significant negative impact on our business, revenues, financial condition and results of operations.</w:t>
      </w:r>
    </w:p>
    <w:p>
      <w:pPr>
        <w:spacing w:after="0" w:line="74" w:lineRule="exact"/>
        <w:rPr>
          <w:rFonts w:ascii="Arial" w:cs="Arial" w:eastAsia="Arial" w:hAnsi="Arial"/>
          <w:sz w:val="17"/>
          <w:szCs w:val="17"/>
          <w:color w:val="auto"/>
        </w:rPr>
      </w:pPr>
    </w:p>
    <w:p>
      <w:pPr>
        <w:ind w:left="340" w:right="22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If we do not achieve and sustain profitability, our financial condition could suffer. Our failure to become and remain profitable could negatively impact the results of our operations and your investment.</w:t>
      </w:r>
    </w:p>
    <w:p>
      <w:pPr>
        <w:spacing w:after="0" w:line="8" w:lineRule="exact"/>
        <w:rPr>
          <w:rFonts w:ascii="Arial" w:cs="Arial" w:eastAsia="Arial" w:hAnsi="Arial"/>
          <w:sz w:val="18"/>
          <w:szCs w:val="18"/>
          <w:color w:val="auto"/>
        </w:rPr>
      </w:pPr>
    </w:p>
    <w:p>
      <w:pPr>
        <w:ind w:left="340" w:right="6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required to obtain additional funds in the future, and these funds may not be available on acceptable terms or at all, which could impair our ability to continue as a going concern.</w:t>
      </w:r>
    </w:p>
    <w:p>
      <w:pPr>
        <w:spacing w:after="0" w:line="8" w:lineRule="exact"/>
        <w:rPr>
          <w:rFonts w:ascii="Arial" w:cs="Arial" w:eastAsia="Arial" w:hAnsi="Arial"/>
          <w:sz w:val="18"/>
          <w:szCs w:val="18"/>
          <w:color w:val="auto"/>
        </w:rPr>
      </w:pPr>
    </w:p>
    <w:p>
      <w:pPr>
        <w:ind w:left="340" w:right="80" w:hanging="200"/>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received an Emergency Use Authorization, or EUA, from the U.S. Food and Drug Administration, or FDA, in July 2020 to facilitate the study and clinical use of gammaCore Sapphire CV for the acute treatment of asthma exacerbations in known or suspected COVID-19 patients. There can be no assurance as to the impact, if any, that the EUA and commercialization of gammaCore Sapphire CV will have on us, our business, operations or financial condition.</w:t>
      </w:r>
    </w:p>
    <w:p>
      <w:pPr>
        <w:spacing w:after="0" w:line="24" w:lineRule="exact"/>
        <w:rPr>
          <w:rFonts w:ascii="Arial" w:cs="Arial" w:eastAsia="Arial" w:hAnsi="Arial"/>
          <w:sz w:val="18"/>
          <w:szCs w:val="18"/>
          <w:color w:val="auto"/>
        </w:rPr>
      </w:pPr>
    </w:p>
    <w:p>
      <w:pPr>
        <w:ind w:left="340" w:right="300" w:hanging="200"/>
        <w:spacing w:after="0" w:line="29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Commercializing our gammaCore Sapphire CV therapy for the acute treatment of asthma exacerbations in known or suspected COVID-19 patients may require targeted investment in research and development and expansion of our sales and marketing capabilities.</w:t>
      </w:r>
    </w:p>
    <w:p>
      <w:pPr>
        <w:ind w:left="340" w:right="58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third-party payers do not provide adequate coverage and reimbursement for the use of gammaCore, we may be unable to generate significant revenues.</w:t>
      </w:r>
    </w:p>
    <w:p>
      <w:pPr>
        <w:spacing w:after="0" w:line="8" w:lineRule="exact"/>
        <w:rPr>
          <w:rFonts w:ascii="Arial" w:cs="Arial" w:eastAsia="Arial" w:hAnsi="Arial"/>
          <w:sz w:val="18"/>
          <w:szCs w:val="18"/>
          <w:color w:val="auto"/>
        </w:rPr>
      </w:pPr>
    </w:p>
    <w:p>
      <w:pPr>
        <w:ind w:left="340" w:right="58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requirements and changes to payers’ prescription benefit plans and medical pathway plans could adversely impact our business and financial results.</w:t>
      </w:r>
    </w:p>
    <w:p>
      <w:pPr>
        <w:spacing w:after="0" w:line="8" w:lineRule="exact"/>
        <w:rPr>
          <w:rFonts w:ascii="Arial" w:cs="Arial" w:eastAsia="Arial" w:hAnsi="Arial"/>
          <w:sz w:val="18"/>
          <w:szCs w:val="18"/>
          <w:color w:val="auto"/>
        </w:rPr>
      </w:pPr>
    </w:p>
    <w:p>
      <w:pPr>
        <w:ind w:left="340" w:right="160" w:hanging="200"/>
        <w:spacing w:after="0" w:line="29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payers have been resistant to cover gammaCore through pharmacy benefit plans, which has hindered our commercialization strategy and required changes to our existing business that could delay and negatively impact our ability to generate revenue.</w:t>
      </w:r>
    </w:p>
    <w:p>
      <w:pPr>
        <w:ind w:left="340" w:right="340" w:hanging="200"/>
        <w:spacing w:after="0" w:line="27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demonstrate to physicians and third-party payers the medical and economic benefits of our gammaCore therapy compared to those of our competitors or other available therapies and such comparisons may not be realizable.</w:t>
      </w:r>
    </w:p>
    <w:p>
      <w:pPr>
        <w:spacing w:after="0" w:line="1" w:lineRule="exact"/>
        <w:rPr>
          <w:rFonts w:ascii="Arial" w:cs="Arial" w:eastAsia="Arial" w:hAnsi="Arial"/>
          <w:sz w:val="18"/>
          <w:szCs w:val="18"/>
          <w:color w:val="auto"/>
        </w:rPr>
      </w:pPr>
    </w:p>
    <w:p>
      <w:pPr>
        <w:ind w:left="340" w:hanging="20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operating results may vary significantly from quarter to quarter because of seasonality, bulk orders, shipments to distributors or otherwise.</w:t>
      </w:r>
    </w:p>
    <w:p>
      <w:pPr>
        <w:spacing w:after="0" w:line="88" w:lineRule="exact"/>
        <w:rPr>
          <w:rFonts w:ascii="Arial" w:cs="Arial" w:eastAsia="Arial" w:hAnsi="Arial"/>
          <w:sz w:val="17"/>
          <w:szCs w:val="17"/>
          <w:color w:val="auto"/>
        </w:rPr>
      </w:pPr>
    </w:p>
    <w:p>
      <w:pPr>
        <w:jc w:val="both"/>
        <w:ind w:left="340" w:hanging="200"/>
        <w:spacing w:after="0" w:line="24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Commercialization of our gammaCore Sapphire therapy for additional neurological conditions may require clinical trials that are very expensive, time-consuming, difficult to design and implement and involve uncertain outcomes. Furthermore, results of earlier preclinical studies and clinical trials may not be predictive of results of future preclinical studies, clinical trials or commercial success.</w:t>
      </w:r>
    </w:p>
    <w:p>
      <w:pPr>
        <w:spacing w:after="0" w:line="6" w:lineRule="exact"/>
        <w:rPr>
          <w:rFonts w:ascii="Arial" w:cs="Arial" w:eastAsia="Arial" w:hAnsi="Arial"/>
          <w:sz w:val="18"/>
          <w:szCs w:val="18"/>
          <w:color w:val="auto"/>
        </w:rPr>
      </w:pPr>
    </w:p>
    <w:p>
      <w:pPr>
        <w:ind w:left="340" w:hanging="20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develop and retain an effective sales and customer service function, our business could suffer.</w:t>
      </w:r>
    </w:p>
    <w:p>
      <w:pPr>
        <w:spacing w:after="0" w:line="76" w:lineRule="exact"/>
        <w:rPr>
          <w:rFonts w:ascii="Arial" w:cs="Arial" w:eastAsia="Arial" w:hAnsi="Arial"/>
          <w:sz w:val="18"/>
          <w:szCs w:val="18"/>
          <w:color w:val="auto"/>
        </w:rPr>
      </w:pPr>
    </w:p>
    <w:p>
      <w:pPr>
        <w:ind w:left="340" w:right="560" w:hanging="200"/>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recently began commercializing our gammaCore therapy for the acute treatment of episodic cluster headache, or eCH, prevention of cluster headache, preventive and acute treatment of migraine in the United States for which market acceptance and commercial success is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340" w:right="280" w:hanging="195"/>
        <w:spacing w:after="0" w:line="31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our competitors are better able to develop and market cluster headache, or CH, and migraine treatments that are safer, more effective, less costly, easier to use or otherwise more attractive than our gammaCore therapy, our business and business prospects will be adversely impacted.</w:t>
      </w:r>
    </w:p>
    <w:p>
      <w:pPr>
        <w:spacing w:after="0" w:line="1" w:lineRule="exact"/>
        <w:rPr>
          <w:rFonts w:ascii="Arial" w:cs="Arial" w:eastAsia="Arial" w:hAnsi="Arial"/>
          <w:sz w:val="16"/>
          <w:szCs w:val="16"/>
          <w:color w:val="auto"/>
        </w:rPr>
      </w:pPr>
    </w:p>
    <w:p>
      <w:pPr>
        <w:ind w:left="340" w:right="260" w:hanging="195"/>
        <w:spacing w:after="0" w:line="27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Many of our competitors are large, well-established companies with substantially greater resources than us and have a long history of competing in the migraine market.</w:t>
      </w:r>
    </w:p>
    <w:p>
      <w:pPr>
        <w:spacing w:after="0" w:line="15" w:lineRule="exact"/>
        <w:rPr>
          <w:rFonts w:ascii="Arial" w:cs="Arial" w:eastAsia="Arial" w:hAnsi="Arial"/>
          <w:sz w:val="18"/>
          <w:szCs w:val="18"/>
          <w:color w:val="auto"/>
        </w:rPr>
      </w:pPr>
    </w:p>
    <w:p>
      <w:pPr>
        <w:ind w:left="340" w:right="60" w:hanging="195"/>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Traditional products used to treat CH and migraine have been available for decades, while our gammaCore therapy has only been commercially available in Europe for several years, and for approximately three years in the United States, and, as a result, we have a limited track record compared to our competitors.</w:t>
      </w:r>
    </w:p>
    <w:p>
      <w:pPr>
        <w:spacing w:after="0" w:line="21" w:lineRule="exact"/>
        <w:rPr>
          <w:rFonts w:ascii="Arial" w:cs="Arial" w:eastAsia="Arial" w:hAnsi="Arial"/>
          <w:sz w:val="18"/>
          <w:szCs w:val="18"/>
          <w:color w:val="auto"/>
        </w:rPr>
      </w:pPr>
    </w:p>
    <w:p>
      <w:pPr>
        <w:ind w:left="340" w:right="40" w:hanging="195"/>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operations subject us to certain operating and compliance risks, which could adversely impact our results of operations and financial condition.</w:t>
      </w:r>
    </w:p>
    <w:p>
      <w:pPr>
        <w:spacing w:after="0" w:line="8" w:lineRule="exact"/>
        <w:rPr>
          <w:rFonts w:ascii="Arial" w:cs="Arial" w:eastAsia="Arial" w:hAnsi="Arial"/>
          <w:sz w:val="18"/>
          <w:szCs w:val="18"/>
          <w:color w:val="auto"/>
        </w:rPr>
      </w:pPr>
    </w:p>
    <w:p>
      <w:pPr>
        <w:ind w:left="340" w:hanging="195"/>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establish or strengthen our brand.</w:t>
      </w:r>
    </w:p>
    <w:p>
      <w:pPr>
        <w:spacing w:after="0" w:line="63" w:lineRule="exact"/>
        <w:rPr>
          <w:rFonts w:ascii="Arial" w:cs="Arial" w:eastAsia="Arial" w:hAnsi="Arial"/>
          <w:sz w:val="18"/>
          <w:szCs w:val="18"/>
          <w:color w:val="auto"/>
        </w:rPr>
      </w:pPr>
    </w:p>
    <w:p>
      <w:pPr>
        <w:ind w:left="340" w:right="140" w:hanging="195"/>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21" w:lineRule="exact"/>
        <w:rPr>
          <w:rFonts w:ascii="Arial" w:cs="Arial" w:eastAsia="Arial" w:hAnsi="Arial"/>
          <w:sz w:val="18"/>
          <w:szCs w:val="18"/>
          <w:color w:val="auto"/>
        </w:rPr>
      </w:pPr>
    </w:p>
    <w:p>
      <w:pPr>
        <w:ind w:left="340" w:hanging="195"/>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upon specialty pharmacies to distribute some of our products in the United States.</w:t>
      </w:r>
    </w:p>
    <w:p>
      <w:pPr>
        <w:spacing w:after="0" w:line="63" w:lineRule="exact"/>
        <w:rPr>
          <w:rFonts w:ascii="Arial" w:cs="Arial" w:eastAsia="Arial" w:hAnsi="Arial"/>
          <w:sz w:val="18"/>
          <w:szCs w:val="18"/>
          <w:color w:val="auto"/>
        </w:rPr>
      </w:pPr>
    </w:p>
    <w:p>
      <w:pPr>
        <w:ind w:left="340" w:right="400" w:hanging="195"/>
        <w:spacing w:after="0" w:line="27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revenue in the United Kingdom is substantially dependent on government funding arrangements and changes in such governmental policy could cause material harm to our business.</w:t>
      </w:r>
    </w:p>
    <w:p>
      <w:pPr>
        <w:spacing w:after="0" w:line="15" w:lineRule="exact"/>
        <w:rPr>
          <w:rFonts w:ascii="Arial" w:cs="Arial" w:eastAsia="Arial" w:hAnsi="Arial"/>
          <w:sz w:val="18"/>
          <w:szCs w:val="18"/>
          <w:color w:val="auto"/>
        </w:rPr>
      </w:pPr>
    </w:p>
    <w:p>
      <w:pPr>
        <w:ind w:left="340" w:right="200" w:hanging="195"/>
        <w:spacing w:after="0" w:line="31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extensive governmental regulation that makes it expensive and time consuming for us to bring our gammaCore therapy to market in the United States and other countries and to expand the use of our gammaCore therapy to additional therapeutic indications.</w:t>
      </w:r>
    </w:p>
    <w:p>
      <w:pPr>
        <w:spacing w:after="0" w:line="1" w:lineRule="exact"/>
        <w:rPr>
          <w:rFonts w:ascii="Arial" w:cs="Arial" w:eastAsia="Arial" w:hAnsi="Arial"/>
          <w:sz w:val="16"/>
          <w:szCs w:val="16"/>
          <w:color w:val="auto"/>
        </w:rPr>
      </w:pPr>
    </w:p>
    <w:p>
      <w:pPr>
        <w:ind w:left="340" w:hanging="195"/>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subject to securities class action lawsuits against us, which could result in adverse outcomes.</w:t>
      </w:r>
    </w:p>
    <w:p>
      <w:pPr>
        <w:spacing w:after="0" w:line="23" w:lineRule="exact"/>
        <w:rPr>
          <w:rFonts w:ascii="Arial" w:cs="Arial" w:eastAsia="Arial" w:hAnsi="Arial"/>
          <w:sz w:val="18"/>
          <w:szCs w:val="18"/>
          <w:color w:val="auto"/>
        </w:rPr>
      </w:pPr>
    </w:p>
    <w:p>
      <w:pPr>
        <w:ind w:left="340" w:hanging="195"/>
        <w:spacing w:after="0" w:line="183" w:lineRule="auto"/>
        <w:tabs>
          <w:tab w:leader="none" w:pos="340" w:val="left"/>
        </w:tabs>
        <w:numPr>
          <w:ilvl w:val="0"/>
          <w:numId w:val="4"/>
        </w:numPr>
        <w:rPr>
          <w:rFonts w:ascii="Arial" w:cs="Arial" w:eastAsia="Arial" w:hAnsi="Arial"/>
          <w:sz w:val="35"/>
          <w:szCs w:val="35"/>
          <w:color w:val="auto"/>
          <w:vertAlign w:val="superscript"/>
        </w:rPr>
      </w:pPr>
      <w:r>
        <w:rPr>
          <w:rFonts w:ascii="Arial" w:cs="Arial" w:eastAsia="Arial" w:hAnsi="Arial"/>
          <w:sz w:val="21"/>
          <w:szCs w:val="21"/>
          <w:color w:val="auto"/>
        </w:rPr>
        <w:t>S</w:t>
      </w:r>
      <w:r>
        <w:rPr>
          <w:rFonts w:ascii="Arial" w:cs="Arial" w:eastAsia="Arial" w:hAnsi="Arial"/>
          <w:sz w:val="17"/>
          <w:szCs w:val="17"/>
          <w:color w:val="auto"/>
        </w:rPr>
        <w:t>ales of a substantial number of shares of our common stock in the public market could cause our stock price to fall.</w:t>
      </w:r>
    </w:p>
    <w:p>
      <w:pPr>
        <w:spacing w:after="0" w:line="45" w:lineRule="exact"/>
        <w:rPr>
          <w:rFonts w:ascii="Arial" w:cs="Arial" w:eastAsia="Arial" w:hAnsi="Arial"/>
          <w:sz w:val="35"/>
          <w:szCs w:val="35"/>
          <w:color w:val="auto"/>
          <w:vertAlign w:val="superscript"/>
        </w:rPr>
      </w:pPr>
    </w:p>
    <w:p>
      <w:pPr>
        <w:ind w:left="340" w:right="20" w:hanging="195"/>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24" w:lineRule="exact"/>
        <w:rPr>
          <w:rFonts w:ascii="Arial" w:cs="Arial" w:eastAsia="Arial" w:hAnsi="Arial"/>
          <w:sz w:val="18"/>
          <w:szCs w:val="18"/>
          <w:color w:val="auto"/>
        </w:rPr>
      </w:pPr>
    </w:p>
    <w:p>
      <w:pPr>
        <w:ind w:left="340" w:right="80" w:hanging="195"/>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common stock, and, consequently, your ability to achieve a return on your investment will depend on appreciation in the price of our common stock.</w:t>
      </w:r>
    </w:p>
    <w:p>
      <w:pPr>
        <w:spacing w:after="0" w:line="8" w:lineRule="exact"/>
        <w:rPr>
          <w:rFonts w:ascii="Arial" w:cs="Arial" w:eastAsia="Arial" w:hAnsi="Arial"/>
          <w:sz w:val="18"/>
          <w:szCs w:val="18"/>
          <w:color w:val="auto"/>
        </w:rPr>
      </w:pPr>
    </w:p>
    <w:p>
      <w:pPr>
        <w:ind w:left="340" w:hanging="195"/>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and you may not be able to resell shares of our common stock at or above the price you paid.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Tradenames</w:t>
      </w:r>
    </w:p>
    <w:p>
      <w:pPr>
        <w:spacing w:after="0" w:line="8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electroCore logo, gammaCore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and Forecasts</w:t>
      </w:r>
    </w:p>
    <w:p>
      <w:pPr>
        <w:spacing w:after="0" w:line="8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and/or our own estimates and research.</w:t>
      </w:r>
    </w:p>
    <w:p>
      <w:pPr>
        <w:spacing w:after="0" w:line="163"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are a commercial stage medical device company with a proprietary non-invasive vagus nerve stimulation, or nVNS, therapy. nVNS is a platform bioelectronic medical therapy that modulates neurotransmitters through its effects on both the peripheral and central nervous systems.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gammaCore treatment is the first FDA-cleared, prescription-only nVNS therapy. Historically, vagus nerve stimulation, or VNS, required an invasive surgical procedure to permanently implant a costly medical device. This limitation has generally prevented VNS from being used, other than by the most severe patients. Our lead product, gammaCore Sapphire, is a proprietary, simple-to-use handheld delivery system intended for multi-year use. Currently, it is largely prescribed on a timed basis in 31-day or 93-day increments, or with a predefined number of stimulations, in a Durable Medical Equipment, or DME, configuration and may be both rechargeable and reloadable. gammaCore permits patients to self-administer doses of nVNS on an as-needed basis for acute treatment, and at regular intervals for prevention therapy.</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Non-invasive delivery of VNS by our gammaCore Sapphire is enabled by a proprietary high-frequency burst waveform that safely and comfortably passes through the skin and stimulates therapeutically relevant fibers in the vagus nerve. Multiple published studies suggest that VNS works through a number of mechanistic pathways including the modulation of neurotransmitters and has a measurable effect similar to several classes of commonly prescribed medications.</w:t>
      </w:r>
    </w:p>
    <w:p>
      <w:pPr>
        <w:spacing w:after="0" w:line="173"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Over the past several years, we have sought regulatory approvals to market our novel product in the United States. As we have obtained additional regulatory approvals, we have implemented commercial strategies to target an expanded base of potential patients.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Regulatory Process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are initially focused on neurology and our therapy, gammaCore, is cleared by the FDA for use by adults for the following four neurological indications: the acute treatment of pain associated with each of migraine headache and episodic cluster headache, or eCH, the preventive treatment of migraine headache and adjunctive use for the preventive treatment of cluster headache, or CH. In February 2021, gammaCore was cleared by the FDA for the acute and preventive treatment of migraine in adolescents between 12 and 17 years of age.</w:t>
      </w:r>
    </w:p>
    <w:p>
      <w:pPr>
        <w:spacing w:after="0" w:line="77"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In July 2020, the FDA granted us an EUA authorizing the use of the Company's gammaCore Sapphire CV nVNS therapy at home or in a healthcare setting to acutely treat adult patients with known or suspected COVID-19 who are experiencing exacerbation of asthma-related dyspnea and reduced airflow, and for whom approved drug therapies are not tolerated or provided insufficient symptom relief.</w:t>
      </w:r>
    </w:p>
    <w:p>
      <w:pPr>
        <w:spacing w:after="0" w:line="15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are also considering several additional indications for our nVNS technology which are being studied in a number of investigator-initiated trials, or IITs. These indications include secondary headache, COVID-19 respiratory symptoms, stroke, post-traumatic headache, mild traumatic brain injury, post-traumatic stress disorder, opioid use disorders and post-operative ileus.</w:t>
      </w:r>
    </w:p>
    <w:p>
      <w:pPr>
        <w:spacing w:after="0" w:line="202"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In April 2017, the FDA cleared gammaCore for the acute treatment of pain associated with eCH, and in November 2018, the FDA cleared gammaCore for adjunctive use for the prevention of CH. CH is an extremely painful form of headache affecting approximately 400,000 people in the United States. Prior to gammaCore, injectable sumatriptan was the only FDA-approved, commercially available acute CH treatment, and there was no FDA-approved therapy for the prevention of CH.</w:t>
      </w:r>
    </w:p>
    <w:p>
      <w:pPr>
        <w:spacing w:after="0" w:line="185" w:lineRule="exact"/>
        <w:rPr>
          <w:sz w:val="20"/>
          <w:szCs w:val="20"/>
          <w:color w:val="auto"/>
        </w:rPr>
      </w:pPr>
    </w:p>
    <w:p>
      <w:pPr>
        <w:jc w:val="both"/>
        <w:ind w:right="60"/>
        <w:spacing w:after="0" w:line="296" w:lineRule="auto"/>
        <w:rPr>
          <w:sz w:val="20"/>
          <w:szCs w:val="20"/>
          <w:color w:val="auto"/>
        </w:rPr>
      </w:pPr>
      <w:r>
        <w:rPr>
          <w:rFonts w:ascii="Arial" w:cs="Arial" w:eastAsia="Arial" w:hAnsi="Arial"/>
          <w:sz w:val="17"/>
          <w:szCs w:val="17"/>
          <w:color w:val="auto"/>
        </w:rPr>
        <w:t>The FDA cleared our gammaCore therapy for the acute treatment of pain associated with migraine in adults in January 2018, and for preventive treatment of migraine headache in adult patients in March 2020. Migraine is a debilitating primary headache condition that is estimated to affect approximately 12% of the global adult population and disproportionately affects women of child-bearing years. Migraine is estimated to affect 39 million patients in the United States and indirect annual costs associated with migraine in the United States are estimated at $19.3 billion.</w:t>
      </w:r>
    </w:p>
    <w:p>
      <w:pPr>
        <w:spacing w:after="0" w:line="143"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The FDA clearances of our gammaCore therapy to treat headache were facilitated by the FDA’s creation of a new regulatory category: External Vagus Nerve Stimulator for Headache (21 CFR 882-5892). Based on this category’s description, we anticipate that some additional headache label expansions may be possible through the pathway under Section 510(k) of the Federal Drug and Cosmetic 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ind w:right="220"/>
        <w:spacing w:after="0" w:line="279" w:lineRule="auto"/>
        <w:rPr>
          <w:sz w:val="20"/>
          <w:szCs w:val="20"/>
          <w:color w:val="auto"/>
        </w:rPr>
      </w:pPr>
      <w:r>
        <w:rPr>
          <w:rFonts w:ascii="Arial" w:cs="Arial" w:eastAsia="Arial" w:hAnsi="Arial"/>
          <w:sz w:val="16"/>
          <w:szCs w:val="16"/>
          <w:color w:val="auto"/>
        </w:rPr>
        <w:t>In January 2021, the Centers for Medicare and Medicaid Services, or CMS, published a Level II Healthcare Common Procedure Coding System, or HCPCS, code K1020 "non-invasive vagus nerve stimulator" that was established as part of CMS' second biannual 2020 Coding Cycle for non-drug and non-biological items and services. The coding decision covers the Company’s gammaCore Sapphire D and is in response to the application submitted by the Company during CMS’ second biannual 2020 Coding Cycle for non-drug and non-biological items and services, and will go into effect on April 1, 2021. We believe the unique HCPSC code is an important step in potentially providing patients with easier access to gammaCore therapy.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and European Regulatory Process</w:t>
      </w:r>
    </w:p>
    <w:p>
      <w:pPr>
        <w:spacing w:after="0" w:line="175"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In September 2011, 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European CE Mark. In addition to the CE Certificate of Conformity for primary headache, between September 2011 and October 2013 we received CE Certificates of Conformity on gammaCore covering four other specific indications for use, including reactive airway disease and gastric motility disorders. In 2019, the National Institute for Health and Care Excellence, or NICE published a Medical Technology Guidance document recommending the use of gammaCore for CH within National Health Service, or NHS, England. On January 2021, NHS Scotland adopted the NICE recommendation and recommended gammaCore for use in treatment of CHI in NHS Scotland.</w:t>
      </w:r>
    </w:p>
    <w:p>
      <w:pPr>
        <w:spacing w:after="0" w:line="164"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NHS England awarded gammaCore a place on the Innovation Technology Payment Program, or ITPP, for treatment of patients with refractory cluster headache, a reimbursement pathway that opened in April 2019. In October 2020, we announced that the ITPP was extended through March 2021. Effective April 1, 2021, gammaCore Sapphire will be included in a new long-term reimbursement policy, the MedTech Funding Mandate Policy 2021/22, or MTFM.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NHS Scotland adopted the NICE recommendation and recommended gammaCore for use in treatment of CH in NHS Scotland.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VNS</w:t>
      </w:r>
    </w:p>
    <w:p>
      <w:pPr>
        <w:spacing w:after="0" w:line="135"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The vagus nerve is the largest and most extensive cranial nerve, connecting the brainstem to nearly every organ in the chest and abdomen. Modulating the firing rate of the fibers within the vagus nerve can trigger the release of neurotransmitters, both in the central and peripheral nervous systems, affecting how the brain and peripheral organs function. In the central nervous system, VNS activates areas of the brainstem that release important biochemicals including norepinephrine, acetylcholine, serotonin, and gamma-Aminobutyric acid. The release of these substances, which have been the targets of numerous pharmaceutical agents, have been identified as therapeutic for the treatment of multiple conditions, including epilepsy, depression and headache.</w:t>
      </w:r>
    </w:p>
    <w:p>
      <w:pPr>
        <w:spacing w:after="0" w:line="160" w:lineRule="exact"/>
        <w:rPr>
          <w:sz w:val="20"/>
          <w:szCs w:val="20"/>
          <w:color w:val="auto"/>
        </w:rPr>
      </w:pPr>
    </w:p>
    <w:p>
      <w:pPr>
        <w:jc w:val="both"/>
        <w:ind w:right="320"/>
        <w:spacing w:after="0" w:line="296" w:lineRule="auto"/>
        <w:rPr>
          <w:sz w:val="20"/>
          <w:szCs w:val="20"/>
          <w:color w:val="auto"/>
        </w:rPr>
      </w:pPr>
      <w:r>
        <w:rPr>
          <w:rFonts w:ascii="Arial" w:cs="Arial" w:eastAsia="Arial" w:hAnsi="Arial"/>
          <w:sz w:val="17"/>
          <w:szCs w:val="17"/>
          <w:color w:val="auto"/>
        </w:rPr>
        <w:t>Over the past three decades, the body of scientific evidence in support of VNS in multiple medical conditions has been growing. Prior to gammaCore, however, the cost and requirement for invasive surgery meant that VNS was only appropriate for the most refractory patients. With the FDA clearances of gammaCore, this safe and effective therapy can now be noninvasively self-administered, at a fraction of the cost of a surgical implant, exponentially expanding its accessibility for the potential treatment of multiple medical conditions.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Therapy Delivery Platform</w:t>
      </w:r>
    </w:p>
    <w:p>
      <w:pPr>
        <w:spacing w:after="0" w:line="1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gammaCore therapy is prescription-only, and patients self-administer discrete doses using a handheld unit. Our flagship model; gammaCore Sapphire is a portable, reusable, rechargeable and reloadable option for patients, with the prescription being written by a health care provider and dispensed from a specialty pharmacy, through the patient’s healthcare system, or our facility in Rockaway, NJ. After the initial prescription is filled, access to therapy can be refilled for certain of our gammaCore Sapphire products periodically through the input of a unique, prescription-only authorization code. This code is currently delivered in the form of an RFID card (similar to a credit card or hotel keycard), dispensed by mail from a specialty pharmacy distribution partner, or by the Company directly to certain patients. In the future, this refill may be dispensed directly using a Bluetooth-aware smartphone application. gammaCore is also available in a DME configuration shipped directly from our facility.</w:t>
      </w:r>
    </w:p>
    <w:p>
      <w:pPr>
        <w:spacing w:after="0" w:line="9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Currently, gammaCore is largely prescribed on a timed basis in 31-day or 93-day increments, with a predefined number of stimulations, or in the DME configuration, and may be both rechargable and reloadable. gammaCore permits patients to self-administer doses of nVNS on an as-needed basis for acute treatment, and at regular intervals for prevention therapy.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prior iteration of the gammaCore delivery device was not reloadable or rechargeable and was replaced by our introduction of the</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improved gammaCore Sapphire during the third quarter of 2018. We continue to offer the non-reloadable, disposable version of our gammaCore products in certain markets and to deploy it for use in clinical studies where a rechargeable version is not necessary.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competitive strengths of our company and our novel and proprietary self-administered nVNS therapy include:</w:t>
      </w:r>
    </w:p>
    <w:p>
      <w:pPr>
        <w:spacing w:after="0" w:line="144" w:lineRule="exact"/>
        <w:rPr>
          <w:sz w:val="20"/>
          <w:szCs w:val="20"/>
          <w:color w:val="auto"/>
        </w:rPr>
      </w:pPr>
    </w:p>
    <w:p>
      <w:pPr>
        <w:ind w:left="780" w:right="100"/>
        <w:spacing w:after="0" w:line="235" w:lineRule="auto"/>
        <w:rPr>
          <w:sz w:val="20"/>
          <w:szCs w:val="20"/>
          <w:color w:val="auto"/>
        </w:rPr>
      </w:pPr>
      <w:r>
        <w:rPr>
          <w:rFonts w:ascii="Arial" w:cs="Arial" w:eastAsia="Arial" w:hAnsi="Arial"/>
          <w:sz w:val="18"/>
          <w:szCs w:val="18"/>
          <w:b w:val="1"/>
          <w:bCs w:val="1"/>
          <w:i w:val="1"/>
          <w:iCs w:val="1"/>
          <w:color w:val="auto"/>
        </w:rPr>
        <w:t xml:space="preserve">Innovative bioelectronic medicine approach. </w:t>
      </w:r>
      <w:r>
        <w:rPr>
          <w:rFonts w:ascii="Arial" w:cs="Arial" w:eastAsia="Arial" w:hAnsi="Arial"/>
          <w:sz w:val="18"/>
          <w:szCs w:val="18"/>
          <w:color w:val="auto"/>
        </w:rPr>
        <w:t>Our gammaCore therapy uses a proprietary electrical signal to safely deliver VNS, which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targeted changes in neurotransmitter pharmacology, without systemic exposure to exogenous chemicals, in a manner that has been shown to have minimal side effects through clinical studies encompassing thousands of patients.</w:t>
      </w:r>
    </w:p>
    <w:p>
      <w:pPr>
        <w:spacing w:after="0" w:line="148" w:lineRule="exact"/>
        <w:rPr>
          <w:sz w:val="20"/>
          <w:szCs w:val="20"/>
          <w:color w:val="auto"/>
        </w:rPr>
      </w:pPr>
    </w:p>
    <w:p>
      <w:pPr>
        <w:ind w:left="780" w:right="140"/>
        <w:spacing w:after="0" w:line="235" w:lineRule="auto"/>
        <w:rPr>
          <w:sz w:val="20"/>
          <w:szCs w:val="20"/>
          <w:color w:val="auto"/>
        </w:rPr>
      </w:pPr>
      <w:r>
        <w:rPr>
          <w:rFonts w:ascii="Arial" w:cs="Arial" w:eastAsia="Arial" w:hAnsi="Arial"/>
          <w:sz w:val="18"/>
          <w:szCs w:val="18"/>
          <w:b w:val="1"/>
          <w:bCs w:val="1"/>
          <w:i w:val="1"/>
          <w:iCs w:val="1"/>
          <w:color w:val="auto"/>
        </w:rPr>
        <w:t xml:space="preserve">Our non-invasive therapy unlocks the long-held potential of VNS. </w:t>
      </w:r>
      <w:r>
        <w:rPr>
          <w:rFonts w:ascii="Arial" w:cs="Arial" w:eastAsia="Arial" w:hAnsi="Arial"/>
          <w:sz w:val="18"/>
          <w:szCs w:val="18"/>
          <w:color w:val="auto"/>
        </w:rPr>
        <w:t>VNS therapy can, for the first time, be delivered safely and comfortably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skin using gammaCore. This eliminates the need for costly, invasive surgery that requires the implantation of an expensive medical device. VNS therapy is no longer reserved for the most refractory patients.</w:t>
      </w:r>
    </w:p>
    <w:p>
      <w:pPr>
        <w:spacing w:after="0" w:line="148" w:lineRule="exact"/>
        <w:rPr>
          <w:sz w:val="20"/>
          <w:szCs w:val="20"/>
          <w:color w:val="auto"/>
        </w:rPr>
      </w:pPr>
    </w:p>
    <w:p>
      <w:pPr>
        <w:ind w:left="780"/>
        <w:spacing w:after="0" w:line="289" w:lineRule="auto"/>
        <w:rPr>
          <w:sz w:val="20"/>
          <w:szCs w:val="20"/>
          <w:color w:val="auto"/>
        </w:rPr>
      </w:pPr>
      <w:r>
        <w:rPr>
          <w:rFonts w:ascii="Arial" w:cs="Arial" w:eastAsia="Arial" w:hAnsi="Arial"/>
          <w:sz w:val="15"/>
          <w:szCs w:val="15"/>
          <w:b w:val="1"/>
          <w:bCs w:val="1"/>
          <w:i w:val="1"/>
          <w:iCs w:val="1"/>
          <w:color w:val="auto"/>
        </w:rPr>
        <w:t xml:space="preserve">We have generated significant scientific data supporting the safety and efficacy of gammaCore which has led to FDA clearances for use in multiple indications. </w:t>
      </w:r>
      <w:r>
        <w:rPr>
          <w:rFonts w:ascii="Arial" w:cs="Arial" w:eastAsia="Arial" w:hAnsi="Arial"/>
          <w:sz w:val="15"/>
          <w:szCs w:val="15"/>
          <w:color w:val="auto"/>
        </w:rPr>
        <w:t>We believe our scientific data supporting the safety and efficacy of our therapy provides broader confidence in gammaCore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has resulted in its clearance in more indications than other neuromodulation therapies. gammaCore is the only therapy the FDA has cleared for prevention and treatment of migraine and cluster headache in adults, as well as for prevention and treatment of migraine in adolescents.</w:t>
      </w:r>
    </w:p>
    <w:p>
      <w:pPr>
        <w:spacing w:after="0" w:line="114" w:lineRule="exact"/>
        <w:rPr>
          <w:sz w:val="20"/>
          <w:szCs w:val="20"/>
          <w:color w:val="auto"/>
        </w:rPr>
      </w:pPr>
    </w:p>
    <w:p>
      <w:pPr>
        <w:ind w:left="780" w:right="80"/>
        <w:spacing w:after="0" w:line="266" w:lineRule="auto"/>
        <w:rPr>
          <w:sz w:val="20"/>
          <w:szCs w:val="20"/>
          <w:color w:val="auto"/>
        </w:rPr>
      </w:pPr>
      <w:r>
        <w:rPr>
          <w:rFonts w:ascii="Arial" w:cs="Arial" w:eastAsia="Arial" w:hAnsi="Arial"/>
          <w:sz w:val="16"/>
          <w:szCs w:val="16"/>
          <w:b w:val="1"/>
          <w:bCs w:val="1"/>
          <w:i w:val="1"/>
          <w:iCs w:val="1"/>
          <w:color w:val="auto"/>
        </w:rPr>
        <w:t xml:space="preserve">Commercial arrangements in the United States. </w:t>
      </w:r>
      <w:r>
        <w:rPr>
          <w:rFonts w:ascii="Arial" w:cs="Arial" w:eastAsia="Arial" w:hAnsi="Arial"/>
          <w:sz w:val="16"/>
          <w:szCs w:val="16"/>
          <w:color w:val="auto"/>
        </w:rPr>
        <w:t>We expect that a substantial portion of our 2021 sales of gammaCore will be made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qualifying contract under the Federal Supply Schedule, or FSS, which was secured by us in December 2018, and open market sales to individual facilities within government channels. The FSS makes gammaCore available to patients managed within the Department of Veteran's Affairs or VA, Department of Defense or DoD, Bureau of Prisons, Indian Health Services and Public Health Services.</w:t>
      </w:r>
    </w:p>
    <w:p>
      <w:pPr>
        <w:spacing w:after="0" w:line="170" w:lineRule="exact"/>
        <w:rPr>
          <w:sz w:val="20"/>
          <w:szCs w:val="20"/>
          <w:color w:val="auto"/>
        </w:rPr>
      </w:pPr>
    </w:p>
    <w:p>
      <w:pPr>
        <w:ind w:left="780" w:right="100"/>
        <w:spacing w:after="0" w:line="253" w:lineRule="auto"/>
        <w:rPr>
          <w:sz w:val="20"/>
          <w:szCs w:val="20"/>
          <w:color w:val="auto"/>
        </w:rPr>
      </w:pPr>
      <w:r>
        <w:rPr>
          <w:rFonts w:ascii="Arial" w:cs="Arial" w:eastAsia="Arial" w:hAnsi="Arial"/>
          <w:sz w:val="16"/>
          <w:szCs w:val="16"/>
          <w:b w:val="1"/>
          <w:bCs w:val="1"/>
          <w:i w:val="1"/>
          <w:iCs w:val="1"/>
          <w:color w:val="auto"/>
        </w:rPr>
        <w:t xml:space="preserve">Commercial arrangements outside the United States. </w:t>
      </w:r>
      <w:r>
        <w:rPr>
          <w:rFonts w:ascii="Arial" w:cs="Arial" w:eastAsia="Arial" w:hAnsi="Arial"/>
          <w:sz w:val="16"/>
          <w:szCs w:val="16"/>
          <w:color w:val="auto"/>
        </w:rPr>
        <w:t>Our success in gaining regulatory approval and reimbursement in the UK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both in its potential for commercial penetration, but also its precedential value. NHS England awarded gammaCore a place on the ITPP for treatment of patients with refractory cluster headache, a reimbursement pathway that opened in April 2019. In October 2020, we announced that the ITPP was extended through March 2021. Effective April 1, 2021, gammaCore Sapphire will be included in a new long-term reimbursement policy. The new policy, the MTFM, supports the use of NICE-approved, clinically effective and cost-saving medical devices, diagnostics and digital technologies that will improve patient outcomes. In December 2019, NICE had published a Medical Technology Guidance document recommending the use of gammaCore for CH within the NHS. In January 2021, gammaCore was recommended for use in treatment of CH in NHS Scotland. This approval was an adoption of the NICE recommendation. Recently, we entered into distribution</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agreements in Eastern Europe, Canada and Australia.</w:t>
      </w:r>
    </w:p>
    <w:p>
      <w:pPr>
        <w:spacing w:after="0" w:line="197" w:lineRule="exact"/>
        <w:rPr>
          <w:sz w:val="20"/>
          <w:szCs w:val="20"/>
          <w:color w:val="auto"/>
        </w:rPr>
      </w:pPr>
    </w:p>
    <w:p>
      <w:pPr>
        <w:ind w:left="780" w:right="140"/>
        <w:spacing w:after="0" w:line="288" w:lineRule="auto"/>
        <w:rPr>
          <w:sz w:val="20"/>
          <w:szCs w:val="20"/>
          <w:color w:val="auto"/>
        </w:rPr>
      </w:pPr>
      <w:r>
        <w:rPr>
          <w:rFonts w:ascii="Arial" w:cs="Arial" w:eastAsia="Arial" w:hAnsi="Arial"/>
          <w:sz w:val="17"/>
          <w:szCs w:val="17"/>
          <w:b w:val="1"/>
          <w:bCs w:val="1"/>
          <w:i w:val="1"/>
          <w:iCs w:val="1"/>
          <w:color w:val="auto"/>
        </w:rPr>
        <w:t xml:space="preserve">Unique Level II Healthcare Common Procedure Coding System code for non-invasive vagus nerve simulator. </w:t>
      </w:r>
      <w:r>
        <w:rPr>
          <w:rFonts w:ascii="Arial" w:cs="Arial" w:eastAsia="Arial" w:hAnsi="Arial"/>
          <w:sz w:val="17"/>
          <w:szCs w:val="17"/>
          <w:color w:val="auto"/>
        </w:rPr>
        <w:t>On January 15, 2021, CMS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published its most recent Level II HCPCS decisions establishing a unique code for “non invasive vagus nerve stimulator”. The coding decision covers the Company’s gammaCore Sapphire D and is in response to the application submitted by the Company during CMS’ second biannual 2020 Coding Cycle for non-drug and non-biological items and services, which application focused on the clinical and economic advantages of gammaCore therapy. All final coding decisions for the second biannual 2020 Coding Cycle for non-drug and non-biological items and services will go into effect on April 1, 2021. We have initiated discussions with Medicare Administrative Contractors and commercial insurance providers to establish reimbursement rates for gammaCore Sapphire D.</w:t>
      </w:r>
    </w:p>
    <w:p>
      <w:pPr>
        <w:spacing w:after="0" w:line="154" w:lineRule="exact"/>
        <w:rPr>
          <w:sz w:val="20"/>
          <w:szCs w:val="20"/>
          <w:color w:val="auto"/>
        </w:rPr>
      </w:pPr>
    </w:p>
    <w:p>
      <w:pPr>
        <w:ind w:left="780" w:right="80"/>
        <w:spacing w:after="0" w:line="296" w:lineRule="auto"/>
        <w:rPr>
          <w:sz w:val="20"/>
          <w:szCs w:val="20"/>
          <w:color w:val="auto"/>
        </w:rPr>
      </w:pPr>
      <w:r>
        <w:rPr>
          <w:rFonts w:ascii="Arial" w:cs="Arial" w:eastAsia="Arial" w:hAnsi="Arial"/>
          <w:sz w:val="17"/>
          <w:szCs w:val="17"/>
          <w:b w:val="1"/>
          <w:bCs w:val="1"/>
          <w:i w:val="1"/>
          <w:iCs w:val="1"/>
          <w:color w:val="auto"/>
        </w:rPr>
        <w:t xml:space="preserve">Broad intellectual property protection. </w:t>
      </w:r>
      <w:r>
        <w:rPr>
          <w:rFonts w:ascii="Arial" w:cs="Arial" w:eastAsia="Arial" w:hAnsi="Arial"/>
          <w:sz w:val="17"/>
          <w:szCs w:val="17"/>
          <w:color w:val="auto"/>
        </w:rPr>
        <w:t>Among our key issued patents, we have coverage on using our high-frequency burst electrical signal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treating certain medical conditions until 2031, the low-pass filtering of that signal to ensure safe and comfortable transmission through the skin until 2031, the non-invasive treatment of headache conditions until 2029, and the remote network-enabled communication for the delivery of neuromodulation therapy for a broad range of medical conditions until 2033.</w:t>
      </w:r>
    </w:p>
    <w:p>
      <w:pPr>
        <w:spacing w:after="0" w:line="143" w:lineRule="exact"/>
        <w:rPr>
          <w:sz w:val="20"/>
          <w:szCs w:val="20"/>
          <w:color w:val="auto"/>
        </w:rPr>
      </w:pPr>
    </w:p>
    <w:p>
      <w:pPr>
        <w:ind w:left="780" w:right="80"/>
        <w:spacing w:after="0" w:line="303" w:lineRule="auto"/>
        <w:rPr>
          <w:sz w:val="20"/>
          <w:szCs w:val="20"/>
          <w:color w:val="auto"/>
        </w:rPr>
      </w:pPr>
      <w:r>
        <w:rPr>
          <w:rFonts w:ascii="Arial" w:cs="Arial" w:eastAsia="Arial" w:hAnsi="Arial"/>
          <w:sz w:val="17"/>
          <w:szCs w:val="17"/>
          <w:b w:val="1"/>
          <w:bCs w:val="1"/>
          <w:i w:val="1"/>
          <w:iCs w:val="1"/>
          <w:color w:val="auto"/>
        </w:rPr>
        <w:t>Highly experienced management team</w:t>
      </w:r>
      <w:r>
        <w:rPr>
          <w:rFonts w:ascii="Arial" w:cs="Arial" w:eastAsia="Arial" w:hAnsi="Arial"/>
          <w:sz w:val="17"/>
          <w:szCs w:val="17"/>
          <w:color w:val="auto"/>
        </w:rPr>
        <w:t>. Our management team includes a diverse group of executives with significant experience in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in the medical device and pharmaceutical industries. Our team’s experience in clinical development, regulatory affairs, reimbursement sales and marketing, and capital markets allow us to pursue our strategy and growth plans.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a leader in non-invasive neuromodulation medicine by using our proprietary nVNS platform therapy to deliver better patient outcomes.</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2019 and 2020, we implemented significant adjustments to the deployment of personnel and resources across our organization. We reduced the size of our organization, including our field sales force and clinical operations in order to reduce expenses. We are currently focusing our resources on channels that are currently generating revenue or may potentially generate revenue in the near-term, including the following:</w:t>
      </w:r>
    </w:p>
    <w:p>
      <w:pPr>
        <w:spacing w:after="0" w:line="84" w:lineRule="exact"/>
        <w:rPr>
          <w:sz w:val="20"/>
          <w:szCs w:val="20"/>
          <w:color w:val="auto"/>
        </w:rPr>
      </w:pPr>
    </w:p>
    <w:p>
      <w:pPr>
        <w:ind w:left="500" w:right="20" w:hanging="209"/>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qualifying contract on the FSS, which we secured in December 2019, and open market sales to individual VA facilities. According to a presentation at the 2020 annual Scientific Meeting of the American Headache Society, approximately 400,000 patients saw a VA healthcare provider for headache in 2018 and VA's National Director of the Headache Center of Excellence program has stated that the VA has approximately 29,000 cluster headache sufferers. The VA and DoD have become our primary source of U.S. revenue and, accordingly, we have redeployed substantially all of our sales function to generating sales from this channel.</w:t>
      </w:r>
    </w:p>
    <w:p>
      <w:pPr>
        <w:spacing w:after="0" w:line="187" w:lineRule="exact"/>
        <w:rPr>
          <w:rFonts w:ascii="Arial" w:cs="Arial" w:eastAsia="Arial" w:hAnsi="Arial"/>
          <w:sz w:val="18"/>
          <w:szCs w:val="18"/>
          <w:color w:val="auto"/>
        </w:rPr>
      </w:pPr>
    </w:p>
    <w:p>
      <w:pPr>
        <w:ind w:left="500" w:hanging="209"/>
        <w:spacing w:after="0" w:line="25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United Kingdom, where NHS England has provided a reimbursement pathway since April 2019 by awarding gammaCore a place on the ITPP, for use in patients with refractory cluster headache. In October 2020, we announced that the ITPP was extended through March 2021. Effective April 1, 2021 gammaCore Sapphire will be included in a new long-term reimbursement policy, the MTFM, which supports commissioners and providers in the use of selected NICE-approved, clinically effective and cost-saving medical devices, diagnostics and digital technologies that will improve patient outcomes. In December 2019, NICE published a Medical Technology Guidance document recommending the use of gammaCore for CH within the NHS, and in January 2021, NHS Scotland adopted the NICE recommendation and recommended gammaCore for use in treatment of CH in NHS Scotland.</w:t>
      </w:r>
    </w:p>
    <w:p>
      <w:pPr>
        <w:spacing w:after="0" w:line="194" w:lineRule="exact"/>
        <w:rPr>
          <w:rFonts w:ascii="Arial" w:cs="Arial" w:eastAsia="Arial" w:hAnsi="Arial"/>
          <w:sz w:val="18"/>
          <w:szCs w:val="18"/>
          <w:color w:val="auto"/>
        </w:rPr>
      </w:pPr>
    </w:p>
    <w:p>
      <w:pPr>
        <w:ind w:left="500" w:right="320" w:hanging="209"/>
        <w:spacing w:after="0" w:line="29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we continue to make measured investments in our commercial channel, most notably through large insurers and pharmacy benefit managers for the purpose of expanding the population of gammaCore covered lives. To further support our commercial efforts, we are working towards leveraging the unique HCPCS code K1020 "non-invasive vagus nerve stimulator" that was established as part of CMS' second biannual 2020 Coding Cycle for non-drug and non-biological items and services, and which we believe could streamline reimbursement for both government and commercial payers. We are also exploring certain cash pay business models for headache patients.</w:t>
      </w:r>
    </w:p>
    <w:p>
      <w:pPr>
        <w:spacing w:after="0" w:line="161" w:lineRule="exact"/>
        <w:rPr>
          <w:rFonts w:ascii="Arial" w:cs="Arial" w:eastAsia="Arial" w:hAnsi="Arial"/>
          <w:sz w:val="16"/>
          <w:szCs w:val="16"/>
          <w:color w:val="auto"/>
        </w:rPr>
      </w:pPr>
    </w:p>
    <w:p>
      <w:pPr>
        <w:ind w:left="500" w:right="80" w:hanging="209"/>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Known or suspected COVID-19 patients with asthma exacerbations under an FDA Emergency Use Authorization. The therapy is available by prescription through the VA or DoD, from Premier Specialty Pharmacy, and telehealth consults are available at www.getgammacore.com. While the gammaCore Sapphire CV has not generated significant revenue, it leverages one of the earliest areas of research for us - reactive airway disease, or RAD.</w:t>
      </w:r>
    </w:p>
    <w:p>
      <w:pPr>
        <w:spacing w:after="0" w:line="186" w:lineRule="exact"/>
        <w:rPr>
          <w:rFonts w:ascii="Arial" w:cs="Arial" w:eastAsia="Arial" w:hAnsi="Arial"/>
          <w:sz w:val="18"/>
          <w:szCs w:val="18"/>
          <w:color w:val="auto"/>
        </w:rPr>
      </w:pPr>
    </w:p>
    <w:p>
      <w:pPr>
        <w:ind w:left="500" w:right="20" w:hanging="209"/>
        <w:spacing w:after="0" w:line="289"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Distribution partners to commercialize our gammaCore therapy in territories outside of the United States and United Kingdom. In December 2020, electroCore announced that it entered into an exclusive agreement with Pro Medical Baltic, or PMB, whereby PMB will be the exclusive distributor of gammaCore to patients suffering from primary headache disorders in Eastern Europe, including Lithuania, Latvia, Belarus, Kazakhstan and Ukraine. PMB is a leading distributor of medical technology in the region and has extensive experience in neuromodulation products. In January 2021, we announced that we had entered into an agreement with RSK Medical Inc, whereby RSK Medical will serve as the exclusive distributor of the gammaCore Sapphire nVNS in Canada, supplying therapy to patients suffering with primary headache disorders. In March 2021, we announced that we had entered into an exclusive agreement with Medistar2 PTY Limited, or Medistar, whereby Medistar will be the exclusive distributor of gammaCore to patients suffering from primary headache disorders in Australia. The Company continues to evaluate opportunities for international distribution of nVNS technology and expects to announce additional international distribution agreements in the future.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Clinical Evidence in Support of New Indications</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July 2020, Cephalalgia, the official journal of the International Headache Society (IHS) published “Non-invasive vagus nerve stimulation for primary headache: a clinical update.”</w:t>
      </w:r>
    </w:p>
    <w:p>
      <w:pPr>
        <w:spacing w:after="0" w:line="103"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The paper is a narrative review of recent scientific and clinical research into non-invasive vagus nerve stimulation (nVNS) for headache, including findings from mechanistic studies and their possible relationships to the clinical effects of nVNS. The review concludes that scientific and clinical studies support the emergence of nVNS as an effective, safe, well-tolerated, and practical treatment for primary headache disorders and supports the consideration of nVNS as: (1) a first-line treatment for both the acute and preventive treatment of cluster headache; (2) an effective option for acute treatment of migraine; and (3) a highly relevant, practical option for migraine preventive therapy.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paper is available via open access at: https://journals.sagepub.com/doi/full/10.1177/0333102420941864</w:t>
      </w:r>
    </w:p>
    <w:p>
      <w:pPr>
        <w:sectPr>
          <w:pgSz w:w="11900" w:h="16838" w:orient="portrait"/>
          <w:cols w:equalWidth="0" w:num="1">
            <w:col w:w="10139"/>
          </w:cols>
          <w:pgMar w:left="320" w:top="125" w:right="1440"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In December 2020, the company reported positive topline results from the PREMIUM II study assessing gammaCore for the prevention of migraine.</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considering the potential for several additional indications for our nVNS technology. These additional indications are being studied in a number of investigator-initiated trails. These indications include the potential utility of nVNS in certain COVID-19 symptoms, secondary headache, stroke, mild traumatic brain injury, or mTBI, Post-Traumatic Stress Disorder, or PTSD, post-operative ileus, and opioid use disorders. Several recent developments in potential additional indications include:</w:t>
      </w:r>
    </w:p>
    <w:p>
      <w:pPr>
        <w:spacing w:after="0" w:line="187" w:lineRule="exact"/>
        <w:rPr>
          <w:sz w:val="20"/>
          <w:szCs w:val="20"/>
          <w:color w:val="auto"/>
        </w:rPr>
      </w:pPr>
    </w:p>
    <w:p>
      <w:pPr>
        <w:ind w:left="600" w:right="20" w:hanging="213"/>
        <w:spacing w:after="0" w:line="286" w:lineRule="auto"/>
        <w:tabs>
          <w:tab w:leader="none" w:pos="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August 2020, a paper entitled “Non-invasive vagal nerve stimulation decreases brain activity during trauma scripts” was published in the journal Brain Stimulation. The paper reported on a double-blind sham-controlled study of nineteen participants who had experienced trauma but did not have the diagnosis of PTSD and highlighted the ability of nVNS to decrease the fear associated with emotional stress.</w:t>
      </w:r>
    </w:p>
    <w:p>
      <w:pPr>
        <w:spacing w:after="0" w:line="165" w:lineRule="exact"/>
        <w:rPr>
          <w:rFonts w:ascii="Arial" w:cs="Arial" w:eastAsia="Arial" w:hAnsi="Arial"/>
          <w:sz w:val="17"/>
          <w:szCs w:val="17"/>
          <w:color w:val="auto"/>
        </w:rPr>
      </w:pPr>
    </w:p>
    <w:p>
      <w:pPr>
        <w:ind w:left="580" w:right="40" w:hanging="206"/>
        <w:spacing w:after="0" w:line="26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2020, the VA agreed to sponsor a quadruple blind, randomized, sham-controlled clinical trial of nVNS in mTBI and PTSD. As outlined in the study protocol, the conflicts in Afghanistan and Iraq have resulted in a large number of veterans with both mTBI and PTSD, making these conditions important concerns of the VA.</w:t>
      </w:r>
    </w:p>
    <w:p>
      <w:pPr>
        <w:spacing w:after="0" w:line="183" w:lineRule="exact"/>
        <w:rPr>
          <w:rFonts w:ascii="Arial" w:cs="Arial" w:eastAsia="Arial" w:hAnsi="Arial"/>
          <w:sz w:val="18"/>
          <w:szCs w:val="18"/>
          <w:color w:val="auto"/>
        </w:rPr>
      </w:pPr>
    </w:p>
    <w:p>
      <w:pPr>
        <w:ind w:left="620" w:hanging="233"/>
        <w:spacing w:after="0" w:line="279" w:lineRule="auto"/>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December 2020, gammaCore was selected for evaluation in a randomized controlled study for the treatment of opioid use disorders run at Emory University in collaboration with the Georgia Institute of Technology and the City University of New York and supported by the National Institute on Drug Abuse. The use of nVNS during the opioid withdrawal period represents a potential new innovation versus current treatments that rely on medication and counseling, widely acknowledged to have limitations during the withdrawal period.</w:t>
      </w:r>
    </w:p>
    <w:p>
      <w:pPr>
        <w:spacing w:after="0" w:line="184" w:lineRule="exact"/>
        <w:rPr>
          <w:rFonts w:ascii="Arial" w:cs="Arial" w:eastAsia="Arial" w:hAnsi="Arial"/>
          <w:sz w:val="17"/>
          <w:szCs w:val="17"/>
          <w:color w:val="auto"/>
        </w:rPr>
      </w:pPr>
    </w:p>
    <w:p>
      <w:pPr>
        <w:ind w:left="620" w:right="420" w:hanging="233"/>
        <w:spacing w:after="0" w:line="286" w:lineRule="auto"/>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February 2021, we announced the achievement of full enrollment for the TR-VENUS study of nVNS for the acute treatment of stroke. TR-VENUS is a double blind, randomized, sham-controlled, multi-center clinical trial, conducted at nine major medical centers across Turkey, supported by the Turkish Neurological Society and partially funded through an unrestricted research grant from electroCore.</w:t>
      </w:r>
    </w:p>
    <w:p>
      <w:pPr>
        <w:spacing w:after="0" w:line="165" w:lineRule="exact"/>
        <w:rPr>
          <w:rFonts w:ascii="Arial" w:cs="Arial" w:eastAsia="Arial" w:hAnsi="Arial"/>
          <w:sz w:val="17"/>
          <w:szCs w:val="17"/>
          <w:color w:val="auto"/>
        </w:rPr>
      </w:pPr>
    </w:p>
    <w:p>
      <w:pPr>
        <w:ind w:left="620" w:right="120" w:hanging="233"/>
        <w:spacing w:after="0" w:line="296" w:lineRule="auto"/>
        <w:tabs>
          <w:tab w:leader="none" w:pos="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February 2021, a peer reviewed paper, entitled “Non-invasive vagus nerve stimulation to reduce ileus after major colorectal surgery: Early development study” was published in the journal Colorectal Disease. The paper reports on the results of a parallel group, randomized controlled trial conducted at St. James’s University Hospital in Leeds, England. The study was funded by the Bowel Research UK supported by the National Institute for Health Research Surgical MedTech Co-operative. The study demonstrated the safety and practicality of treating ileus with nVNS, which could represent an important new way to improve outcomes for patients undergoing major colorectal surgery.</w:t>
      </w:r>
    </w:p>
    <w:p>
      <w:pPr>
        <w:spacing w:after="0" w:line="161" w:lineRule="exact"/>
        <w:rPr>
          <w:rFonts w:ascii="Arial" w:cs="Arial" w:eastAsia="Arial" w:hAnsi="Arial"/>
          <w:sz w:val="16"/>
          <w:szCs w:val="16"/>
          <w:color w:val="auto"/>
        </w:rPr>
      </w:pPr>
    </w:p>
    <w:p>
      <w:pPr>
        <w:ind w:left="620" w:right="660" w:hanging="233"/>
        <w:spacing w:after="0" w:line="287" w:lineRule="auto"/>
        <w:tabs>
          <w:tab w:leader="none" w:pos="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February 2021, the completion of patient enrollment in SAVIOR-1, a prospective, randomized, controlled study evaluating vagus nerve stimulation in patients who exhibit respiratory symptoms due to COVID-19 was achieved. This study is being conducted at the Hospital Clínico Universitario de Valencia, Spain. The SAVIOR-1 study enrolled 110 patients over 18 years of age with respiratory failure</w:t>
      </w:r>
    </w:p>
    <w:p>
      <w:pPr>
        <w:spacing w:after="0" w:line="2" w:lineRule="exact"/>
        <w:rPr>
          <w:rFonts w:ascii="Arial" w:cs="Arial" w:eastAsia="Arial" w:hAnsi="Arial"/>
          <w:sz w:val="16"/>
          <w:szCs w:val="16"/>
          <w:color w:val="auto"/>
        </w:rPr>
      </w:pPr>
    </w:p>
    <w:p>
      <w:pPr>
        <w:ind w:left="620" w:right="20"/>
        <w:spacing w:after="0" w:line="271" w:lineRule="auto"/>
        <w:rPr>
          <w:rFonts w:ascii="Arial" w:cs="Arial" w:eastAsia="Arial" w:hAnsi="Arial"/>
          <w:sz w:val="16"/>
          <w:szCs w:val="16"/>
          <w:color w:val="auto"/>
        </w:rPr>
      </w:pPr>
      <w:r>
        <w:rPr>
          <w:rFonts w:ascii="Arial" w:cs="Arial" w:eastAsia="Arial" w:hAnsi="Arial"/>
          <w:sz w:val="17"/>
          <w:szCs w:val="17"/>
          <w:color w:val="auto"/>
        </w:rPr>
        <w:t>secondary to SARS-CoV-2 infection. The study is designed to evaluate the incidence of relevant clinical events in patients with active SARS-CoV-2 infection. Study subjects were randomized to either the study group receiving gammaCore Sapphire nVNS together with conventional treatment, or the control group receiving conventional treatment alone. The study is also evaluating the safety of gammaCore Sapphire in patients hospitalized for COVID-19, in addition to the blood levels of proinflammatory cytokines in these patients. Preliminary results will be reported once available and full results will be published in a peer-reviewed scientific journal later this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Migraine</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 xml:space="preserve">The clearance by FDA on April 14, 2017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resulted in a new Class II regulatory category: External Vagus Nerve Stimulator for Headache (21 CFR 882-5892). The establishment of this product category has permitted us to apply for label expansions through the 510(k) regulatory pathway utilizing our own product as the predicate.</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January 2018, gammaCore was cleared by the FDA, through a 510(k) review, for commercial sale in the United States as an acute treatment for pain associated with migraine in adults.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FDA clearance for the acute treatment of migraine in adults is principally supported by our pivotal trial, PRESTO. The primary endpoint of PRESTO was pain-freedom at 120 minutes. While this trial did not reach statistical significance with respect to its primary endpoint at two hours, statistical significance was achieved for pain freedom at 30 minutes (12.7%; </w:t>
      </w:r>
      <w:r>
        <w:rPr>
          <w:rFonts w:ascii="Arial" w:cs="Arial" w:eastAsia="Arial" w:hAnsi="Arial"/>
          <w:sz w:val="18"/>
          <w:szCs w:val="18"/>
          <w:i w:val="1"/>
          <w:iCs w:val="1"/>
          <w:color w:val="auto"/>
        </w:rPr>
        <w:t>p</w:t>
      </w:r>
      <w:r>
        <w:rPr>
          <w:rFonts w:ascii="Arial" w:cs="Arial" w:eastAsia="Arial" w:hAnsi="Arial"/>
          <w:sz w:val="18"/>
          <w:szCs w:val="18"/>
          <w:color w:val="auto"/>
        </w:rPr>
        <w:t xml:space="preserve">=0.01), and maintained at 60 minutes (21.0%; </w:t>
      </w:r>
      <w:r>
        <w:rPr>
          <w:rFonts w:ascii="Arial" w:cs="Arial" w:eastAsia="Arial" w:hAnsi="Arial"/>
          <w:sz w:val="18"/>
          <w:szCs w:val="18"/>
          <w:i w:val="1"/>
          <w:iCs w:val="1"/>
          <w:color w:val="auto"/>
        </w:rPr>
        <w:t>p</w:t>
      </w:r>
      <w:r>
        <w:rPr>
          <w:rFonts w:ascii="Arial" w:cs="Arial" w:eastAsia="Arial" w:hAnsi="Arial"/>
          <w:sz w:val="18"/>
          <w:szCs w:val="18"/>
          <w:color w:val="auto"/>
        </w:rPr>
        <w:t xml:space="preserve">=0.02), and under a repeated-measures analysis, through the full 120-minute period (30.4%; </w:t>
      </w:r>
      <w:r>
        <w:rPr>
          <w:rFonts w:ascii="Arial" w:cs="Arial" w:eastAsia="Arial" w:hAnsi="Arial"/>
          <w:sz w:val="18"/>
          <w:szCs w:val="18"/>
          <w:i w:val="1"/>
          <w:iCs w:val="1"/>
          <w:color w:val="auto"/>
        </w:rPr>
        <w:t>p</w:t>
      </w:r>
      <w:r>
        <w:rPr>
          <w:rFonts w:ascii="Arial" w:cs="Arial" w:eastAsia="Arial" w:hAnsi="Arial"/>
          <w:sz w:val="18"/>
          <w:szCs w:val="18"/>
          <w:color w:val="auto"/>
        </w:rPr>
        <w:t>=0.01).</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March 2020, gammaCore was cleared by the FDA, through a 510(k) review, for commercial sale in the United States as a preventive treatment of migraine headache in adults.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FDA clearance for preventive treatment of migraine in adults is principally supported by our PREMIUM I and Event studies. The PREMIUM I study was a prospective, randomized, double-blind, sham-controlled, multicenter study in patients with episodic migraine conducted at 22 European sites from June 2015-November 2017. It consisted of a 4-week run-in period of no study treatment, which was followed by a 12-week double blind phase of randomly assigned preventive treatment with a sham device and a 24-week open-label phase which all participants received nVNS therapy. Post hoc analysis of the modified intent-to treat population showed significant difference between groups in favor of the study’s primary endpoint, mean reduction in the number of migraine days per month (therapeutic gain, 0.74; P=0.043), as well as for headache days per month (therapeutic gain, 0.86; P=0.045) and a reduction in acute medication days per month (therapeutic gain, 0.80; P=0.039).</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2021, gammaCore was cleared by the FDA, through a 510(k) review, for the acute and preventive treatment of migraine in adolescents between 12 and 17 years of age. The label expansion was based on previously reported randomized controlled trials and studies of gammaCore for the acute and preventive treatment of migraine and was supported by a small study (n=9) in adolescents where 46.8% of all treated attacks were successfully aborted without the use of any acute rescue medication.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Migraine Market Factors and Competition</w:t>
      </w:r>
    </w:p>
    <w:p>
      <w:pPr>
        <w:spacing w:after="0" w:line="212"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b w:val="1"/>
          <w:bCs w:val="1"/>
          <w:color w:val="auto"/>
        </w:rPr>
        <w:t xml:space="preserve">Migraine Prevalence and Market Size. </w:t>
      </w:r>
      <w:r>
        <w:rPr>
          <w:rFonts w:ascii="Arial" w:cs="Arial" w:eastAsia="Arial" w:hAnsi="Arial"/>
          <w:sz w:val="16"/>
          <w:szCs w:val="16"/>
          <w:color w:val="auto"/>
        </w:rPr>
        <w:t>In the United States, 39 million patients are affected by migraine, with more than 28 million being adult women.</w:t>
      </w:r>
      <w:r>
        <w:rPr>
          <w:rFonts w:ascii="Arial" w:cs="Arial" w:eastAsia="Arial" w:hAnsi="Arial"/>
          <w:sz w:val="16"/>
          <w:szCs w:val="16"/>
          <w:b w:val="1"/>
          <w:bCs w:val="1"/>
          <w:color w:val="auto"/>
        </w:rPr>
        <w:t xml:space="preserve"> </w:t>
      </w:r>
      <w:r>
        <w:rPr>
          <w:rFonts w:ascii="Arial" w:cs="Arial" w:eastAsia="Arial" w:hAnsi="Arial"/>
          <w:sz w:val="16"/>
          <w:szCs w:val="16"/>
          <w:color w:val="auto"/>
        </w:rPr>
        <w:t>Migraine attacks can be extremely disabling and more than 90% of migraine sufferers are unable to work or function normally while experiencing migraine. According to a recent analysis, the annual economic burden of migraine in the United States is approximately $78 billion. Further, it is estimated that the annual total direct and indirect costs of all migraine-related health services are between $8,500 and $9,500 for an individual patient with chronic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spacing w:after="0" w:line="120"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color w:val="auto"/>
        </w:rPr>
        <w:t>Most migraine patients manage their conditions with over-the -counter therapies. An estimated five million migraine patients in the United States require the care of a headache specialist. Among these specialists, many of whom also treat CH, are the approximately 1,100 physicians who are board-certified in the treatment of headache, many of whom practice in over 120 tertiary care centers in the United States. The triptan drug class is the current standard of care for the acute treatment of migraine. According to the U.S. Pharmacist, a leading pharmacy publication, more than 60% of patients have reported dissatisfaction with, or have contraindications to, the current standard of care, such as triptan medications.</w:t>
      </w:r>
    </w:p>
    <w:p>
      <w:pPr>
        <w:spacing w:after="0" w:line="11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Current Treatments for Prevention of Migraine and Their Limitations. </w:t>
      </w:r>
      <w:r>
        <w:rPr>
          <w:rFonts w:ascii="Arial" w:cs="Arial" w:eastAsia="Arial" w:hAnsi="Arial"/>
          <w:sz w:val="18"/>
          <w:szCs w:val="18"/>
          <w:color w:val="auto"/>
        </w:rPr>
        <w:t>Among the current treatments for prevention of migraine are blood pressure-lowering medications such as beta blockers and channel blockers, antidepressants, anti-seizure drugs. BOTOX marketed by Allergan plc, is specifically approved for the prevention of chronic, but not episodic, migraine.</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are currently several antibodies to calcitonin gene-related peptide receptor, or CGRP, and its receptor, approved by FDA for the prevention of migraine including products sold by Teva Pharmaceutical Industries Ltd., Eli Lilly and Company, Amgen Inc., which is in a co-marketing partnership with Novartis International AG and H. Lundbeck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Medications for the prevention of migraine may have such side effects as dry mouth, nausea, dizziness, and depression.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40"/>
        <w:spacing w:after="0" w:line="259" w:lineRule="auto"/>
        <w:rPr>
          <w:sz w:val="20"/>
          <w:szCs w:val="20"/>
          <w:color w:val="auto"/>
        </w:rPr>
      </w:pPr>
      <w:r>
        <w:rPr>
          <w:rFonts w:ascii="Arial" w:cs="Arial" w:eastAsia="Arial" w:hAnsi="Arial"/>
          <w:sz w:val="18"/>
          <w:szCs w:val="18"/>
          <w:color w:val="auto"/>
        </w:rPr>
        <w:t>There are a number of neuromodulation devices that have been marketed for the prevention of migraine, including Cefaly and Nerivio, or any other neuromodulation devices that may be marketed for use in treating pain associated with primary headache. Cefaly was recently granted over the counter, or OTC, clearance allowing it to be sold without a prescription. In addition, Cefaly and Nerivio recently received clearance for use in adolescents. The impact of these clearances on the competitive landscape is uncertain.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Current Acute Migraine Treatments and Their Limitations</w:t>
      </w:r>
      <w:r>
        <w:rPr>
          <w:rFonts w:ascii="Arial" w:cs="Arial" w:eastAsia="Arial" w:hAnsi="Arial"/>
          <w:sz w:val="18"/>
          <w:szCs w:val="18"/>
          <w:color w:val="auto"/>
        </w:rPr>
        <w:t>. Triptan medications, or Triptans, are a family of tryptamine-based drugs first sold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1990s, which account for approximately 80% of the acute prescriptions written annually for migraine. Triptans are sold in oral, nasal, and subcutaneous formulations. Through their binding to specific serotonin receptor subgroups, Triptans cause constriction of blood vessels in the outer covering of the brain, or the meninges. This vasoconstrictive activity may also affect blood vessels in other areas of the body, including the heart, which accounts for important risks associated with their use, and labeling limitations on the frequency of their use.</w:t>
      </w:r>
    </w:p>
    <w:p>
      <w:pPr>
        <w:spacing w:after="0" w:line="1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FDA has approved two oral small molecule CGRP receptor antagonists for the acute treatment of migraine with or without aura in adults. These products are marketed by Allergan and Biohaven Pharmaceuticals Inc. The FDA has also approved Eli Lilly’s lasmiditan for acute treatment of migraine in adults.</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There are a number of neuromodulation devices that have been marketed for the treatment of migraine, including Cefaly, Nerivio, or any other neuromodulation devices that may be marketed for use in treating pain associated with primary headache. Cefaly has been granted OTC clearance allowing it to be sold without a prescription and the impact of this clearance on the competitive landscape remains to be seen. Other less commonly prescribed acute migraine treatments include ergotamines and analgesics, including non-steroidal anti-inflammatory drugs, or NSAIDs, acetaminophen and antiemetics. Dihydroergotamine, or DHE, is a grain fungus derivative that, like triptans, is a potent vasoconstrictor. DHE has been used for more than 50 years for the treatment of migraine, but modern physicians rarely prescribe it because of its significant side effects. More specifically, ergotamines and triptans are both vasoconstrictors with labels citing the risk of their use in migraine sufferers with risk factors for cardiovascular disease.</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Opioids are often dispensed for migraine attacks in emergency departments; however, in the treatment guidelines referenced by the National Institutes of Health, their use is not recommended for the acute treatment of migraine. Opioid use for migraine is associated with increased disability and health care utilization. The U.S. Centers for Disease Control and Prevention has recognized the growing issue of opioid misuse, abuse and addiction and officially classified prescription opioid abuse as an epidemic.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As mentioned above, in April 2017, FDA granted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w:t>
      </w:r>
      <w:r>
        <w:rPr>
          <w:rFonts w:ascii="Arial" w:cs="Arial" w:eastAsia="Arial" w:hAnsi="Arial"/>
          <w:sz w:val="17"/>
          <w:szCs w:val="17"/>
          <w:i w:val="1"/>
          <w:iCs w:val="1"/>
          <w:color w:val="auto"/>
        </w:rPr>
        <w:t>,</w:t>
      </w:r>
      <w:r>
        <w:rPr>
          <w:rFonts w:ascii="Arial" w:cs="Arial" w:eastAsia="Arial" w:hAnsi="Arial"/>
          <w:sz w:val="17"/>
          <w:szCs w:val="17"/>
          <w:color w:val="auto"/>
        </w:rPr>
        <w:t xml:space="preserve"> clearing our gammaCore for commercial sale in the United States for the acute treatment of pain associated with eCH in adults. In December 2018, we were successful in receiving FDA clearance for gammaCore Sapphire as a prevention for CH, the first product in the United States or Europe to receive regulatory approval for this indication.</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CH is a condition in which patients experience extremely painful headache attacks that have been described by patients and physicians as some of the most painful known. CH predominantly affects males in their prime earning ages of 20 to 50, and the attacks of pain occur in bouts, known as cluster periods, during which attacks are experienced at a frequency ranging from every other day to as often as eight times per day. Individual attacks typically last from 15 minutes to as long as three hours. Among CH patients, 85% to 90% experience eCH, with their cluster periods, or bouts, lasting from two to 12 weeks, followed by a remission period, often cycling into bouts twice per year. Chronic CH, or cCH, patients experience no periods of remission or remission periods of less than three months in a 12-month period. There is only one other FDA-approved commercially available pharmaceutical option for acute CH treatment, and gammaCore is the only FDA-cleared option for the prevention of all forms of CH.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240"/>
        <w:spacing w:after="0" w:line="257" w:lineRule="auto"/>
        <w:rPr>
          <w:sz w:val="20"/>
          <w:szCs w:val="20"/>
          <w:color w:val="auto"/>
        </w:rPr>
      </w:pPr>
      <w:r>
        <w:rPr>
          <w:rFonts w:ascii="Arial" w:cs="Arial" w:eastAsia="Arial" w:hAnsi="Arial"/>
          <w:sz w:val="18"/>
          <w:szCs w:val="18"/>
          <w:color w:val="auto"/>
        </w:rPr>
        <w:t xml:space="preserve">Our first FDA clearance, received following the grant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was for the acute treatment of eCH in adults, and is supported by two pivotal trials: our ACT 1 trial and our ACT 2 trial. The primary endpoints of these trials were pain reduction and pain-freedom within 15 minutes of the onset of the attack, respectively. While neither trial reached statistical significance compared to a sham device with respect to its primary endpoint in the combined eCH and cCH populations, both trials reached statistical significance (ACT 1; 34.2%; ACT 2; 47.5%; </w:t>
      </w:r>
      <w:r>
        <w:rPr>
          <w:rFonts w:ascii="Arial" w:cs="Arial" w:eastAsia="Arial" w:hAnsi="Arial"/>
          <w:sz w:val="18"/>
          <w:szCs w:val="18"/>
          <w:i w:val="1"/>
          <w:iCs w:val="1"/>
          <w:color w:val="auto"/>
        </w:rPr>
        <w:t>p</w:t>
      </w:r>
      <w:r>
        <w:rPr>
          <w:rFonts w:ascii="Arial" w:cs="Arial" w:eastAsia="Arial" w:hAnsi="Arial"/>
          <w:sz w:val="18"/>
          <w:szCs w:val="18"/>
          <w:color w:val="auto"/>
        </w:rPr>
        <w:t>&lt;0.01 in each trial) on the primary endpoint in the eCH cohort.</w:t>
      </w:r>
    </w:p>
    <w:p>
      <w:pPr>
        <w:spacing w:after="0" w:line="188"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Our FDA clearance for the prevention of CH in adults is principally supported by our pivotal trial, PREVA. The primary endpoint of PREVA was the reduction in number of CH attacks experienced per week during a test period (weeks 3 and 4 after initiating 3x daily treatments with gammaCore), as compared with the number of attacks per week during a baseline comparison period prior to initiation of gammaCore therapy. This trial met its primary endpoint with statistical significance compared to a sham device for the reduction in the number of cluster attacks (-5.9 vs. -2.1; </w:t>
      </w:r>
      <w:r>
        <w:rPr>
          <w:rFonts w:ascii="Arial" w:cs="Arial" w:eastAsia="Arial" w:hAnsi="Arial"/>
          <w:sz w:val="16"/>
          <w:szCs w:val="16"/>
          <w:i w:val="1"/>
          <w:iCs w:val="1"/>
          <w:color w:val="auto"/>
        </w:rPr>
        <w:t>p</w:t>
      </w:r>
      <w:r>
        <w:rPr>
          <w:rFonts w:ascii="Arial" w:cs="Arial" w:eastAsia="Arial" w:hAnsi="Arial"/>
          <w:sz w:val="16"/>
          <w:szCs w:val="16"/>
          <w:color w:val="auto"/>
        </w:rPr>
        <w:t>&lt;0.001).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 Market Factors-United States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Prevalence and market size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prevalence of CH in the United States ranges from 0.1% to 0.2% of the total population, with consensus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400,000 patients. eCH patients average approximately four months per year in bouts.</w:t>
      </w:r>
    </w:p>
    <w:p>
      <w:pPr>
        <w:spacing w:after="0" w:line="184"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b w:val="1"/>
          <w:bCs w:val="1"/>
          <w:i w:val="1"/>
          <w:iCs w:val="1"/>
          <w:color w:val="auto"/>
        </w:rPr>
        <w:t>Economic Burden</w:t>
      </w:r>
      <w:r>
        <w:rPr>
          <w:rFonts w:ascii="Arial" w:cs="Arial" w:eastAsia="Arial" w:hAnsi="Arial"/>
          <w:sz w:val="17"/>
          <w:szCs w:val="17"/>
          <w:color w:val="auto"/>
        </w:rPr>
        <w:t>. According to a February 2020 published study in The American Journal of Managed Care, the overall average medical costs for eCH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over a three-year period exceeded $22,500, compared with $10,140 among non-headache sufferers. Similarly, the overall average pharmacy costs per eCH patient during this period were $8,200, which was nearly double that of the non-headache sufferers. Participants in surveys of sufferers indicate that CH is associated with a large socioeconomic burden. For example, research found that nearly 20% of patients with CH reported loss of employment and approximately 8% are unemployed or receiving disability services due to the disorder.</w:t>
      </w:r>
    </w:p>
    <w:p>
      <w:pPr>
        <w:spacing w:after="0" w:line="173"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b w:val="1"/>
          <w:bCs w:val="1"/>
          <w:i w:val="1"/>
          <w:iCs w:val="1"/>
          <w:color w:val="auto"/>
        </w:rPr>
        <w:t>Other Therapies for the Treatment and Prevention of Cluster Headache</w:t>
      </w:r>
      <w:r>
        <w:rPr>
          <w:rFonts w:ascii="Arial" w:cs="Arial" w:eastAsia="Arial" w:hAnsi="Arial"/>
          <w:sz w:val="17"/>
          <w:szCs w:val="17"/>
          <w:color w:val="auto"/>
        </w:rPr>
        <w:t>. Other than gammaCore, there is only one FDA-approved commercially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therapy for acute treatment for CH, injectable sumatriptan (Imitrex). The side effect profile and cost of Imitrex, however, typically limits patient access to only six to 10 doses per month, which usually enables patients to treat only a small fraction of their attacks each month. Even at this limited access level, the monthly cost of Imitrex for CH patients and their insurance providers averages more than $700. Imitrex use is also limited by the requirement for patients to subcutaneously self-inject, which may be particularly difficult to do while experiencing a CH attack. The most frequently used acute treatments for CH attacks are subcutaneous sumatriptan and high flow rate inhaled oxygen. Alternative treatments include intranasal triptans and intravenous dihydroergotamine, or DHE. Only subcutaneous sumatriptan and intravenous DHE are approved in the United States for the acute treatment of CH, and Galcanezumab, a calcitonin gene-related peptide that is produced by Eli Lilly and Company was recently approved by the FDA for the treatment of eCH. Approval and commercialization of additional therapies may be forthcoming.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Additional medications that are used by patients off-label include verapamil, lithium, and valproate.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 Market Factors -United Kingdom</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Prevalence and market size</w:t>
      </w:r>
      <w:r>
        <w:rPr>
          <w:rFonts w:ascii="Arial" w:cs="Arial" w:eastAsia="Arial" w:hAnsi="Arial"/>
          <w:sz w:val="18"/>
          <w:szCs w:val="18"/>
          <w:color w:val="auto"/>
        </w:rPr>
        <w:t>. The estimated prevalence of CH in the United Kingdom ranges from 0.1% to 0.2% of the total population, with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66,000 affected patients. We estimate that the total addressable market for the treatment of CH in the United Kingdom in 2021 will be approximately £100 million.</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Economic Burden</w:t>
      </w:r>
      <w:r>
        <w:rPr>
          <w:rFonts w:ascii="Arial" w:cs="Arial" w:eastAsia="Arial" w:hAnsi="Arial"/>
          <w:sz w:val="18"/>
          <w:szCs w:val="18"/>
          <w:color w:val="auto"/>
        </w:rPr>
        <w:t>. According to the MTFM published by NHS England and NHS Improvement in January 2021, the overall cost for treating CH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England over the next five years will be approximately £218.7 million. Participants in surveys of sufferers indicate that CH is associated with a large socioeconomic burden. For example, research found that nearly 20% of patients with CH reported loss of employment and approximately 8% are unemployed or receiving disability payments due to the disorder.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Other Therapies for the Treatment of Cluster Headache</w:t>
      </w:r>
      <w:r>
        <w:rPr>
          <w:rFonts w:ascii="Arial" w:cs="Arial" w:eastAsia="Arial" w:hAnsi="Arial"/>
          <w:sz w:val="18"/>
          <w:szCs w:val="18"/>
          <w:color w:val="auto"/>
        </w:rPr>
        <w:t>. The goal of available treatments is total attack cessation, or suppression of headache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next episode. Therapies are prescribed in an attempt to prevent CH attacks (prophylaxis) and to manage pain at the time of a headache (acute / abortive treatment); the latter is rarely sufficient to achieve adequate control alone.</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Standard prophylactic treatments for CH, such as nerve blocks, high dose verapamil and some anticonvulsants are used outside of their licensed indication and with limited evidence to support their prescription. Lithium may also be tried but is a difficult therapy to initiate and monitor. Verapamil requires careful cardiac monitoring during dose escalation, and dihydroergotamine requires infusion in an in-patient setting. Nerve blocks are performed in the neurology clinic or on the hospital ward.</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Acute treatments are given by a variety of routes. Sumatriptan is given by subcutaneous or intranasal injection and high flow oxygen can be given via inhalation during acute attacks. In practice, single or multiple nerve blocks, pharmacological therapies and high flow oxygen may be used adjunctively to try and manage CH.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Headache Market-Potential Future Market Factors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we believe that our proprietary gammaCore therapy provides us with competitive advantages, there is fierce competition, particularly in the migraine market, from many different sources, including pharmaceutical, biotechnology and other healthcare companies. In addition, academic institutions, governmental agencies and public and private research institutions are actively conducting research in overlapping fields of interest. Our gammaCore therapy competes and will compete with numerous existing therapies and therapies that may become available in the future.</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key competitive factors affecting the potential success of our therapy are its safety, efficacy, convenience, price, the availability of generic drugs and the availability of coverage and reimbursement from government and certain other third-party payers. There can be no assurance, however, given the competitive landscape in the markets in which gammaCore competes, that demand for our products may not be constrained, or face significant pricing pressure, or that the scope of coverage and reimbursement from third-party payers will expand or not be curtailed.</w:t>
      </w:r>
    </w:p>
    <w:p>
      <w:pPr>
        <w:spacing w:after="0" w:line="13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Many of the companies we are competing with now, or with which we may compete in the future, have significantly greater financial resources and expertise in research and development, manufacturing, preclinical testing, conducting clinical trials, obtaining regulatory approvals, sales and marketing and obtaining third-party payer coverage for approved drugs than we do. Smaller or early-stage companies may also prove to be significant competitors, particularly through collaborative arrangements with large and established companies and healthcare related institutions.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completion of our competitors’ clinical trials with respect to their headache products could negatively impact the perception of us or our gammaCore therapy. The perception by physicians, payers or patients that a competitor’s product is superior to our gammaCore therapy or offers comparable benefits at a lower cost or lower incidence of undesirable side effects as compared against our gammaCore therapy, could have a material adverse effect on us.</w:t>
      </w:r>
    </w:p>
    <w:p>
      <w:pPr>
        <w:spacing w:after="0" w:line="1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Given the size of the existing and potential primary headache markets in the United States and abroad, we expect that as we continue to seek to expand our commercial efforts, our current and future competitors will grow in number and take aggressive actions to grow, enhance and protect their market positions to our potential detriment.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actively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Emergency Use Authorization</w:t>
      </w:r>
    </w:p>
    <w:p>
      <w:pPr>
        <w:spacing w:after="0" w:line="11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April 2020, we announced that we had submitted an EUA application to the FDA to facilitate the study and clinical use of our gammaCore Sapphire nVNS therapy for respiratory symptoms associated with COVID-19.</w:t>
      </w:r>
    </w:p>
    <w:p>
      <w:pPr>
        <w:spacing w:after="0" w:line="17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July 2020, the FDA granted the Company an EUA authorizing the use the Company’s gammaCore Sapphire CV nVNS therapy at home or in a healthcare setting to acutely treat adult patients with known or suspected COVID-19 who are experiencing exacerbation of asthma-related dyspnea and reduced airflow, and for whom approved drug therapies are not tolerated or provide insufficient symptom relief.</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EUA is supported by the Secretary of Health and Human Service’s declaration that circumstances exist to justify the emergency use of medical devices during the COVID-19 pandemic. This device has not undergone the same type of review as an FDA-approved or cleared device. The FDA may issue an EUA when certain criteria are met, which includes that there are no adequate, approved, or available alternatives to the candidate product. In addition, the FDA decision is based on the totality of scientific evidence available showing that it is reasonable to believe that the device meets certain criteria for safety, performance, and labeling, and that it may be effective in treating patients with COVID-19.</w:t>
      </w:r>
    </w:p>
    <w:p>
      <w:pPr>
        <w:spacing w:after="0" w:line="17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EUA for the gammaCore Sapphire CV device is in effect for the duration of the COVID-19 pandemic justifying emergency use of these devices, unless terminated or revoked (after which the products may no longer be used). An FDA approved or cleared device should be used instead of the gammaCore Sapphire CV under EUA, when applicable and available.</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second quarter of 2020, two IITs of gammaCore Sapphire CV were launched to study patients with a confirmed diagnosis of, or presumed to be, COVID-19, one in Valencia, Spain (referred to as “SAVIOR-1”) and the other in Pittsburgh, Pennsylvania (referred to as “SAVIOR-2”). The studies will measure the safety and efficacy of gammaCore Sapphire CV plus standard of care alone in patients hospitalized with COVID-19 across a broad range of clinical and laboratory endpoints. Enrollment has been completed for SAVIOR-1 and continues for SAVIOR-2. We expect to report data from these trials in 2021.</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September 2020, we entered into an agreement with UpScript, LLC pursuant to which UpScript serves as the exclusive online telehealth provider for gammaCore Sapphire CV.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the FDA-registered manufacturer of our gammaCore Sapphire and related products. We rely upon third-party contract manufacturers and suppliers, located both within and outside the United States, for substantially all of the components of our gammaCore products, including the handheld stimulator assembly, charging case, RFID cards and conductive gel.</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our facility in Rockaway, New Jersey, we inspect inbound component parts to ensure they meet our design and manufacturing specifications. This quality process involves physical inspection and electrical performance testing. After successful completion of this inspection, each gammaCore is configured to deliver our prescribed therapy, and a final test is performed on the unit to ensure it meets our performance specifications. At the time of configuration, most units are programmed with a unique set of proprietary activation codes that will correspond to codes that are programmed onto RFID cards by our specialty pharmacies and delivered to the patient to activate and refill their therapy. The unit is then packaged, along with appropriate labeling, instructions for use, an initial RFID card, and conductive gel, and shipped into our distribution network, or direct-to-end user.</w:t>
      </w:r>
    </w:p>
    <w:p>
      <w:pPr>
        <w:spacing w:after="0" w:line="13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relocation of development and prototype shops, as well as manufacturing and related operations, including device assembly, inspection/testing, packaging, storage, and shipping to our facility in Rockaway, New Jersey was completed in March 2020 with an on-site audit of the facility by our EU Notified Body.</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protect against risk of supply chain disruption, we have qualified an approved secondary contract manufacturer. Additionally, we retain the internal expertise and capabilities to perform all assembly aspects of our commercial product. These measures include purchasing a sufficient advanced supply of key components to reasonably assure that no component shortages will interrupt our ability to manufacture and deliver our products to patients on a timely basis.</w:t>
      </w:r>
    </w:p>
    <w:p>
      <w:pPr>
        <w:spacing w:after="0" w:line="160"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As of December 31, 2020, we had approximately $5.7 million of inventory. Our inventory significantly exceeds current demand for the gammaCore therapy, which creates a risk of an adverse financial impact from inventory obsolescence.</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generation of our proprietary therapeutic signal does not require custom electronic components. Therefore, we believe long-term manufacturing, supply and quality agreements with electronic component suppliers are not necessary, as all the electronic components used in our products are either high-volume, non-custom commodity components, or are readily available from multiple vendors. The majority of these components have multiple sources, and the few with single sources have been purchased with sufficient reserves to permit continued production while simple product design modifications can be made.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As of February 1, 2021, we held more than 170 patents and patent applications, including more than 100 issued U.S. patents, more than 30 U.S. patent applications, and more than 40 international patents and applications. All of our current issued patents are projected to expire between 2026 and 2033.</w:t>
      </w:r>
    </w:p>
    <w:p>
      <w:pPr>
        <w:spacing w:after="0" w:line="12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More specifically, our current therapy embodies a number of critical proprietary innovations, including a patented high-frequency burst signal that is capable of passing comfortably through the capacitance of the skin. In addition, our therapy utilizes a patented low pass filtration that substantially eliminates high frequency harmonics that would otherwise activate pain receptors in the skin. The combined result is a mild sensation that activates the target fibers in the cervical vagus nerve.</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We cannot assure you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actively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18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There has been substantial litigation regarding patent and other intellectual property rights in the medical device industry. In the future, we may need to engage in litigation to enforce our issued patents, to protect our trade secrets or know-how,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subject us to significant liabilities to third parties, could require us to seek licenses from third parties and could prevent us from manufacturing, selling or using our gammaCore products, any of which could severely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Copyrights, Trademarks and Trade Secrets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software programs associated with gammaCore and our proprietary ecosystem are protected by U.S. copyright law.</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February 1, 2021, our trademark portfolio consisted of five US trademark registrations, including electroCore, gammaCore and gammaCore Sapphire, three international trademark registrations, and five pending international trademark applications.</w:t>
      </w:r>
    </w:p>
    <w:p>
      <w:pPr>
        <w:spacing w:after="0" w:line="13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and operations are subject to extensive and rigorous regulation by the FDA under the Federal Food, Drug, and Cosmetic Act, or FFDCA, and its implementing regulations, guidance documentation, and standards. Our gammaCore products are regulated by the FDA as medical devices. The FDA regulates the design, development, research, testing, manufacturing, safety, labeling, storage, recordkeeping, promotion, distribution, sale and advertising of medical devices in the United States to ensure that medical products distributed domestically are safe and effective for their intended uses. The FDA also regulates the export of medical devices manufactured in the United States to international markets. Any violations of these laws and regulations could result in a material adverse effect on our business, financial condition and results of operations. In addition, if there is a change in law, regulation or judicial interpretation, we may be required to change our business practices, which could have a material adverse effect on our business, financial condition and results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Under the FFDCA, medical devices are classified into one of three classes—Class I, Class II or Class III—depending on the degree of risk associated with each medical device and the extent of control needed to ensure safety and effectiveness.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w:t>
      </w:r>
    </w:p>
    <w:p>
      <w:pPr>
        <w:spacing w:after="0" w:line="131" w:lineRule="exact"/>
        <w:rPr>
          <w:sz w:val="20"/>
          <w:szCs w:val="20"/>
          <w:color w:val="auto"/>
        </w:rPr>
      </w:pPr>
    </w:p>
    <w:p>
      <w:pPr>
        <w:ind w:right="60"/>
        <w:spacing w:after="0" w:line="304"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9"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160"/>
        <w:spacing w:after="0" w:line="288"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9"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w:t>
      </w:r>
    </w:p>
    <w:p>
      <w:pPr>
        <w:spacing w:after="0" w:line="13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 PMA must be submitted to the FDA for any device that is classified in Class III or otherwise cannot be cleared through the 510(k) process (although the FDA has discretion to continue to allow certain pre-amendment Class III devices to use the 510(k) process). PMA applications must be supported by, among other things, valid scientific evidence demonstrating the safety and effectiveness of the device, which typically requires extensive data, including technical, preclinical, clinical and manufacturing data. The PMA must also contain a full description of the device and its components, a full description of the methods, facilities, and controls used for manufacturing, and proposed labeling. Following receipt of a PMA application, once the FDA determines that the application is sufficiently complete to permit a substantive review, the FDA will formally accept the application for review. The FDA, by statute and by regulation, has 180-days to review an “accepted” PMA application, although the review of an application more often occurs over a significantly longer period of time, and can take up to several years. During the review period, the FDA will typically request additional information or clarification of the information already provided. Also,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manufacturing facility or facilities to ensure compliance with the QSR.</w:t>
      </w:r>
    </w:p>
    <w:p>
      <w:pPr>
        <w:spacing w:after="0" w:line="165"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If the FDA evaluations of both the PMA application and the manufacturing facilities are favorable, the FDA will either issue an approval letter or an approvable letter, which usually contains a number of conditions that must be met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Once granted, PMA approval may be withdrawn by the FDA if compliance with post-approval requirements, conditions of approval or other regulatory standards is not maintained, or problems are identified following initial marketing.</w:t>
      </w:r>
    </w:p>
    <w:p>
      <w:pPr>
        <w:spacing w:after="0" w:line="178"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In approving a PMA,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New PMAs or PMA supplements are required for modifications that affect the safety or effectiveness of a PMA-approved device, including, for example, certain types of modifications to the device’s indication for use, manufacturing process, labeling and design.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EUA Approval</w:t>
      </w:r>
    </w:p>
    <w:p>
      <w:pPr>
        <w:spacing w:after="0" w:line="90"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Commissioner of the FDA, under delegated authority from the Secretary of the U.S. Department of Health and Human Services, or DHHS, may, under certain circumstances, issue an EUA that would permit the use of an unapproved drug product or unapproved use of an approved drug product. Before an EUA may be issued, the Secretary must declare an emergency based on one of the following grounds:</w:t>
      </w:r>
    </w:p>
    <w:p>
      <w:pPr>
        <w:spacing w:after="0" w:line="176" w:lineRule="exact"/>
        <w:rPr>
          <w:sz w:val="20"/>
          <w:szCs w:val="20"/>
          <w:color w:val="auto"/>
        </w:rPr>
      </w:pPr>
    </w:p>
    <w:p>
      <w:pPr>
        <w:ind w:left="580" w:right="600" w:hanging="341"/>
        <w:spacing w:after="0" w:line="342"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determination by the Secretary of the Department of Homeland Security that there is a domestic emergency, or a significant potential for a domestic emergency, involving a heightened risk of attack with a specified biological, chemical, radiological, or nuclear agent or agents;</w:t>
      </w:r>
    </w:p>
    <w:p>
      <w:pPr>
        <w:spacing w:after="0" w:line="123" w:lineRule="exact"/>
        <w:rPr>
          <w:rFonts w:ascii="Arial" w:cs="Arial" w:eastAsia="Arial" w:hAnsi="Arial"/>
          <w:sz w:val="16"/>
          <w:szCs w:val="16"/>
          <w:color w:val="auto"/>
        </w:rPr>
      </w:pPr>
    </w:p>
    <w:p>
      <w:pPr>
        <w:ind w:left="580" w:right="460" w:hanging="341"/>
        <w:spacing w:after="0" w:line="342"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determination by the Secretary of the DoD that there is a military emergency, or a significant potential for a military emergency, involving a heightened risk to U.S. military forces of attack with a specified biological, chemical, radiological, or nuclear agent or agents; or</w:t>
      </w:r>
    </w:p>
    <w:p>
      <w:pPr>
        <w:spacing w:after="0" w:line="123" w:lineRule="exact"/>
        <w:rPr>
          <w:rFonts w:ascii="Arial" w:cs="Arial" w:eastAsia="Arial" w:hAnsi="Arial"/>
          <w:sz w:val="16"/>
          <w:szCs w:val="16"/>
          <w:color w:val="auto"/>
        </w:rPr>
      </w:pPr>
    </w:p>
    <w:p>
      <w:pPr>
        <w:ind w:left="580" w:right="60" w:hanging="341"/>
        <w:spacing w:after="0" w:line="263"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Secretary of the DHHS that a public health emergency that effects, or has the significant potential to effect, national security and that involves a specified biological, chemical, radiological, or nuclear agent or agents, or a specified disease or condition that may be attributable to such agent or agent.</w:t>
      </w:r>
    </w:p>
    <w:p>
      <w:pPr>
        <w:spacing w:after="0" w:line="14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order to be the subject of an EUA, the FDA Commissioner must conclude that, based on the totality of scientific evidence available, it is reasonable to believe that the product may be effective in diagnosing, treating or preventing a disease attributable to the agents described above, that the product’s potential benefits outweigh its potential risks and that there is no adequate approved alternative to the product.</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Although an EUA cannot be issued until after an emergency has been declared by the Secretary of DHHS, the FDA strongly encourages an entity with a possible candidate product, particularly one at an advanced stage of development, to contact the FDA center responsible for the candidate product before a determination of actual or potential emergency. Such an entity may submit a request for consideration that includes data to demonstrate that, based on the totality of scientific evidence available, it is reasonable to believe that the product may be effective in diagnosing, treating, or preventing the serious or life-threatening disease or condition. This is called a pre-EUA submission and its purpose is to allow FDA review considering that during an emergency, the time available for the submission and review of an EUA request may be severely limited.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the FDASIA,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302" w:lineRule="auto"/>
        <w:rPr>
          <w:sz w:val="20"/>
          <w:szCs w:val="20"/>
          <w:color w:val="auto"/>
        </w:rPr>
      </w:pPr>
      <w:r>
        <w:rPr>
          <w:rFonts w:ascii="Arial" w:cs="Arial" w:eastAsia="Arial" w:hAnsi="Arial"/>
          <w:sz w:val="17"/>
          <w:szCs w:val="17"/>
          <w:color w:val="auto"/>
        </w:rPr>
        <w:t xml:space="preserve">In March 2014 we filed a pre-submission package with the FDA requesting a meeting to discuss the viability of using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pathway to gain authorization to commercialize our gammaCore product for an initial indication in CH. In June 2014, FDA met with us and confirmed that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pathway would be appropriate for our submission. In October 2014 we filed our initial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FDA. As is customary for many applications for commercial approval (Class II or Class III), FDA in a letter to us in May 2015 denied our initial application stating that our initial filing did not yet support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clearance based on the information in the initial filing. In June 2015 we participated in an in-person meeting with FDA representatives to discuss the issues raised by the FDA in its May 2015 denial letter. In October 2015, based on our June 2015 meeting with FDA, we resubmitted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two proposed indications: (i) acute treatment of eCH; and (ii) prophylactic treatment of cCH. In February 2016, we received a letter from FDA indicating that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some further requested re-analysis, included sufficient data to support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clearance of gammaCore for at least one indication. We performed and submitted to the FDA the requested re-analysis in March 2016 and, following additional correspondence and meetings with FDA, in April 2017, FDA approved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and cleared our gammaCore therapy in the United States for the acute treatment of pain associated with eCH in adults.</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 xml:space="preserve">Based on this approval,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request, gammaCore has been down classified to Class II under a new Class II device regulatory category for non-invasive cervical vagus nerve stimulators for the treatment of headache. The establishment of this category created a 510(k) regulatory pathway for the potential expansion of the gammaCore label to include acute treatment and/or prevention of pain associated with migraine and cCH, as well as acute treatment and/or prevention of other primary and secondary headaches. In January 2018, the FDA cleared gammaCore for acute treatment of pain associated with migraine headaches in adult patients, and on March 26, 2020 the FDA cleared our gammaCore therapy for prevention of migraine in adult patients. In February 2021, gammaCore received 510(k) clearance from the FDA for the acute and preventive treatment of migraine in adolescents between 12 and 17 years of age.</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Additionally, we may consider utilizing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obtain marketing authorization for our product candidates under development outside the headache field.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31"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When FDA clearance or approval of a Class I, Class II or Class III device requires human clinical trials, and if the device presents a “significant risk” to human health, the device sponsor is required to file an IDE, or Investigational Device Exemption, application with the FDA and obtain IDE approval prior to commencing the human clinical trial. If the device is considered a “non-significant risk,” IDE submission to FDA is not required. Instead, only approval from the Institutional Review Board, or IRB, overseeing the investigation at each clinical trial site is required. Human clinical studies are generally required in connection with approval of Class III devices and may be required for Class I and II devices. The FDA or the IRB at each institution at which a clinical trial is being performed may suspend a clinical trial at any time for various reasons, including a belief that the subjects are being exposed to an unacceptable health risk. Even if a trial is completed, the results of clinical testing may not adequately demonstrate the safety and efficacy of the device or may otherwise not be sufficient to obtain FDA clearance or approval to market the product in the United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Continuing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placed on the market, numerous regulatory requirements apply. These include:</w:t>
      </w:r>
    </w:p>
    <w:p>
      <w:pPr>
        <w:spacing w:after="0" w:line="225"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238"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design and manufacturing process;</w:t>
      </w:r>
    </w:p>
    <w:p>
      <w:pPr>
        <w:spacing w:after="0" w:line="17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or unapproved “off-label” uses;</w:t>
      </w:r>
    </w:p>
    <w:p>
      <w:pPr>
        <w:spacing w:after="0" w:line="238"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efficacy or that would constitute a major change in intended use of one of our cleared devices;</w:t>
      </w:r>
    </w:p>
    <w:p>
      <w:pPr>
        <w:spacing w:after="0" w:line="17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225" w:lineRule="exact"/>
        <w:rPr>
          <w:rFonts w:ascii="Arial" w:cs="Arial" w:eastAsia="Arial" w:hAnsi="Arial"/>
          <w:sz w:val="18"/>
          <w:szCs w:val="18"/>
          <w:color w:val="auto"/>
        </w:rPr>
      </w:pPr>
    </w:p>
    <w:p>
      <w:pPr>
        <w:jc w:val="both"/>
        <w:ind w:left="1080" w:right="18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7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17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or uncleared use, it could request that we modify our training or promotional materials or subject us to regulatory or enforcement actions. It is also possible that other federal, state or foreign enforcement authorities might take action if they consider our promotional or training materials to constitute promotion of an unapproved or uncleared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91"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color w:val="auto"/>
        </w:rPr>
        <w:t>Furthermore, our products could be subject to voluntary recall if we or the FDA determine, for any reason, that our products pose a risk of injury or are otherwise defective. Moreover, the FDA can order a mandatory recall if there is a reasonable probability that our gammaCore therapy would cause serious adverse health consequences or death.</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right="40" w:firstLine="45"/>
        <w:spacing w:after="0" w:line="290"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 or</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date, our facility has not been inspected by the FDA.</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international sales are subject to regulatory requirements in the countries in which our products are sold. The regulatory review process varies from country to country and may in some cases require the submission of clinical data.</w:t>
      </w:r>
    </w:p>
    <w:p>
      <w:pPr>
        <w:spacing w:after="0" w:line="184"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We received CE Certificate of Conformity in the European Economic Area (which is composed of all the EU member states and the UK, Norway, Iceland and Liechtenstein), or EEA, for our 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spacing w:after="0" w:line="155"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In the EEA,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3" w:name="page24"/>
    <w:bookmarkEnd w:id="23"/>
    <w:p>
      <w:pPr>
        <w:spacing w:after="0" w:line="303"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78"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will be applicable on May 26, 2021. Once applicable, the new regulations will among other things:</w:t>
      </w:r>
    </w:p>
    <w:p>
      <w:pPr>
        <w:spacing w:after="0" w:line="16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48"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17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which may have to undergo an additional check by experts before they are placed on the market.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was necessary for notified bodies to be accredited by the EU Member States’ accreditation bodies to conduct assessment procedures for medical devices in accordance with the Regulation. We have the necessary certificates for the MDR.</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On March 29, 2017 the United Kingdom formally notified the EU of its intention to withdraw from the Union pursuant to Article 50 of the Lisbon Treaty, commonly referred to as Brexit. The United Kingdom and EU have agreed on the terms of the exit deal, which included a transitional period following the United Kingdom’s exit which occurred on January 31, 2020. The transitional period ended on December 31, 2020. The effects of Brexit will be determined by the EU–UK Trade and Cooperation Agreement which was agreed on December 24, 2020 and ratified by the UK Parliament on December 30, 2020 and was “provisionally” applied by the EU from December 31, 2020. Following Brexit, EU law and the EU Court of Justice no longer have supremacy over British laws or its Supreme Court. The United Kingdom's European Union (Withdrawal) Act 2018 retains relevant EU law as domestic law, which can be amended or repealed. The United Kingdom’s withdrawal from the EU could lead to legal uncertainty and potentially divergent national laws and regulations in the EU and the United Kingdom. Given the lack of comparable precedent, it is unclear what Brexit’s financial, regulatory, and legal implications will be and how it will affect us. However, potentially changing regulatory schemes and tariffs engendered by Brexit may add additional complexity, cost and delays to the operations of electroCore UK Ltd., and in marketing or selling our products in the United Kingdom. Our revenue and profit, supply and demand for our products, and customer retention and acquisition in both the long term and short term could be adversely affected.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United Kingdom may have a significant impact on our activities. Finally, Brexit may also disrupt the way that the United Kingdom interprets obligations under CE Certificates of Conformity.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also subject to healthcare fraud and abuse regulation in the jurisdictions in which we will conduct our business. These laws include, without limitation, applicable anti-kickback, false claims, transparency and patient privacy and security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ind w:right="40"/>
        <w:spacing w:after="0" w:line="323" w:lineRule="auto"/>
        <w:rPr>
          <w:sz w:val="20"/>
          <w:szCs w:val="20"/>
          <w:color w:val="auto"/>
        </w:rPr>
      </w:pPr>
      <w:r>
        <w:rPr>
          <w:rFonts w:ascii="Arial" w:cs="Arial" w:eastAsia="Arial" w:hAnsi="Arial"/>
          <w:sz w:val="16"/>
          <w:szCs w:val="16"/>
          <w:b w:val="1"/>
          <w:bCs w:val="1"/>
          <w:i w:val="1"/>
          <w:iCs w:val="1"/>
          <w:color w:val="auto"/>
        </w:rPr>
        <w:t>Anti-Kickback Statute</w:t>
      </w:r>
      <w:r>
        <w:rPr>
          <w:rFonts w:ascii="Arial" w:cs="Arial" w:eastAsia="Arial" w:hAnsi="Arial"/>
          <w:sz w:val="16"/>
          <w:szCs w:val="16"/>
          <w:color w:val="auto"/>
        </w:rPr>
        <w:t>: The federal Anti-Kickback Statute prohibits, among other things, persons or entities from knowingly and willfully soliciting,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receiving or paying any remuneration, directly or indirectly, overtly or covertly,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The federal Anti-Kickback Statute is broad and prohibits many arrangements and practices that are lawful in businesses outside of the healthcare industry. The term “remuneration” includes kickbacks, bribes, or rebates and also has been broadly interpreted to include anything of value, including for example, gifts, discounts, the furnishing of supplies or equipment, credit arrangements, payments of cash, waivers of payments, ownership interests, relieving a referral source of a financial or administrative burden and providing anything at less than its fair market value. In addition, longstanding OIG guidance makes clear that the opportunity for a referring physician to earn a profit, including through an investment in an entity for which he or she generates business, could constitute illegal remuneration under the Anti-Kickback Statute. The Anti-Kickback Statute is violated if even one purpose of the remuneration is to induce such referrals.</w:t>
      </w:r>
    </w:p>
    <w:p>
      <w:pPr>
        <w:spacing w:after="0" w:line="129"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There are a number of narrow statutory exceptions and regulatory safe harbors protecting certain defined business arrangements from prosecution under the federal Anti-Kickback Statute. These statutory exceptions and safe harbors protect an entity from prosecution under the federal Anti-Kickback Statute if the entity meets every requirement of a specific exception or safe harbor. The failure of a transaction or arrangement to fit precisely within one or more applicable statutory exceptions or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of its facts and circumstances.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which is discussed below. Penalties for violations of the Anti-Kickback Statute include, but are not limited to, significant civil monetary penalties for each violation, criminal fines, disgorgement, individual imprisonment, exclusion from Medicare, Medicaid and other federal healthcare programs, and the possible curtailment or restructuring of operations.</w:t>
      </w:r>
    </w:p>
    <w:p>
      <w:pPr>
        <w:spacing w:after="0" w:line="138"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b w:val="1"/>
          <w:bCs w:val="1"/>
          <w:i w:val="1"/>
          <w:iCs w:val="1"/>
          <w:color w:val="auto"/>
        </w:rPr>
        <w:t>Physician Self-Referral Law</w:t>
      </w:r>
      <w:r>
        <w:rPr>
          <w:rFonts w:ascii="Arial" w:cs="Arial" w:eastAsia="Arial" w:hAnsi="Arial"/>
          <w:sz w:val="17"/>
          <w:szCs w:val="17"/>
          <w:color w:val="auto"/>
        </w:rPr>
        <w:t>: In the event that third-party payers require us to be a DME supplier or we sell our products directly to providers who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DME suppliers that submit claims to such payers, we may be subject to the federal Stark physician self-referral law, or Stark Law, which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per claim civil monetary penalties,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financial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38"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b w:val="1"/>
          <w:bCs w:val="1"/>
          <w:i w:val="1"/>
          <w:iCs w:val="1"/>
          <w:color w:val="auto"/>
        </w:rPr>
        <w:t>Federal Civil False Claims Act</w:t>
      </w:r>
      <w:r>
        <w:rPr>
          <w:rFonts w:ascii="Arial" w:cs="Arial" w:eastAsia="Arial" w:hAnsi="Arial"/>
          <w:sz w:val="17"/>
          <w:szCs w:val="17"/>
          <w:color w:val="auto"/>
        </w:rPr>
        <w:t>: The federal civil False Claims Act prohibits, among other things, persons or entities from knowingly presenting or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presented a false or fraudulent claim for, or the knowing use of false statements to obtain, payment of federal funds. In addition, private individuals have the ability to bring actions under the civil False Claims Act in the name of the government and themselves and to share in any monetary recover. Such suits, known as qui tam actions, have increased significantly in the healthcare industry in recent years. Manufacturers can be held liable under these laws if they are deemed to “cause” the submission of false or fraudulent claims by, for example, providing inaccurate billing or coding information to customers or promoting a product off-label. Penalties for a federal civil False Claims Act violation include significant per claim or statement mandatory civil penalties, plus treble damages, and the potential for exclusion from participation in federal healthcare programs.</w:t>
      </w:r>
    </w:p>
    <w:p>
      <w:pPr>
        <w:spacing w:after="0" w:line="138"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b w:val="1"/>
          <w:bCs w:val="1"/>
          <w:i w:val="1"/>
          <w:iCs w:val="1"/>
          <w:color w:val="auto"/>
        </w:rPr>
        <w:t>Civil Monetary Penalties</w:t>
      </w:r>
      <w:r>
        <w:rPr>
          <w:rFonts w:ascii="Arial" w:cs="Arial" w:eastAsia="Arial" w:hAnsi="Arial"/>
          <w:sz w:val="18"/>
          <w:szCs w:val="18"/>
          <w:color w:val="auto"/>
        </w:rPr>
        <w:t>. The Civil Monetary Penalty Act of 1981 imposes penalties against any person or entity that, among other things, is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ind w:right="80"/>
        <w:spacing w:after="0" w:line="291" w:lineRule="auto"/>
        <w:rPr>
          <w:sz w:val="20"/>
          <w:szCs w:val="20"/>
          <w:color w:val="auto"/>
        </w:rPr>
      </w:pPr>
      <w:r>
        <w:rPr>
          <w:rFonts w:ascii="Arial" w:cs="Arial" w:eastAsia="Arial" w:hAnsi="Arial"/>
          <w:sz w:val="16"/>
          <w:szCs w:val="16"/>
          <w:b w:val="1"/>
          <w:bCs w:val="1"/>
          <w:i w:val="1"/>
          <w:iCs w:val="1"/>
          <w:color w:val="auto"/>
        </w:rPr>
        <w:t>Federal Healthcare Fraud Laws</w:t>
      </w:r>
      <w:r>
        <w:rPr>
          <w:rFonts w:ascii="Arial" w:cs="Arial" w:eastAsia="Arial" w:hAnsi="Arial"/>
          <w:sz w:val="16"/>
          <w:szCs w:val="16"/>
          <w:color w:val="auto"/>
        </w:rPr>
        <w:t>. Other federal healthcare fraud-related laws also provide criminal liability for violations. The criminal healthcare fraud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(18 U.S.C. § 1347) enacted by the Health Insurance Portability and Accountability Act of 1996 (HIPAA) prohibits, among other things, knowingly and willfully executing a scheme to defraud any healthcare benefit program, including private third-party payers. Similar to the federal Anti-Kickback Statute, a person or entity does not need to have actual knowledge of the HIPAA fraud statute or specific intent to violate it in order to have a committed a violation. Federal criminal false statement laws at 18 U.S.C. §§ 1001 and 1035, among other sections, prohibit, among other things, knowingly and willfully falsifying, concealing, or covering up a material fact or making any materially false, fictitious, or fraudulent statement in connection with the delivery of or payment for healthcare benefits, items, or services, or in any matter within the jurisdiction of the federal government.</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Health Insurance Portability and Accountability Act of 1996: </w:t>
      </w:r>
      <w:r>
        <w:rPr>
          <w:rFonts w:ascii="Arial" w:cs="Arial" w:eastAsia="Arial" w:hAnsi="Arial"/>
          <w:sz w:val="17"/>
          <w:szCs w:val="17"/>
          <w:color w:val="auto"/>
        </w:rPr>
        <w:t>HIPAA and its implementing regulations established uniform standards for certain covered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entities, which are healthcare providers, health plans and healthcare clearinghouses, as well as their business associates, governing the conduct of specified electronic healthcare transactions and protecting the security and privacy of protected health information. HIPAA, as amended by the Health Information Technology for Economic and Clinical Health Act, or HITECH has four tiers of civil monetary penalties and state attorneys have general authority to file civil actions for damages or injunctions in federal courts to enforce the federal HIPAA laws and seek attorneys’ fees and costs associated with pursuing federal civil actions. The Department of Justice also may impose criminal penalties. Additionally, certain states have adopted comparable privacy and security laws and regulations, some of which may be more stringent than HIPAA and HITECH, and numerous federal and state laws, including state data breach notification laws, state health information privacy laws, and federal and state consumer protection laws, including for example, Section 5 of the Federal Trade Commission Act of 1914, as amended, and the California Consumer Privacy Act (CCPA), govern the collection, use, and disclosure and protection of certain health-related and other personal information.</w:t>
      </w:r>
    </w:p>
    <w:p>
      <w:pPr>
        <w:spacing w:after="0" w:line="199"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i w:val="1"/>
          <w:iCs w:val="1"/>
          <w:color w:val="auto"/>
        </w:rPr>
        <w:t xml:space="preserve">The Federal Physician Payments Sunshine Act: </w:t>
      </w:r>
      <w:r>
        <w:rPr>
          <w:rFonts w:ascii="Arial" w:cs="Arial" w:eastAsia="Arial" w:hAnsi="Arial"/>
          <w:sz w:val="17"/>
          <w:szCs w:val="17"/>
          <w:color w:val="auto"/>
        </w:rPr>
        <w:t>The federal Physician Payments Sunshine Act requires certain manufacturers of drugs, devices, biologics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medical supplies for which payment is available under Medicare, Medicaid or the Children’s Health Insurance Program, with certain exceptions, to report annually to the CMS, information related to “payments or other transfers of value” made to physicians (defined to include doctors, dentists, optometrists, podiatrists and chiropractors) and teaching hospitals, and to report annually to CMS certain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 xml:space="preserve">Analogous State Laws: </w:t>
      </w:r>
      <w:r>
        <w:rPr>
          <w:rFonts w:ascii="Arial" w:cs="Arial" w:eastAsia="Arial" w:hAnsi="Arial"/>
          <w:sz w:val="18"/>
          <w:szCs w:val="18"/>
          <w:color w:val="auto"/>
        </w:rPr>
        <w:t>The majority of states also have statutes or regulations similar to the federal Anti-Kickback Statute and federal civil False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which apply to items and services reimbursed under Medicaid and other state programs, or, in several states, apply regardless of the payer. Certain states also require device and drug manufacturers to report information related to payments and other transfers of value to physicians and other healthcare providers or marketing expenditures, require device and drug companies to comply with the industry’s voluntary compliance guidelines and the applicable compliance guidance promulgated by the U.S. federal government, or otherwise restrict payments that may be made to healthcare providers and other specified recipients.</w:t>
      </w:r>
    </w:p>
    <w:p>
      <w:pPr>
        <w:spacing w:after="0" w:line="189" w:lineRule="exact"/>
        <w:rPr>
          <w:sz w:val="20"/>
          <w:szCs w:val="20"/>
          <w:color w:val="auto"/>
        </w:rPr>
      </w:pPr>
    </w:p>
    <w:p>
      <w:pPr>
        <w:spacing w:after="0" w:line="318" w:lineRule="auto"/>
        <w:rPr>
          <w:sz w:val="20"/>
          <w:szCs w:val="20"/>
          <w:color w:val="auto"/>
        </w:rPr>
      </w:pPr>
      <w:r>
        <w:rPr>
          <w:rFonts w:ascii="Arial" w:cs="Arial" w:eastAsia="Arial" w:hAnsi="Arial"/>
          <w:sz w:val="16"/>
          <w:szCs w:val="16"/>
          <w:b w:val="1"/>
          <w:bCs w:val="1"/>
          <w:i w:val="1"/>
          <w:iCs w:val="1"/>
          <w:color w:val="auto"/>
        </w:rPr>
        <w:t xml:space="preserve">Data Protection Legislation: </w:t>
      </w:r>
      <w:r>
        <w:rPr>
          <w:rFonts w:ascii="Arial" w:cs="Arial" w:eastAsia="Arial" w:hAnsi="Arial"/>
          <w:sz w:val="16"/>
          <w:szCs w:val="16"/>
          <w:color w:val="auto"/>
        </w:rPr>
        <w:t>We are subject to laws and regulations in non-US countries covering data privacy and the protection of health-related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personal information. The EU, EU member states and other jurisdictions have adopted data protection laws and regulations, which impose significant compliance obligations. The EU General Data Protection Regulation, or GDPR, became applicable on May 25, 2018 and is directly applicable in each EU member state and may result in a more uniform application of data privacy laws across the EU. The GDPR imposes strict requirements and onerous accountability obligations on companies that process personal data, especially if they process sensitive personal data (such as data concerning health), including significant fines for non-compliance with the GDPR. Implementation of the GDPR has influenced other jurisdictions to either amend or propose legislation to amend their existing data privacy and cybersecurity laws to resemble the requirements of GDPR. For example, on June 27, 2019, California adopted the California Consumer Privacy Act of 2019, or CCPA. The CCPA has been characterized as the first “GDPR-like” institutes a comprehensive consumer privacy framework. The CCPA became effective January 1, 2020. Like the GDPR, the CCPA imposes strict requirements and obligations on companies that collect, use, and share personal information. Fines and penalties for non-compliance can be substantial. Unlike the GDPR, the CCPA gives California residents a private right of action where California resident’s nonencrypted and nonredacted personal information is subject to a date breach as a result of a business’s failure to implement reasonable security procedures. In November 2020, California voters passed Proposition 24, also known as the California Privacy Rights Act, which amends and expands the CCPA, effective January 1, 2023.</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6" w:name="page27"/>
    <w:bookmarkEnd w:id="26"/>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The Foreign Corrupt Practices Act: </w:t>
      </w:r>
      <w:r>
        <w:rPr>
          <w:rFonts w:ascii="Arial" w:cs="Arial" w:eastAsia="Arial" w:hAnsi="Arial"/>
          <w:sz w:val="18"/>
          <w:szCs w:val="18"/>
          <w:color w:val="auto"/>
        </w:rPr>
        <w:t>The Foreign Corrupt Practices Act, or FCPA, prohibits any US individual or business from paying, offering,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such companies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our products. The cost containment measures that payers and providers are instituting and the effect of any healthcare reform initiative implemented in the future could impact our revenue from the sale of our products.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Certain aspects of the Affordable Care Act have been subject to judicial challenges as well as efforts to repeal or replace them or to alter their interpretation and implementation. For example, the Tax Cuts and Jobs Act was enacted on December 22, 2017, which, among other things, eliminated the shared responsibility payment for individuals who fail to maintain minimal essential coverage under section 5000A of the Internal Revenue Code of 1986, commonly referred to as the individual mandate, as of January 1, 2019. Additional legislative changes to and regulatory changes under the Affordable Care Act remain possible, but the nature and extent of such additional changes are uncertain at this time.</w:t>
      </w:r>
    </w:p>
    <w:p>
      <w:pPr>
        <w:spacing w:after="0" w:line="185"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the subsequent legislation, this has resulted in aggregate reductions to Medicare payments to providers of, on average, 2% per fiscal year, which went into effect on April 1, 2013 and, due to subsequent legislative amendments to the statute, will remain in effect through 2029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5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Contracting Regulations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qualifying contract on the FSS and open market sales to individual VA facilities necessitates compliance with applicable federal procurement laws and regulations, including commercial price disclosures, commercial-to-federal price indexing, and various federal programs. We are subject to contractual remedies as well as potential administrative, civil, and criminal sanctions for non-compliance.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1, 2021, we employed 45 full-time employees. None of our employees are represented by a labor union or covered by a collective bargaining agreement. We consider our relationship with our employees to be good.</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believe our success depends on our ability to attract, develop and retain key personnel. The skills, experience and industry knowledge of key employees significantly benefit our operations and performance. Our board of directors and management oversee various employee initiatives.</w:t>
      </w:r>
    </w:p>
    <w:p>
      <w:pPr>
        <w:spacing w:after="0" w:line="3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Employee health and safety in the workplace is one of our core values. The COVID-19 pandemic has underscored for us the importance of keeping our employees safe and healthy. In response to the pandemic, the Company has taken actions aligned with best practices so our employees can continue to safely and effectively perform their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History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electroCore, Inc. was founded in 2005 as a limited liability company. electroCore, headquartered in New Jersey, has two wholly owned subsidiaries: electroCore Germany GmbH, and electroCore UK Ltd. The Company has ceased its operations in Germany, although sales to Germany are still supported by electroCore UK Ltd. In addition, an affiliate, electroCore (Aust) Pty Limited, or electroCore Australia, is subject to electroCore’s control on a basis other than voting interests and is a variable interest entity, or VIE, for which electroCore is the primary beneficiary. This VIE has been inactive since May 2017.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Our Internet website address is www.electrocore.com. The content reflected on our website is not incorporated by reference herein unless expressly noted.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annual reports on Form 10-K, quarterly reports on Form 10-Q and current reports on Form 8-K and proxy statements, and all amendments thereto,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available free of charge on our Internet website. These reports are posted on our website as soon as reasonably practicable after such reports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electronically filed with the SEC. The public may read and copy any materials that we file with the SEC electronically through the SEC 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www.sec.gov</w:t>
      </w:r>
      <w:r>
        <w:rPr>
          <w:rFonts w:ascii="Arial" w:cs="Arial" w:eastAsia="Arial" w:hAnsi="Arial"/>
          <w:sz w:val="16"/>
          <w:szCs w:val="16"/>
          <w:color w:val="auto"/>
          <w:highlight w:val="white"/>
        </w:rPr>
        <w:t>). The information contained on the SEC’s website is not incorporated by reference into this Form 10-K and should not be considered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 of this Form 10-K. Within the Investors section of our website, we provide information concerning corporate governance, including our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Governance Guidelines, board committee charters, Code of Conduct and other information. The content reflected on any website reflected in this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is not incorporated by reference herein unless expressly noted.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in this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on Form 10-K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coronavirus pandemic could have a significant negative impact on our business, revenues, financial condition and results of operations.</w:t>
      </w:r>
    </w:p>
    <w:p>
      <w:pPr>
        <w:spacing w:after="0" w:line="14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persistence of the coronavirus pandemic has severely depressed the level of economic activity around the world. Many businesses and governments have taken preventative or protective actions, including restrictions on travel and business operations, and advising or requiring individuals to limit or forego their time outside of their homes. Temporary closures of many businesses have been ordered and numerous other businesses have temporarily closed voluntarily. Further, individuals' ability to travel has been curtailed through mandated travel restrictions, voluntary or mandated closures of travel-related businesses, as well as quarantines, shelter-in-place/stay-at-home and social distancing orders.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coronavirus pandemic has also impacted, and may continue to impact, our headquarters, manufacturing, and warehousing and distribution facilities, as well as those of our third-party vendors, including through the effects of facility closures, employee furloughs, reductions in operating hours, staggered shifts and other social distancing efforts, labor shortages, decreased productivity and unavailability of materials or components. For example, we have limited access to our New Jersey office as a result of state-imposed restrictions. The coronavirus pandemic may also impact our ability to sell our product, ship our product on a timely basis and may increase our costs.</w:t>
      </w:r>
    </w:p>
    <w:p>
      <w:pPr>
        <w:spacing w:after="0" w:line="201"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spread of coronavirus has also caused us to modify our business practices (including social distancing practices, requiring non-essential production related team members to work remotely where possible, restricting business travel, cancelling certain events, and limiting visitor access to our facilities), and we may take further actions as may be required by government authorities or that we determine are necessary or advisable. Work-from-home and other measures introduce additional operational risks, including cybersecurity risks, and have affected the way we conduct our business, which could have an adverse effect on our operations. There is no certainty that such measures will be sufficient to mitigate the risks posed by the virus, and illness and workforce disruptions could lead to unavailability of key personnel and harm our ability to perform critical functions. In addition, work-from-home and related business practice modifications present significant challenges to maintaining our corporate culture, including employee engagement and productivity, both during the immediate pandemic crisis and as we make additional adjustments in the eventual transition from it. Implementing new business practices in order to protect employees, vendors and other parties with whom we interact may result in increased costs. Furthermore, even if we follow what we believe to be best practices, there can be no assurance that our measures will prevent the transmission of COVID-19 between employees. Any incidents of actual or perceived transmission may expose us to liability claims, adversely impact employee productivity and morale, and result in negative publicity and reputational harm.</w:t>
      </w:r>
    </w:p>
    <w:p>
      <w:pPr>
        <w:spacing w:after="0" w:line="171"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Additionally, our sales and marketing efforts are, and may from time to time be, adversely affected by protocols for screening and restricting outside visitors and vendors that have been adopted by the Department of Veterans Affairs, commercial prescribers and other third parties. Officially imposed quarantines and self-quarantines could also interfere with patients’ ability to see a health care provider and obtain our gammaCore therapy.</w:t>
      </w:r>
    </w:p>
    <w:p>
      <w:pPr>
        <w:spacing w:after="0" w:line="1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degree to which coronavirus impacts our results will continue to depend on future developments that are highly uncertain and cannot be predicted, including, without limitation, the timing, extent, trajectory and duration of the pandemic, the development, rollout and availability of effective treatments and vaccines, the imposition of protective public safety measures, and how quickly and to what extent normal economic and operating conditions can resume, if at all. These uncertainties may result in delays or modifications to our plans, initiatives and results.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ind w:right="420"/>
        <w:spacing w:after="0" w:line="279" w:lineRule="auto"/>
        <w:rPr>
          <w:sz w:val="20"/>
          <w:szCs w:val="20"/>
          <w:color w:val="auto"/>
        </w:rPr>
      </w:pPr>
      <w:r>
        <w:rPr>
          <w:rFonts w:ascii="Arial" w:cs="Arial" w:eastAsia="Arial" w:hAnsi="Arial"/>
          <w:sz w:val="17"/>
          <w:szCs w:val="17"/>
          <w:color w:val="auto"/>
        </w:rPr>
        <w:t>For the reasons set forth above and other reasons that may come to light due to the coronavirus outbreak and any associated protective or preventative measures, we are unable to reasonably estimate coronavirus’ impact to our business, revenues, financial condition and results of operations. We are similarly unable to predict the degree to which the pandemic impacts our customers, suppliers, vendors, capital markets, and other partners, and their financial conditions, but a material effect on these parties could also adversely affect us.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impact of coronavirus could also exacerbate other risks discussed below, which could in turn have a material adverse effect on us. Developments related to coronavirus have been rapidly changing, and additional impacts and risks may arise that we are not aware of or able to appropriately respond to currently.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market gammaCore Sapphire CV under the EUA may be adversely affected to the extent that (i) the coronavirus pandemic subsides, regardless of whether or not the EUA is terminated, revoked or expires, and (ii) other treatments or vaccines for coronavirus are developed and made available. Furthermore, there are a number of preventative vaccines in development with two having received an Emergency Use Authorization approval and others potentially nearing regulatory approval. Additionally, the United States and other countries around the world have recently begun to approve and commence distributing COVID-19 vaccines in their jurisdictions. The broad distribution of COVID-19 vaccines may reduce demand for gammaCore Sapphire CV treatment as it may no longer be considered medically necessary.</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More generally, in the future, our business, financial results, and financial condition may be negatively impacted by the effects of other disease outbreaks, epidemics, pandemics, or similar widespread public health concerns.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Financial Position, Operating Results and Need for Additional Capital</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have a history of significant losses. If we do not achieve and sustain profitability and positive cash flow from operations, our financial condition could suffer. Our failure to become and remain profitable could negatively impact the results of our operations and your investment.</w:t>
      </w:r>
    </w:p>
    <w:p>
      <w:pPr>
        <w:spacing w:after="0" w:line="2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have experienced significant net losses, and we expect to continue to incur losses for the foreseeable future as we operate our sales and marketing infrastructure, increase market acceptance of our gammaCore therapy, fund our research and development activities, and obtain regulatory clearance or approval for other products or indications in the United States and internationally. We have never been profitable and have incurred net losses in each year since our inception.</w:t>
      </w:r>
    </w:p>
    <w:p>
      <w:pPr>
        <w:spacing w:after="0" w:line="17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incurred net losses of $23.5 million and $45.1 million for the year ended December 31, 2020 and 2019, respectively. As of December 31, 2020, our accumulated deficit was $107.0 million. Our prior losses, combined with expected future losses, have had and will continue to have, for the foreseeable future, an adverse effect on our stockholders’ deficit and working capital.</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become and remain profitable, we must successfully commercialize our gammaCore therapy and continue to identify promising new areas of treatment with significant market potential. This will require us to be successful in a range of challenging activities, which may include obtaining adequate coverage and reimbursement from payers, marketing and selling any current and future product candidates for which we may obtain marketing clearance, approval or authorization, developing commercial scale manufacturing processes, completing future clinical trials of gammaCore for additional therapeutic indications, obtaining additional marketing clearance, approval or authorization from regulatory authorities, manufacturing, and satisfying any post-marketing requirements. We face a variety of challenges and risks that we will need to address and manage as we pursue our strategy, including our ability to achieve adequate payer coverage, develop and retain an effective sales force, achieve market acceptance of gammaCore among physicians, patients and third-party payers, and expand the use of gammaCore to additional therapeutic indications. 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gammaCore. We intend to continue to make targeted investments in building our U.S. and UK commercial infrastructure.</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Even if we are able to increase sales of gammaCore, increase adoption of gammaCore therapy among physicians, payers, and patients and achieve desired payer coverage levels, we may not achieve profitability and even if we do, we may not be able to sustain or increase profitability in subsequent periods. If we fail to become profitable or are unable to sustain profitability, then we may be unable to continue our operations at planned levels and be forced to further reduce or terminate our operations. As of December 31, 2020, we had cash and cash equivalents and marketable securities of $22.6 million. There can be no assurance that we will have sufficient cash flow and liquidity to fund our planned activities, which could force us to significantly reduce or curtail our activities and ultimately, potentially cease operations.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b w:val="1"/>
          <w:bCs w:val="1"/>
          <w:i w:val="1"/>
          <w:iCs w:val="1"/>
          <w:color w:val="auto"/>
        </w:rPr>
        <w:t>We will be required to obtain additional funds in the future, and these funds may not be available on acceptable terms or at all, which could impair our ability to continue as a going concern.</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operations have consumed substantial amounts of cash since inception, and we anticipate this continuing for at least the next 12 months as we continue seeking to invest in our business. We believe that our growth will depend, in part, on our ability to fund our commercial efforts for our gammaCore therapy, and to opportunistically pursue research and development activities for additional indications for our gammaCore therapy. Our existing resources are unlikely to allow us to conduct all of the activities that we believe could be beneficial for our future growth. As a result, we may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Although we expect that our existing capital resources and cash flow, will enable us to fund the operating expenses and capital expenditure requirements of our current operating plan for 12 months, this estimate is based on assumptions that may prove to be wrong, and we could exhaust or significantly diminish our available capital resources sooner than we expect. Changes, including those relating to the payer and competitive landscape, our commercialization strategy, our development activities and regulatory matters, may occur beyond our control that would cause us to consume our available capital more quickly. Our future capital requirements will depend on many factors, including:</w:t>
      </w:r>
    </w:p>
    <w:p>
      <w:pPr>
        <w:spacing w:after="0" w:line="280" w:lineRule="exact"/>
        <w:rPr>
          <w:sz w:val="20"/>
          <w:szCs w:val="20"/>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timing of, and costs involved with negotiating, obtaining, maintaining and enhancing payer coverage;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timing of, and costs involved with our plan to potentially expand our direct-to-consumer cash-pay business channel;</w:t>
      </w:r>
    </w:p>
    <w:p>
      <w:pPr>
        <w:spacing w:after="0" w:line="23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timing of, and costs involved in, making gammaCore Sapphire CV available pursuant to the EUA to facilitate its study and clinical use for the acute treatment of asthma exacerbations in known or suspected COVID-19 patients;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and timing of our investment in our U.S. and UK commercial infrastructure and sales force;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sales, marketing, manufacturing and distribution;</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incurred in defending against pending securities class-action litigations and other potential litigation, as well as the costs of any potential judgements or settlements;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degree and rate of payer, physician, patient and market acceptance of our gammaCore therapy;</w:t>
      </w:r>
    </w:p>
    <w:p>
      <w:pPr>
        <w:spacing w:after="0" w:line="225"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 gammaCore therapy than we currently expect;</w:t>
      </w:r>
    </w:p>
    <w:p>
      <w:pPr>
        <w:spacing w:after="0" w:line="183"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and development activities we may undertake in order to expand our headache indications and enhancements to our gammaCore therapy;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for us and third parties, including payers and service providers, to potentially need to implement new or revised policies, infrastructure and internal systems;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additional personnel to support our operations, including as a public company;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and acceptance of competing therapies or other adverse market developments.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finance our activities, we may seek funds through borrowings or through additional rounds of financing, including public equity or debt offerings and collaborative arrangements with corporate partners. We may be unable to raise funds on favorable terms, if at all. We do not currently have any agreements or understandings with respect to any potential financing. Our stock price,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 Nasdaq Stock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80"/>
        <w:spacing w:after="0" w:line="289" w:lineRule="auto"/>
        <w:rPr>
          <w:sz w:val="20"/>
          <w:szCs w:val="20"/>
          <w:color w:val="auto"/>
        </w:rPr>
      </w:pPr>
      <w:r>
        <w:rPr>
          <w:rFonts w:ascii="Arial" w:cs="Arial" w:eastAsia="Arial" w:hAnsi="Arial"/>
          <w:sz w:val="16"/>
          <w:szCs w:val="16"/>
          <w:color w:val="auto"/>
        </w:rPr>
        <w:t>In addition, our auditors’ report for our 2020 financial statements contains a statement concerning our ability to continue as a “going concern.” Our lack of sufficient liquidity could make it more difficult for us to secure additional financing terms acceptable to us, if at all, and may materially and adversely affect the terms of any financing that we may obtain and our stock price generally. Our continuation as a “going concern” is dependent upon, among other things, our ability to increase revenue, reduce operating expenses and obtain additional funding through the sale of equity and or debt securities, debt financing, a strategic transaction or otherwise. However, there are significant risks and uncertainties as to our ability to achieve these goals or obtain required funding on commercially reasonable terms or at all, including as a result of the adverse impact on our business from the COVID-19 pandemic. Due to these risks and uncertainties, we may need to reduce our activities significantly more than our current operating plan and cash flow projections assume in order to fund operations for at least the next 12 months. There can be no assurance that we will have sufficient cash flow and liquidity to fund our planned activities, which could force us to significantly reduce or curtail our activities and ultimately, potentially cease operations.</w:t>
      </w:r>
    </w:p>
    <w:p>
      <w:pPr>
        <w:spacing w:after="0" w:line="16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we may be unable to compete effectively, and the growth of our business will be harmed.</w:t>
      </w:r>
    </w:p>
    <w:p>
      <w:pPr>
        <w:spacing w:after="0" w:line="148"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new accounting pronouncements or changes in existing accounting standards and practices.</w:t>
      </w:r>
    </w:p>
    <w:p>
      <w:pPr>
        <w:spacing w:after="0" w:line="12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Generally accepted accounting principles in the United States, or GAAP, are subject to interpretation by the Financial Accounting Standards Board, or FASB, the American Institute of Certified Public Accountants, or the AICPA, the SEC and various bodies formed to promulgate and interpret appropriate accounting principles.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changes to our accounting and GAAP reporting may significantly affect our results of operations to the extent that actual results differ significantly from estimated and previous quarter results or vary materially from quarter to quarter. While the adoption of the new standards will not change the cash flows, we receive from our contracts with customers, the changes to our reporting practices and the potential fluctuations in our reported results could cause a decline and/or fluctuation in the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gammaCore Therapy</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received an EUA from the FDA in July 2020 to facilitate the study and clinical use of gammaCore Sapphire CV for the acute treatment of asthma exacerbations in known or suspected COVID-19 patients. However, there can be no assurance as to the impact, if any, that the EUA and commercialization of gammaCore Sapphire CV will have on us, our business, operations or financial condition.</w:t>
      </w:r>
    </w:p>
    <w:p>
      <w:pPr>
        <w:spacing w:after="0" w:line="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April 2, 2020, we announced the submission of an EUA application to the FDA to facilitate the study and clinical use of gammaCore Sapphire CV for the acute treatment of asthma exacerbations in known or suspected COVID-19 patients. On July 13, 2020, we announced that the FDA had granted the EUA.</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earlier terminated or revoked by the FDA, the EUA is expected to remain in effect for the duration of the COVID-19 pandemic justifying emergency use. The termination, revocation or expiration of the EUA could have a material adverse effect on the sales of gammaCore and the results of our operations and financial condition. In addition, if the EUA terminates, is revoked or expires, we will be obligated to seek return of the devices from physicians and patients, which could be expensive and time-consuming. Additionally, we may have to incur targeted marketing and other expenditures to achieve sales of the gammaCore Sapphire CV.</w:t>
      </w:r>
    </w:p>
    <w:p>
      <w:pPr>
        <w:spacing w:after="0" w:line="18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have no experience with commercializing a respiratory product in the United States. We did not recognize material revenue from sales of our gammaCore Sapphire CV during the fiscal year ended December 31, 2020. We may be unable to successfully commercialize or gain market acceptance of gammaCore Sapphire CV and may not be able to obtain adequate coverage and reimbursement for gammaCore Sapphire CV from third-party payers.</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a result of these and other significant challenges and uncertainties, there can be no assurance as to what impact, if any, the EUA will have on us, our business, operations or financial condition.</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Commercializing our gammaCore Sapphire CV therapy for the acute treatment of asthma exacerbations in known or suspected COVID-19 patients may require targeted investment in research and development and expansion of our sales and marketing capabilities.</w:t>
      </w:r>
    </w:p>
    <w:p>
      <w:pPr>
        <w:spacing w:after="0" w:line="3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may need to make targeted investments in research and development and expansion of our sales and marketing, distribution, and telehealth capabilities in order to commercialize gammaCore Sapphire CV therapy for the acute treatment of asthma exacerbations in known or suspected COVID-19 patients. If we are unsuccessful in our commercialization efforts and do not achieve the sales levels that we expect, we may be unable to recover these investments in research and development, sales and marketing, distribution and telehealth efforts, and our business and financial condition could be materially adversely affected.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Our plans to potentially expand our direct-to-consumer cash-pay business channel may not be able to generate significant revenues.</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currently have a small direct-to-consumer cash-pay business channel, which we are planning to potentially expand in the near future. This may require significant investment in and expansion of our sales and marketing capabilities and development of a telehealth platform. If we are unsuccessful in executing our commercialization efforts in this business channel and do not achieve the sales levels that we expect, we may be unable to recover these investments. Additionally, there is a risk that expanding our direct-to-consumer cash-pay business channel could depress pricing with third-party payers and, therefore, have an adverse impact on our results of operations.</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third-party payers do not provide adequate coverage and reimbursement for the use of gammaCore, we may be unable to generate significant revenues.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success in marketing and commercializing gammaCore depends and will depend in large part on whether U.S. and international government health administrative authorities, private health insurers and other payer organizations provide adequate coverage and reimbursement for the cost of our products. Many third-party payers do not currently cover VNS for any indications other than epilepsy because they have determined all other 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that observed in our existing clinical studies, or that our current or future published clinical evidence will be sufficient to obtain adequate coverage and reimbursement for our products. Moreover, if we cannot obtain adequate coverage for and reimbursement of the cost of our products, we cannot provide assurance that patients will be willing to incur the full cost of our gammaCore therapy.</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the United States, we expect to derive nearly all of our sales from prescriptions of gammaCore written by physicians. Access to adequate coverage and reimbursement by third-party payers for our gammaCore therapy is essential to the acceptance of our products by customers and patients, because without such coverage and reimbursement, customers and patients will have to be willing to bear the entire cost of our therapy.</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Third-party payers, whether foreign or domestic, or governmental or commercial, are developing increasingly sophisticated methods of controlling healthcare costs. In addition, in the United States, no uniform policy of coverage and reimbursement for our gammaCore therapy exists among third-party payers. Therefore, coverage and reimbursement for our gammaCore therapy can differ significantly from payer to payer. In addition, payers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gammaCore therapy to each payer separately, with no assurance that coverage and adequate reimbursement will be obtained or maintained if obtained.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and timely coverage and reimbursement is not available for our current or future products, in either the United States or internationally, the demand for our products and our revenues will be adversely affected.</w:t>
      </w:r>
    </w:p>
    <w:p>
      <w:pPr>
        <w:spacing w:after="0" w:line="1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Regulatory requirements and changes to payers’ prescription benefit plans and medical pathway plans could adversely impact our business and financial results.</w:t>
      </w:r>
    </w:p>
    <w:p>
      <w:pPr>
        <w:spacing w:after="0" w:line="6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While we have ongoing discussions with the Centers for Medicare and Medicaid Services, our products are not currently covered by Medicare and Medicaid. Applicable Medicare Part D regulations and federal and state laws will impose additional requirements on us upon execution of our commercialization strategy. Our commercialization strategy, including our planned reimbursement approach with respect to our 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time, changes in payer prescription benefit plans or medical pathway plans could have the effect of rendering existing pharmacy benefit plans or medical pathway plans less valuable to beneficiaries and reduce the total market for our gammaCore therapy. In addition, some payers could decide to discontinue providing full or partial coverage to their members for our gammaCore therapy, which could have an adverse effect on our financial position, results of operations or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commercialization strategy may expose us to increased billing, cash application and credit risks.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commercialization strategy may involve funding for our 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payers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 In addition, possible sales in our EUA business channel to hospitals, which may involve higher credit risks than sales to other payers.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from the sale of our gammaCore therapy depend on the continued availability of reimbursement by government and private insurance plans. The government’s Medicare regulations are complex and, as a result, the billing and collection process is time-consuming and typically involves the submission of claims to multiple payers whose payment of claims may be contingent upon the payment of another payer. Because of the coordination with multiple payers and the complexity in determining reimbursable amounts, these accounts receivable have higher risk in collecting the full amounts due and applying the associated payments.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Additionally, we may be subject to increased credit risk associated with state and local government agencies experiencing increased fiscal challenges. As a result of these aforementioned risks, our commercialization strategy, even if successful, may involve recordation of bad debt expenses potentially impacting our results of operations and liquidity.</w:t>
      </w:r>
    </w:p>
    <w:p>
      <w:pPr>
        <w:spacing w:after="0" w:line="1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Third-party payers have been resistant to cover gammaCore through pharmacy benefit plans, which has hindered our commercialization strategy and required changes to our existing business that could delay and negatively impact our ability to generate revenue.</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our initial strategy to obtain reimbursement for gammaCore under payers’ pharmacy benefit has not achieved adequate coverage and reimbursement. To obtain coverage and reimbursement from Medicare and any other third-party payer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co-pays for the therapy. Any determination by commercial payers to provide coverage for gammaCore through the medical benefit pathway and not through pharmacy benefit pathway will further delay or pose more risks to our commercial plan for gammaCore therapy since additional medical device codes required and we may incur additional direct and indirect expenses in assisting patients with their co-pay or other costs emergent from the determination by payers to not cover gammaCore under the pharmacy benefit pathway. Coverage by commercial payers through the medical benefit pathway or other decisions by commercial payers that have the effect of making patients personally responsible for the costs of, or costs associated with, our gammaCore therapy could adversely impact our results of operations and financial condition.</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payers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ind w:right="380"/>
        <w:spacing w:after="0" w:line="277" w:lineRule="auto"/>
        <w:rPr>
          <w:sz w:val="20"/>
          <w:szCs w:val="20"/>
          <w:color w:val="auto"/>
        </w:rPr>
      </w:pPr>
      <w:r>
        <w:rPr>
          <w:rFonts w:ascii="Arial" w:cs="Arial" w:eastAsia="Arial" w:hAnsi="Arial"/>
          <w:sz w:val="18"/>
          <w:szCs w:val="18"/>
          <w:b w:val="1"/>
          <w:bCs w:val="1"/>
          <w:i w:val="1"/>
          <w:iCs w:val="1"/>
          <w:color w:val="auto"/>
        </w:rPr>
        <w:t>We must demonstrate to physicians and third-party payers the medical and economic benefits of our gammaCore therapy compared to those of our competitors or other available therapies and such comparisons may not be realizable.</w:t>
      </w:r>
    </w:p>
    <w:p>
      <w:pPr>
        <w:spacing w:after="0" w:line="6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Physicians play a significant role in determining the course of a patient’s treatment and, as a result, the type of product that will be used to treat a patient. As a result, our success depends, in large part, on effectively marketing our gammaCore therapy to physicians. We have received several 510(k) clearances from the FDA for gammaCore therapy, however, such clearances do not necessitate adoption by physicians. In order for our gammaCore therapy to gain widespread adoption, we must successfully demonstrate to physicians the medical and economic benefits of our gammaCore therapy compared to competitors’ products, including (i) BOTOX marketed by Allergan plc, (ii) CGRP receptor agonists marketed by Amgen Inc. (with a co-marketing arrangement with Novartis International AG), Allergan plc, Eli Lilly and Company, Teva Pharmaceutical Industries Ltd., Biohaven Pharmaceuticals Inc.,</w:t>
      </w:r>
    </w:p>
    <w:p>
      <w:pPr>
        <w:spacing w:after="0" w:line="4" w:lineRule="exact"/>
        <w:rPr>
          <w:sz w:val="20"/>
          <w:szCs w:val="20"/>
          <w:color w:val="auto"/>
        </w:rPr>
      </w:pPr>
    </w:p>
    <w:p>
      <w:pPr>
        <w:ind w:right="20" w:firstLine="8"/>
        <w:spacing w:after="0" w:line="270"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lasmiditan, marketed by Eli Lilly, (iv) Vycpti, an intravenous preventive treatment for migraine marketed by H. Lundbeck A/S, and (v) neuromodulation devices that have been marketed for the acute treatment and/or prevention of migraine, including the Cefaly and Nerivio devices. We also may face challenges because noninvasive VNS, or nVNS, is relatively new as compared to existing traditional treatments for cluster and migraine headaches. Furthermore, the competitive landscape for COVID-19 therapies is crowded and continues to evolve at a rapid pace. Various other companies, many with greater resources, are developing or commercializing treatments that potentially compete with gammaCore Sapphire CV. This competition could have a material adverse effect on potential acceptance, use, pricing and sales of gammaCore Sapphire CV.</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Acceptance of our gammaCore therapy depends on educating physicians as to the distinctive characteristics, perceived benefits, safety, ease of use and cost-effectiveness of our gammaCore therapy as compared to our competitors’ products and communicating to physicians the proper use of our gammaCore therapy. If we are not successful in convincing physicians of the merits of our gammaCore therapy or educating them on the benefits of our gammaCore therapy, they may not prescribe our gammaCore therapy and we may be unable to increase our sales, sustain our growth or achieve profitability. In addition, we believe support of our products by physicians is essential for market acceptance and adoption. If we do not receive support from physicians or long-term data does not show the benefits of using our gammaCore therapy, physicians may not use it. In such circumstances, our results of operations would be materially adversely affected.</w:t>
      </w:r>
    </w:p>
    <w:p>
      <w:pPr>
        <w:spacing w:after="0" w:line="195"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b w:val="1"/>
          <w:bCs w:val="1"/>
          <w:i w:val="1"/>
          <w:iCs w:val="1"/>
          <w:color w:val="auto"/>
        </w:rPr>
        <w:t>Stimulating therapeutically relevant fibers in the vagus nerve by a proprietary high-frequency burst waveform that passes through the skin cells represents a novel approach to treating pain, and we must overcome significant challenges in order to successfully develop, commercialize and manufacture our product.</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product for commercialization based on this platform. The processes and requirements imposed by the FDA or other applicable health authorities may cause delays and additional costs in obtaining approvals for marketing authorization for our products. Because our platform is novel, regulatory agencies, as well as insurance and other coverage providers and payers,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spacing w:after="0" w:line="178" w:lineRule="exact"/>
        <w:rPr>
          <w:sz w:val="20"/>
          <w:szCs w:val="20"/>
          <w:color w:val="auto"/>
        </w:rPr>
      </w:pPr>
    </w:p>
    <w:p>
      <w:pPr>
        <w:ind w:left="1220" w:hanging="605"/>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administer our product;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enrolling sufficient numbers of patients in future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our products on a large scale and in a cost-effective manner;</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submitting applications for and obtaining regulatory approval, as the FDA and other regulatory authorities have limited experience with commercial development of our product platform for treating pain;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must be able to overcome these challenges in order to successfully develop, commercialize and manufacture our product candidates.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Our operating results may vary significantly from quarter to quarter because of seasonality, bulk orders, shipments to distributors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revenue and results of operations may fluctuate from quarter to quarter due to, among others, the following reasons:</w:t>
      </w:r>
    </w:p>
    <w:p>
      <w:pPr>
        <w:spacing w:after="0" w:line="225" w:lineRule="exact"/>
        <w:rPr>
          <w:sz w:val="20"/>
          <w:szCs w:val="20"/>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physician and payer acceptance of our gammaCore therapy;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when individual payer coverage becomes available;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expense and results of research and development activities, future clinical trials and regulatory clearance or approvals;</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expenses associated with expanding our commercial operations and operating as a public company;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therapies and technologies by competitors;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productivity of our field sales function;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supplier, manufacturing or quality problems with our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stocking orders from our distributors;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or in the pricing policies of our competitors or suppliers;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developments in coverage amounts, benefit pathway, or government and third-party payers’ reimbursement policies; and</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customer budget cycles.</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introduces additional risk into our business as we may rely upon forecasts of customer demand to build inventory in advance of anticipated sales. In addition, we believe our limited history commercializing our gammaCore therapy has, in part, made our seasonal patterns more difficult to discern, making it more difficult to predict future seasonal patterns.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4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Our customer base is concentrated. During the years ended December 31, 2020 and 2019, revenue from VA/DoD facilities pursuant to our qualifying contract under the Federal Supply Schedule and open market sales represented 58% and 34% of our total revenue, respectively. In 2020, five specific VA/DoD facilities represented approximately 50% of our revenue from this channel, and two of those facilities each accounted for more than 10% individually. If we were to lose one or more of our significant customers, our revenue may significantly decline. The loss of one or more of our significant customers could adversely affect our business, results of operations, and financial condition.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80"/>
        <w:spacing w:after="0" w:line="288" w:lineRule="auto"/>
        <w:rPr>
          <w:sz w:val="20"/>
          <w:szCs w:val="20"/>
          <w:color w:val="auto"/>
        </w:rPr>
      </w:pPr>
      <w:r>
        <w:rPr>
          <w:rFonts w:ascii="Arial" w:cs="Arial" w:eastAsia="Arial" w:hAnsi="Arial"/>
          <w:sz w:val="17"/>
          <w:szCs w:val="17"/>
          <w:color w:val="auto"/>
        </w:rPr>
        <w:t>Finally, any potential revenue from the EUA may fluctuate or be adversely impacted if and to the extent that (i) the coronavirus pandemic worsens, (ii) the coronavirus pandemic subsides, regardless of whether or not the EUA is terminated, revoked or expires, and (iii) other treatments or vaccines for coronavirus continue to be developed and made available. Additionally, the United States and other countries around the world have recently begun to approve and commence distributing COVID-19 vaccines in their jurisdictions. The broad distribution of COVID-19 vaccines may reduce demand for gammaCore Sapphire CV treatment as it may no longer be considered medically necessary. Any of these developments and potential related contingencies could adversely impact our business and results of operations and affect the comparability of our results between periods and introduce additional risk into our business as we may rely upon forecasts to build inventory in advance of anticipated sales.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Because of these and other factors, it is likely that in some future period our operating results will not meet investor expectations or those of public market analysts.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cause a decline in our stock price.</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and telephone networks and systems, including the internet, to process and transmit sensitive electronic information and to manage or support a variety of business processes and activities, including sales, billing, customer service,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spacing w:after="0" w:line="1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increase our capital requirements, dilute our stockholders, cause us to incur debt or assume contingent liabilities and subject us to other risks.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may evaluate various strategic transactions, including licensing or acquiring complementary therapies, products,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9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are identified during the use of our gammaCore therapy in clinical trials or IITs (collectively and unless the context requires otherwise, “clinical trials”), it may adversely affect our development of such product candidates.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Undesirable side effects caused by our gammaCore therapy could cause us or regulatory authorities to interrupt, delay or halt nonclinical studies and future clinical trials, or could make it more difficult for us to enroll patients in clinical trials and could, if injuries occur, result in product liability litigation. If serious adverse events or other undesirable side effects or unexpected characteristics of our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gammaCore therapy could also result in the delay or denial of regulatory clearance or approval by the FDA or other regulatory authorities or in more restrictive labels than we desire.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7" w:name="page38"/>
    <w:bookmarkEnd w:id="37"/>
    <w:p>
      <w:pPr>
        <w:ind w:right="120"/>
        <w:spacing w:after="0" w:line="286" w:lineRule="auto"/>
        <w:rPr>
          <w:sz w:val="20"/>
          <w:szCs w:val="20"/>
          <w:color w:val="auto"/>
        </w:rPr>
      </w:pPr>
      <w:r>
        <w:rPr>
          <w:rFonts w:ascii="Arial" w:cs="Arial" w:eastAsia="Arial" w:hAnsi="Arial"/>
          <w:sz w:val="17"/>
          <w:szCs w:val="17"/>
          <w:b w:val="1"/>
          <w:bCs w:val="1"/>
          <w:i w:val="1"/>
          <w:iCs w:val="1"/>
          <w:color w:val="auto"/>
        </w:rPr>
        <w:t>Commercialization of our gammaCore Sapphire therapy for additional neurological conditions may require clinical trials, which are very expensive, time-consuming and difficult to design and implement and involve uncertain outcomes. Furthermore, results of earlier preclinical studies and clinical trials may not be predictive of results of future preclinical studies, clinical trials or commercial success.</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risk of failure for our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the results of preclinical studies and early clinical trials may not be predictive of the results of later-stage preclinical studies or clinical trials. The results generated to date in preclinical studies or clinical trials for our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clinical trials for other treatment indications, even where we believe such data to be compelling. Our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spacing w:after="0" w:line="18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adversely affected.</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clinical trial we conduct in the United States may subject us to additional costs and detriments compared to a foreign clinical trial, which may negatively impact our financial condition and our business.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patients in future clinical trials, our research and development efforts could be adversely affected.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Identifying and qualifying patients to participate in future clinical trials for our gammaCore therapy in additional areas of indications is critical to our success. Successful and timely completion of future clinical trials will require that we enroll a sufficient number of patients who remain in the study until its conclusion. If we are unable to enroll a sufficient number of patients in our future clinical trials, our timelines for recruiting patients, conducting clinical trials and obtaining regulatory clearance or approval of our gammaCore therapy in additional areas of indication may be delayed. These delays could result in increased costs, delays in advancing our product development, delays in testing the effectiveness of our technology or termination of clinical trials altogether.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We cannot predict how successful we will be at enrolling patients in future clinical trials. Patient enrollment is affected by other factors including:</w:t>
      </w:r>
    </w:p>
    <w:p>
      <w:pPr>
        <w:spacing w:after="0" w:line="250" w:lineRule="exact"/>
        <w:rPr>
          <w:sz w:val="20"/>
          <w:szCs w:val="20"/>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92"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w:t>
      </w:r>
    </w:p>
    <w:p>
      <w:pPr>
        <w:spacing w:after="0" w:line="292"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for patients for competitive product candidates undergoing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with the indication being studied and the difficult of diagnosing the relevant condition or disease;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39"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 With respect to any trials of our gammaCore Sapphire CV, it is difficult to predict when such trials will achieve full enrollment, if at all, as the number of patients hospitalized with a confirmed diagnosis of, or presumed to be, COVID-19 is relatively unpredictable and susceptible to high fluctuations across countries and regions.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Delays in the completion of any clinical trial of our gammaCore therapy will increase our costs, slow down our expansion into additional treatment indications and approval process, and delay or potentially jeopardize our ability to commence product sales and generate future revenue. In addition, many of the factors that may lead to a delay in the commencement or completion of clinical trials may also ultimately lead to the denial of regulatory clearance or approval of our gammaCore therapy in additional treatment indications.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Clinical trials may be delayed, suspended or terminated for many reasons, which will increase our expenses and delay the time it takes to develop and expand our gammaCore therapy in additional treatment indications.</w:t>
      </w:r>
    </w:p>
    <w:p>
      <w:pPr>
        <w:spacing w:after="0" w:line="6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and completion of clinical trials may be delayed, suspended or terminated as a result of many factors, including: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clinical trials;</w:t>
      </w:r>
    </w:p>
    <w:p>
      <w:pPr>
        <w:spacing w:after="0" w:line="157"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delay or refusal of regulators or institutional review boards, or IRBs, to authorize us to commence a clinical trial at a prospective trial site;</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57" w:lineRule="exact"/>
        <w:rPr>
          <w:rFonts w:ascii="Arial" w:cs="Arial" w:eastAsia="Arial" w:hAnsi="Arial"/>
          <w:sz w:val="18"/>
          <w:szCs w:val="18"/>
          <w:color w:val="auto"/>
        </w:rPr>
      </w:pPr>
    </w:p>
    <w:p>
      <w:pPr>
        <w:ind w:left="1220" w:hanging="605"/>
        <w:spacing w:after="0" w:line="308"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or failure to reach agreement on acceptable terms with prospective clinical research organizations, or CROs, and clinical trial sites, the terms of which can be subject to extensive negotiation and may vary significantly among different CROs and trial sites;</w:t>
      </w:r>
    </w:p>
    <w:p>
      <w:pPr>
        <w:spacing w:after="0" w:line="78"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patient enrollment, due to COVID-19 or other factors, and variability in the number and types of patients available for clinical trials;</w:t>
      </w:r>
    </w:p>
    <w:p>
      <w:pPr>
        <w:spacing w:after="0" w:line="102"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particularly in orphan indications, to observe statistically significant treatment effects in the trial;</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clinical sites deviate from the trial protocol or dropping out of a trial;</w:t>
      </w:r>
    </w:p>
    <w:p>
      <w:pPr>
        <w:spacing w:after="0" w:line="157"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spacing w:after="0" w:line="102"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or tolerability concerns that could cause us to suspend or terminate a trial if we find that the participants are being exposed to unacceptable health risks;</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similar therapies that raise safety or efficacy concerns;</w:t>
      </w:r>
    </w:p>
    <w:p>
      <w:pPr>
        <w:spacing w:after="0" w:line="157"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57"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the product candidate falling below acceptable standards;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gammaCore therapy to commence or complete clinical trials; and</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particular, in connection with the comprehensive redeployment plan and cost reduction implemented in June 2019, we have closed certain clinical trials in indications that are more exploratory in nature.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could also encounter delays if a clinical trial is suspended,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7"/>
          <w:szCs w:val="17"/>
          <w:color w:val="auto"/>
        </w:rPr>
        <w:t>In addition, we may encounter delays if the FDA, or other regulators, conclude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spacing w:after="0" w:line="178"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If we experience delays in the commencement or completion of any clinical trial of our product candidates, or if any of our future clinical trials are terminated, the commercial prospects of our gammaCore therapy may be harmed, and our ability to generate revenue from sales may be delayed or materially diminished.</w:t>
      </w:r>
    </w:p>
    <w:p>
      <w:pPr>
        <w:spacing w:after="0" w:line="197"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We do not know whether any of our future preclinical studies or clinical trials will begin as planned, will need to be restructured or will be completed on schedule, or at all. Any delays in completing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5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Even if our products are approved or cleared in the United States and obtained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cost-control efforts might not assure profitability and may affect morale and make it difficult to retain employees or attract new ones.</w:t>
      </w:r>
    </w:p>
    <w:p>
      <w:pPr>
        <w:spacing w:after="0" w:line="1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previously implemented reductions in force affecting a large portion of our workforce, redeployed resources across our organization and taken other measures to reduce our operating expenses. These efforts do not assure profitability. Furthermore, no assurance can be given as to the need to implement additional cost reductions in the future. Cost savings may also be offset by future hiring or other costs incurred in pursuing strategic objectives. Reductions in force, strategic redeployment and other cost-cutting measures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relatively short history of operating as a commercial company. We intend to seek to continue to grow our existing headache business and our COVID-19 business pursuant to the EUA, and may experience periods of rapid growth and expansion, which could place a significant additional strain on our limited personnel, information technology systems and other resources. In particular, maintaining our sales force in the United States requires significant management, financial and other supporting resources. Any failure by us to manage our growth effectively could have an adverse effect on our ability to achieve our commercialization and development goals.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future, we may experience difficulties with manufacturing, quality control, component supply, inventory, distribution and shortages of qualified personnel, among other problems. These problems could result in delays in availability of our gammaCore therapy and increases in expenses. Any such delay or increased expense could adversely affect our ability to generate our revenue.</w:t>
      </w:r>
    </w:p>
    <w:p>
      <w:pPr>
        <w:spacing w:after="0" w:line="18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If we fail to develop and retain an effective sales force, our business could suffer.</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significantly reduced our sales force as part of our cost control efforts. In order to continue to market and sell our gammaCore therapy, we may in the future need to substantially expand our direct sales force. There is significant competition for such personnel. Once hired, the training process is lengthy because it requires significant education for new territory business managers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in any individual territory or VA or DoD facility. Furthermore, the use of our products often requires or benefits from direct support from us. If we are unable to attract, motivate, develop and retain a sufficient number of qualified sales personnel, and if our territory business managers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we have been in the past, and may be subject to future allegations that these new hires have been improperly solicited, or that they have divulged to us proprietary or other confidential information of their former employers. Any of these risks may adversely affect our business.</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July 10, 2020, we were granted an EUA from the FDA for use of our gammaCore Sapphire CV for the acute treatment of asthma exacerbations in known or suspected COVID-19 patients.</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no history of commercializing respiratory products within the United States or selling our gammaCore therapy pursuant to an Emergency Use Authorization. We have limited experience engaging in commercial activities and limited established relationships with physicians, hospitals and payers as well as third-party suppliers on whom we depend for the manufacture of our product components. We may be unable to commercialize gammaCore Sapphire CV for the acute treatment of asthma exacerbations in known or suspected COVID-19 patients for a number of reasons, including:</w:t>
      </w:r>
    </w:p>
    <w:p>
      <w:pPr>
        <w:spacing w:after="0" w:line="157" w:lineRule="exact"/>
        <w:rPr>
          <w:sz w:val="20"/>
          <w:szCs w:val="20"/>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strong relationships with customers, including physicians, hospitals and third-party suppliers;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safety labeling for use of gammaCore Sapphire CV pursuant to the EUA</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limited size of our sales force and the learning curve required to gain experience selling our product;</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gammaCore therapy from our primary and secondary manufacturers and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292"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320"/>
        <w:spacing w:after="0" w:line="342" w:lineRule="auto"/>
        <w:rPr>
          <w:sz w:val="20"/>
          <w:szCs w:val="20"/>
          <w:color w:val="auto"/>
        </w:rPr>
      </w:pPr>
      <w:r>
        <w:rPr>
          <w:rFonts w:ascii="Arial" w:cs="Arial" w:eastAsia="Arial" w:hAnsi="Arial"/>
          <w:sz w:val="16"/>
          <w:szCs w:val="16"/>
          <w:b w:val="1"/>
          <w:bCs w:val="1"/>
          <w:i w:val="1"/>
          <w:iCs w:val="1"/>
          <w:color w:val="auto"/>
        </w:rPr>
        <w:t>We have only a limited history commercializing our gammaCore therapy for the acute treatment of eCH, prevention of cluster headache, preventive and acute treatment of migraine in the United States for which market acceptance and commercial success is uncertain.</w:t>
      </w:r>
    </w:p>
    <w:p>
      <w:pPr>
        <w:spacing w:after="0" w:line="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a small company with a limited history of selling our gammaCore therapy, we have limited experience engaging in commercial activities and limited established relationships with physicians, hospitals and payers as well as third-party suppliers on whom we depend for the manufacture of our product components. We may be unable to gain broader market acceptance in the countries in which we have already begun to commercialize our gammaCore therapy, or, if approved by the FDA for additional indications, unable to successfully commercialize it in the United States for a number of reasons, including:</w:t>
      </w:r>
    </w:p>
    <w:p>
      <w:pPr>
        <w:spacing w:after="0" w:line="188" w:lineRule="exact"/>
        <w:rPr>
          <w:sz w:val="20"/>
          <w:szCs w:val="20"/>
          <w:color w:val="auto"/>
        </w:rPr>
      </w:pPr>
    </w:p>
    <w:p>
      <w:pPr>
        <w:ind w:left="1220" w:hanging="605"/>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competitors with strong relationships with customers, including physicians, hospitals, military treatment facilities and third-party suppliers;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limited size of our sales force and the learning curve required to gain experience selling our product;</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gammaCore therapy from our primary and secondary manufacturers and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25"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our competitors are better able to develop and market CH and migraine treatments that are safer, more effective, less costly, easier to use or otherwise more attractive than our gammaCore therapy, our business and business prospects will be adversely impacted.</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gammaCore therapy. We believe that the primary competitive factors in the cluster and migraine markets are demonstrated clinical effectiveness, product safety, reliability and durability, ease of use, product support and service, minimal side effects and sales force experience and relationships. We face significant competition in the United States and internationally, which we believe will intensify over time. Many of the companies developing or marketing competing products enjoy several advantages over us, including:</w:t>
      </w:r>
    </w:p>
    <w:p>
      <w:pPr>
        <w:spacing w:after="0" w:line="192" w:lineRule="exact"/>
        <w:rPr>
          <w:sz w:val="20"/>
          <w:szCs w:val="20"/>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experienced and larger sales forces;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name recognition;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established sales and marketing programs and distribution networks;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earlier regulatory clearance or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 established relationships with physicians and hospitals;</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acquire and integrate our competitors and/or their technology;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demonstrated ability to develop product enhancements and new product offerings;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history of product reliability, safety and durability;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rebates or bundle multiple product offerings to offer greater discounts or incentives;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2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Many of our competitors are large, well-established companies with substantially greater resources than us and have a long history of competing in the migraine markets. Furthermore, the competitive landscape for COVID-19 therapies is crowded and continues to evolve at a rapid pace.</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of our current and potential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Nerivo or any other neuromodulation devices that may be marketed for use in treating pain associated with primary headache. Cefaly has been granted an OTC clearance allowing it to be sold without a prescription, and the impact of this clearance on the competitive landscape remains to be seen. Given the size of the existing and potential market in the United States, we expect that as we continue our commercial efforts in the United States our current and future competitors will take aggressive action to protect their current market position.</w:t>
      </w:r>
    </w:p>
    <w:p>
      <w:pPr>
        <w:spacing w:after="0" w:line="19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migraine headache may be reluctant to try new products from a source with which they are less familiar. If these physicians do not try and subsequently adopt our product, then our financial performance will be adversely affected.</w:t>
      </w:r>
    </w:p>
    <w:p>
      <w:pPr>
        <w:spacing w:after="0" w:line="17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In the United Kingdom, Fremanezumab has been recommended for use in the National Health Service by the National Institute Health and Care Excellence for the treatment of migraine. Although our current business in the United Kingdom is almost entirely for the prevention and treatment of cluster headache, this recommendation may limit our ability to penetrate the migraine market in the United Kingdom.</w:t>
      </w:r>
    </w:p>
    <w:p>
      <w:pPr>
        <w:spacing w:after="0" w:line="1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Further,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gammaCore therapy. In addition, perception by physicians, payers or patients that a competitor’s product is superior to our gammaCore therapy or offers comparable benefits at a lower cost or lower incidence of undesirable side effects as compared against our gammaCore therapy, among other perception-driven outcomes in the market following competitors’ completion of their clinical trials, could have a material adverse effect on us.</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the competitive landscape for COVID-19 therapies is crowded and continues to evolve at a rapid pace. Various other companies, many with greater resources, are developing or commercializing treatments that potentially compete with gammaCore Sapphire CV. This competition could have a material adverse effect on potential acceptance, use, pricing and sales of gammaCore Sapphire CV.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80"/>
        <w:spacing w:after="0" w:line="263" w:lineRule="auto"/>
        <w:rPr>
          <w:sz w:val="20"/>
          <w:szCs w:val="20"/>
          <w:color w:val="auto"/>
        </w:rPr>
      </w:pPr>
      <w:r>
        <w:rPr>
          <w:rFonts w:ascii="Arial" w:cs="Arial" w:eastAsia="Arial" w:hAnsi="Arial"/>
          <w:sz w:val="18"/>
          <w:szCs w:val="18"/>
          <w:b w:val="1"/>
          <w:bCs w:val="1"/>
          <w:i w:val="1"/>
          <w:iCs w:val="1"/>
          <w:color w:val="auto"/>
        </w:rPr>
        <w:t>Traditional products used to treat CH and migraine have been available for decades, while our gammaCore therapy has only been commercially available in Europe for several years, and for approximately three years in the United States, and, as a result, we have a limited track record compared to our competitors.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Traditional products used to treat CH and migraine have been commercially available for decades, while we only began commercializing our gammaCore therapy in Europe to treat CH and migraine several years ago, and within the past four years in the United States. Because we have a limited commercial track record compared to our competitors and our gammaCore therapy generally has been utilized by patients for less time than other headache therapies, physicians and patients may be slower to adopt or recommend our gammaCore therapy. Further, while we believe our international commercial experience and our clinical trials support the safety and effectiveness of our gammaCore therapy for the acute treatment of eCH, prevention of CH and migraine headache, future studies or patient experience over a longer period of time may indicate that treatment with gammaCore is less attractive than treatment with competitive products or that our gammaCore therapy causes unexpected or serious complications or other unforeseen negative effects. Such results would likely slow the adoption of our gammaCore therapy and significantly reduce our sales, which would harm our business and adversely affect our results of operations. Furthermore, if patients with traditional or other headache products were to experience unexpected or serious complications or other unforeseen effects, the market for our gammaCore therapy may be adversely affected, even if such effects are not directly attributable to our gammaCore therapy.</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disease and fail to capitalize on product candidates or diseases that may be more profitable or for which there is a greater likelihood of success.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we have limited financial and managerial resources, we focus our research programs and product candidates on specific conditions. As a result, we may forego or delay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certain operating and compliance risks, which could adversely impact our results of operations and financial condition.</w:t>
      </w:r>
    </w:p>
    <w:p>
      <w:pPr>
        <w:spacing w:after="0" w:line="6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Sales of gammaCore outside the United States represent a substantial and growing portion of our net sales. In 2012, we began selling gammaCore in the EU through distributors. We sell gammaCore directly in seven countries in the EU, in the United Kingdom through distributors and agents located in Doncaster, UK, and in five countries in Eastern Europe through a distributor located in Lithuania, as well as through distributors in Canada and Australia. The sale and shipment of gammaCore across international borders, as well as the purchase of components from international sources, subjects us to U.S. and foreign governmental trade, import and export, and customs regulations and laws.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administration of President Biden may support potential trade proposals (including import tariffs and other tariffs on China),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addition, the COVID-19 pandemic has caused many countries to restrict certain manufacturing activities and has severely disrupted the movement of certain goods. As a result, our distributors, agents, and suppliers may not have the materials, capacity, or capability to operate as our business ordinarily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Additionally, our international operations expose us and our distributors to risks inherent in operating in foreign jurisdictions. These risks include:</w:t>
      </w:r>
    </w:p>
    <w:p>
      <w:pPr>
        <w:spacing w:after="0" w:line="237" w:lineRule="exact"/>
        <w:rPr>
          <w:sz w:val="20"/>
          <w:szCs w:val="20"/>
          <w:color w:val="auto"/>
        </w:rPr>
      </w:pPr>
    </w:p>
    <w:p>
      <w:pPr>
        <w:ind w:left="1220" w:hanging="605"/>
        <w:spacing w:after="0" w:line="277"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shortage of high-quality salespeople and distributors;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reimbursement policies that may require some of the patients who receive our products to directly absorb medical costs or that may necessitate the reduction of the selling prices of gammaCore;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disadvantage to competition with established business and customer relationships;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instability;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scrutiny of foreign tax authorities which could result in significant fines, penalties and additional taxes being imposed on us;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maintaining consistency with our internal guidelines;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new trade restrictions.; and</w:t>
      </w:r>
    </w:p>
    <w:p>
      <w:pPr>
        <w:spacing w:after="0" w:line="306"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caused by Brexit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we experience any of these risks, our sales in non-U.S. jurisdictions may be harmed and our results of operations would suffer.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loan pursuant to the Paycheck Protection Program, or the PPP, could be audited by U.S. regulatory authorities. An adverse finding thereunder could require us to return the full amount of the loan, and potentially subject us to fines and penalties.</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Because the COVID-19 pandemic affected, among other things, our access to prescribing physicians and potential prescribing physicians and their access to headache patients, on March 23, 2020 we suspended our earlier full-year revenue guidance until we could better understand the trajectory of our business, as well as announcing a reduction in our activities, and adjusting our cash runway expectations in response to the potential adverse impact caused by the COVID-19 pandemic. Compared to our earlier expectations, we believe that our results for the fiscal year ended December 31, 2020 reflect a negative impact from, among other things, the global pandemic. Moreover, our expectations for 2021 have also been adversely affected by both the uncertainty and potential negative impact of the global pandemic, which we believe may also have had an adverse effect on our access to debt and equity capital markets. Depending upon the duration and severity of the pandemic, the continuing effect on our results and outlook over the long term remains somewhat uncertain. In addition, the report of our auditors covering our consolidated financial statements at December 31, 2020 contained an explanatory paragraph stating that our recurring losses from operations and net capital deficiency raised substantial doubt about our ability to continue as a “going concern”. It was in this context that we believed we had a good faith basis that the economic uncertainty and negative impact on us and the economy as a whole due to the COVID-19 pandemic made an application for a loan pursuant to the PPP, under the Coronavirus Aid, Relief, and Economic Security Act, or CARES Act, necessary for the support of our ongoing operations in the current economic environment.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20"/>
        <w:spacing w:after="0" w:line="285" w:lineRule="auto"/>
        <w:rPr>
          <w:sz w:val="20"/>
          <w:szCs w:val="20"/>
          <w:color w:val="auto"/>
        </w:rPr>
      </w:pPr>
      <w:r>
        <w:rPr>
          <w:rFonts w:ascii="Arial" w:cs="Arial" w:eastAsia="Arial" w:hAnsi="Arial"/>
          <w:sz w:val="16"/>
          <w:szCs w:val="16"/>
          <w:color w:val="auto"/>
        </w:rPr>
        <w:t>On May 4, 2020, we entered into a PPP loan with Citibank, N.A. in an aggregate principal amount of approximately $1.4 million. The lack of clarity regarding loan eligibility under the Paycheck Protection Program has resulted in significant media coverage and controversy with respect to public companies applying for and receiving loans. On April 23, 2020, the Small Business Administration, or SBA, issued new guidance that questioned whether a public company with substantial market value and access to capital markets would qualify to participate in the PPP. Subsequently, on April 28, 2020 the Secretary of the Treasury and SBA announced that the government will review all PPP loans above $2 million in principal for which the borrower applies for forgiveness. On May 13, 2020, the SBA issued further guidance relating to the required necessity certification which provides a limited safe harbor for companies that received PPP loans having less than $2 million in principal to the effect that they will be deemed to have made the required certification concerning the necessity of the loan request in good faith. Nonetheless, should we be audited or reviewed by the U.S. Department of the Treasury as a result of filing an application for forgiveness or otherwise, such audit or review could result in the diversion of management’s time and attention and legal and reputational costs. If we were to be audited and receive an adverse finding in such audit, we could be required to return the full amount of the PPP loan and pay interest at a higher rate than 1.000% per annum, which could reduce our liquidity, and potentially subject us to fines and penalties. Official guidance and interpretations of the requirements of the program have been limited and have been changing over time. Despite our good-faith belief that we properly satisfied all eligibility requirements for the PPP loan and the recently published, limited safe-harbor, there has been increasing scrutiny of public companies that received loans, and there can be no assurance that we will not become subject to regulatory or other scrutiny by the SBA, the Department of the Treasury or any other regulatory, administrative, legislative or governmental authority, including a request or requirement for repayment of some or all of the loan, or otherwise incur adverse publicity and damage to our reputation.</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CARES Act, PPP loan recipients can be granted forgiveness for all or a portion of the loan, with such forgiveness to be determined, subject to limitations, based on the use of the loan proceeds for payment of qualifying expenses and the Company maintaining its payroll levels over certain required thresholds. Although we intend to apply for forgiveness of the PPP loan, no assurance can be provided that we will obtain such forgiveness in whole or in part.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impacted by changes in foreign currency exchange rates.</w:t>
      </w:r>
    </w:p>
    <w:p>
      <w:pPr>
        <w:spacing w:after="0" w:line="131"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We have international operations and, as a result, an increase in the value of the U.S. dollar relative to foreign currencies could require us to reduce our selling price or risk making our products less competitive in international markets, or our costs could increase. Also, if our international sales increase, we may enter into a greater number of transactions denominated in non-U.S. dollars, which could expose us to increased foreign currency risks, including currency fluctuations and exchange rate risks. We do not currently engage in any hedging transactions. If we are unable to address these risks and challenges effectively, our international operations may not be successful, and our business could be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or strengthen our brand.</w:t>
      </w:r>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believe that establishing and strengthening the electroCore and gammaCore brands is critical to achieving widespread acceptance of our gammaCore therapy to treat eCH, prevent CH, prevent and treat migraine, and treat acute asthma exacerbations in known or suspected COVID-19 patients, particularly because of the highly competitive nature of the market for headache therapies. Promoting and positioning our brand will depend largely on the success of our marketing efforts and our ability to provide physicians and patients with a reliable product. Given the established nature of our competitors, and our lack of commercialization in the United States,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gammaCore therapy may not be accepted by physicians, which would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could result in costly litigation and significant liabilities.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Manufacturing and marketing of gammaCore, and clinical testing of our gammaCore therapy may expose us to individual product liability claims, class action lawsuits or actions, and other individual or mass tort claims. Although we have, and intend to maintain, liability insurance, the insurers may deny our claims, coverage limits of our insurance policies may not be adequate and one or more successful claims brought against us may have a material adverse effect on our business and results of operations. These risks are heightened in the event any product recalls take place as a result of any product design defect or defect in product warnings or labeling. Product liability claims could negatively affect our reputation, our continued product sales and our ability to obtain and maintain regulatory clearance or approval for our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660"/>
        <w:spacing w:after="0" w:line="277" w:lineRule="auto"/>
        <w:rPr>
          <w:sz w:val="20"/>
          <w:szCs w:val="20"/>
          <w:color w:val="auto"/>
        </w:rPr>
      </w:pPr>
      <w:r>
        <w:rPr>
          <w:rFonts w:ascii="Arial" w:cs="Arial" w:eastAsia="Arial" w:hAnsi="Arial"/>
          <w:sz w:val="18"/>
          <w:szCs w:val="18"/>
          <w:b w:val="1"/>
          <w:bCs w:val="1"/>
          <w:i w:val="1"/>
          <w:iCs w:val="1"/>
          <w:color w:val="auto"/>
        </w:rPr>
        <w:t>Our operating results and profitability may be adversely affected by increases in reserves for product returns, doubtful accounts receivable and inventory.</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net sales and profitability are affected by changes in reserves to account for product returns, doubtful account receivable and inventory. Significant management judgment must be used, and estimates must be made in connection with establishing these reserves, and any increase thereto could adversely affect our reported financial results by reducing our net revenues and/or profitability for the reporting period.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financial condition of our customers were able to deteriorate resulting in an impairment of their ability to make payments or if third-party payers were to deny claims, additional provisions for doubtful accounts may be required.</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We permit the return of damaged or defective products and accept limited amounts of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spacing w:after="0" w:line="1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and (v) subject us to liability for damages and divert our resources from other tasks, any of which could materially and adversely affect our business, results of operations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our key executives or recruit and hire new employees, our operations and financial results may be adversely affected while we attract other highly qualified personnel.</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 In particular, our potential revenue in the United Kingdom is dependent on a small number of certain key UK personnel.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many of our employees have unvested equity awards in a substantial amount of stock or stock options that have lost significant value since they were granted. Our employees may be more likely to leave us if the shares they own or the shares underlying unvested options have significantly depreciated in value relative to the original purchase prices of the shares or the exercise prices of the options, or if the exercise prices of the options that they hold are significantly above the market price of our common stock. Further, our employees’ ability to exercise those options and sell their stock in a public market may result in a higher than normal turnover rate. In addition, our financial condition may preclude us from giving additional cash compensation to mitigate this risk.</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also depends on our ability to retain executive officers and other key employees and attract new key employees. 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as they seek to protect their market position, particularly as we prepare to expand in new or existing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leadership development and succession planning.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succession planning is important to our long-term success. Failure to ensure effective transfer of knowledge and smooth transitions involving key employees and senior executives could hinder our strategic planning and execution. Our ability to execute our business strategies, ensure a cohesive management team, and attract and retain key executives may be adversely affected by the uncertainty that could be associated with the needing to transition to a new senior leadership.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could give rise to liability.</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Social media, including Facebook and Twitter, is increasingly being used to communicate about our clinical development programs and the conditions our gammaCore therapy is being developed to treat, and we are engaging in what we believe is appropriate social media usage in connection with our commercialization efforts for indications for which our therapy has been approved, and we intend to do the same for any future indications or products, if approved.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for our clinical-stage candidates, patients may use social media channels to comment on their experience in an ongoing blinded clinical study or to report an alleged adverse event. When such disclosures occur, there is a risk that study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participants, customers, and others. If any of these events were to occur or we otherwise fail to comply with applicable regulations, we could incur liability, face regulatory actions or incur other harm to our business.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 Related to our Dependence on Third Parties</w:t>
      </w:r>
    </w:p>
    <w:p>
      <w:pPr>
        <w:spacing w:after="0" w:line="16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 including, for example, disruptions caused by COVID-19,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the recent COVID-19, or Coronavirus pandemic or similar events.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Establishing additional or replacement suppliers for the components or processes used in gammaCore, if required, may not be accomplished quickly. If we are able to find a replacement supplier, such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 Europe, we rely in part on a single third-party distributor to effectively distribute a majority of our products.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in part on a single third-party distributor for the warehousing, programming and shipment of our products in certain territories in Europe. We depend on this distributor’s efforts, yet we are unable to control its efforts completely. This distributor typically performs the same services for a variety of other non-competing products that may limit the resources it dedicates to our gammaCore therapy. If our distributor fails to effectively distribute gammaCore in full compliance with applicable laws, our operating results and business may suffer. Recruiting and retaining qualified third-party distributors and training them in our technology and product offerings requires significant time and resources. To develop and expand our distribution, we must continue to scale and improve our processes and procedures that support our distributors.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Further, if our relationship with a successful distributor terminates, we may be unable to replace that distributor without disruption to our business. If we fail to maintain positive relationships with our distributor, fail to develop new relationships with other distributors, including in new markets, fail to manage, train or incentivize our existing distributor effectively, or fail to strike agreements with attractive terms, or if our distributor is not successful in its businesses, our revenue may decrease and our operating results, reputation and business may be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upon specialty pharmacies to distribute some of our products in the United States.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depend on specialty pharmacies to distribute our products but are unable to control their performance. These specialty pharmacies may distribute a variety of other specialty pharmaceutical products that may limit the resources dedicated to the distribution of our products. In addition, we are unable to ensure that these specialty pharmacies will comply with all applicable laws related to the distribution of our products. If they fail to distribute our products in compliance with applicable laws, our operating results and business may suffer. Recruiting, training, and retaining specialty pharmacies in the distribution of our proprietary product offerings requires significant time and resources.</w:t>
      </w:r>
    </w:p>
    <w:p>
      <w:pPr>
        <w:spacing w:after="0" w:line="20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addition, we previously used a third-party distributor and its affiliate to provide pharmaceutical patient hub services, including patient support and training. This hub was electronically integrated with our proprietary data warehouse system and web portal. Our agreement with this third-party distributor expired in the second quarter of 2020 and we have transitioned to using specialty pharmacies for select services. This may inhibit our ability to gather data directly into our proprietary data warehouse system and web portal, which may result in disruptions in service for patients that are prescribed our therapy and cause them to seek alternative therapy. Specialty pharmacies also may not pay us on time or at all due to disputes, financial issues or bankruptcy events. Any such payment issues may materially affect our operating results until we are able to resolve the issues or find a sufficient replacement.</w:t>
      </w:r>
    </w:p>
    <w:p>
      <w:pPr>
        <w:spacing w:after="0" w:line="13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We offer health care provider consults for gammaCore Sapphire CV in the United States and rely upon a third-party telehealth platform provider to do so. In the future, we may need to engage other telehealth platform providers for sales of our other products.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UpScript LLC, or UpScript, is our exclusive online telehealth provider for gammaCore Sapphire CV and its performance is not fully within our control. We are unable to ensure that UpScript will comply with applicable laws, and its failure to do so could have an adverse effect on our operating results and business. Additionally, recruiting, training and retaining telehealth platform providers requires significant time and resources. We may need to establish additional relationships with telehealth platform providers for the sales of our other products, but there can be no assurance that we will be able to do so at all or on terms favorable to us.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180"/>
        <w:spacing w:after="0" w:line="375" w:lineRule="auto"/>
        <w:rPr>
          <w:sz w:val="20"/>
          <w:szCs w:val="20"/>
          <w:color w:val="auto"/>
        </w:rPr>
      </w:pPr>
      <w:r>
        <w:rPr>
          <w:rFonts w:ascii="Arial" w:cs="Arial" w:eastAsia="Arial" w:hAnsi="Arial"/>
          <w:sz w:val="15"/>
          <w:szCs w:val="15"/>
          <w:b w:val="1"/>
          <w:bCs w:val="1"/>
          <w:i w:val="1"/>
          <w:iCs w:val="1"/>
          <w:color w:val="auto"/>
        </w:rPr>
        <w:t>Our status as a federal contractor subjects us to a wide variety of regulatory compliance, pricing, and contract-based requirements. Failure to comply with these requirements could adversely impact our ability to obtain future federal contracts, which could negatively impact us and our business.</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expect that a majority of our 2021 U.S. sales of gammaCore will be made pursuant to our qualifying contract on the FSS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overbilling, or misconduct. 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 Any of these contingencies could have a material adverse effect on our business, financial condition and results of operations.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potential revenue in the United Kingdom is substantially dependent on government funding arrangements and changes in such government policy could cause material harm to our business.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United Kingdom, an award from the NHS called the Innovation Technology Payment Program, or ITP, offers the potential for us to generate revenue from the treatment of CH. This award, which has been extended until March 2021, is the primary commercial channel from which our United Kingdom revenue is derived and is supported by a December 2019 recommendation for the use of gammaCore in CH from the National Institute for Health and Care Excellence, or NICE, as well as an adaptation of the NICE recommendation for NHS Scotland by Health Improvement Scotland. The cost of compliance with applicable UK laws and regulations could negatively harm us and our business. Additionally, the government funding arrangements provided by the NHS and NICE could be withdrawn if we do not comply with the terms and conditions of such arrangements, or if the programs are not extended or curtailed. Finally, NHS England has announced the launch of a new funding mechanism known as the MedTech Funding Mandate, or MTFM, in April 2021. Transition from the ITP to the MTFM could result in disruptions to our business in the United Kingdom. Any of these contingencies could have an adverse effect on our potential UK revenue.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and support clinical trials and investigator - initiated trials, and those third parties may not perform satisfactorily, including failing to meet deadlines for the completion of such trials.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do not independently conduct clinical trials for our product candidates. We rely on third parties, such as CROs, clinical data management organizations, medical institutions and clinical investigators, to perform this function. Currently, we have a number of ongoing IITs, including IITs for nVNS stimulation in COVID-19 patients in Spain and the United States. We frequently review both proposals for new trials and the performance of ongoing trials, and our reviews may result in changes to our future obligations. Our reliance on third parties for clinical development activities reduces our control over these activities but does not relieve us of our responsibilities. Furthermore, some of the sites for our investigator-initiated trials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clinical trials are conducted in accordance with the general investigational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patient enrollment is affected by many factors beyond our control and the control of the third parties upon whom we rely to conduct IITs. As a result, we cannot predict how successful our IITs will be at enrolling patients. In particular, enrollment in our IITs for nVNS stimulation in COVID-19 patients in the United States have been slower than expected.</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also may rely on other third parties to store and distribute supplies for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successfully enter into future collaborations for the development, regulatory clearance and commercialization of our gammaCore therapy in international markets our business may be harmed.</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may choose to enter into collaboration agreements with third parties with respect to development, regulatory clearance and commercialization of our gammaCore therapy in international markets. We will have limited control over the amount and timing of resources that our collaborators dedicate to the development, regulatory clearance, or commercialization of our gammaCore therapy. Our ability to generate revenues from these arrangements will depend in part on our collaborators’ abilities to successfully perform the functions assigned to them in these arrangements.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Despite carefully written collaboration agreements, collaborations involving our gammaCore therapy, are subject to numerous risks, which may include the following:</w:t>
      </w:r>
    </w:p>
    <w:p>
      <w:pPr>
        <w:spacing w:after="0" w:line="170" w:lineRule="exact"/>
        <w:rPr>
          <w:sz w:val="20"/>
          <w:szCs w:val="20"/>
          <w:color w:val="auto"/>
        </w:rPr>
      </w:pPr>
    </w:p>
    <w:p>
      <w:pPr>
        <w:ind w:left="1220" w:hanging="60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25" w:lineRule="exact"/>
        <w:rPr>
          <w:rFonts w:ascii="Arial" w:cs="Arial" w:eastAsia="Arial" w:hAnsi="Arial"/>
          <w:sz w:val="18"/>
          <w:szCs w:val="18"/>
          <w:color w:val="auto"/>
        </w:rPr>
      </w:pPr>
    </w:p>
    <w:p>
      <w:pPr>
        <w:jc w:val="both"/>
        <w:ind w:left="1220" w:hanging="605"/>
        <w:spacing w:after="0" w:line="259"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6"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3"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 from our collaborating with them, and in such cases, we would not have the exclusive right to commercialize such intellectual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color w:val="auto"/>
        </w:rPr>
        <w:t>Any termination or disruption of any future collaboration could result in delayed development of product candidates, increased cost to develop product candidates or termination of development of a product candidate.</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some of our future development, regulatory clearance and commercialization plans.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development programs, regulatory clearance and the potential commercialization of our gammaCore therapy will require substantial additional capital to fund expenses. For some of our product candidates, we may decide to collaborate with pharmaceutical and medical device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clearance or approval by the FDA, compliance with the Essential Requirements of the EU Medical Devices Directive and from May 26, 2020, the General Safety and Performance Requirements of the EU Medical Devices Regulation or similar foreign regulations,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We may not be able to negotiate collaborations on a timely basis, on acceptable terms, or at all. Even if we are able to obtain a license to intellectual property of interest, we may not be able to secure exclusive rights, in which case others could use the same rights and compete with us. If we are unable to successfully obtain rights to required third-party intellectual property rights or maintain the existing intellectual property rights we have,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140"/>
        <w:spacing w:after="0" w:line="263"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sustain and to further scale-up manufacturing of our gammaCore therapy or its component parts in sufficient quality and quantity, which would delay or prevent us from developing and commercializing any approved products.</w:t>
      </w:r>
    </w:p>
    <w:p>
      <w:pPr>
        <w:spacing w:after="0" w:line="7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order to conduct clinical trials of our gammaCore therapy and continue to commercialize approved products, we, or our manufacturers, will need to manufacture products in large quantities.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of our gammaCore therapy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gammaCore therapy successfully.</w:t>
      </w:r>
    </w:p>
    <w:p>
      <w:pPr>
        <w:spacing w:after="0" w:line="166"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are required to maintain high levels of inventory with our third-party manufacturers, due to lead times with single-source consumer electronic components vendors, which could consume a significant amount of our resources, reduce our cash flows and lead to inventory impairment charges.</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gammaCore therapy consists of a substantial number of individual components. In order to market and sell effectively, we often must maintain high levels of inventory of the product and its components.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manufacturing process requires lengthy lead times during which electronic components of our gammaCore therapy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2020 we had approximately $5.7 million of inventory. Our inventory significantly exceeds current demand for the gammaCore therapy, which also could result in an increased risk of adverse financial impact from inventory obsolescence.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2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 and business, and copyright applications to protect our software.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However, we face the risks that:</w:t>
      </w:r>
    </w:p>
    <w:p>
      <w:pPr>
        <w:spacing w:after="0" w:line="225" w:lineRule="exact"/>
        <w:rPr>
          <w:sz w:val="20"/>
          <w:szCs w:val="20"/>
          <w:color w:val="auto"/>
        </w:rPr>
      </w:pPr>
    </w:p>
    <w:p>
      <w:pPr>
        <w:jc w:val="both"/>
        <w:ind w:left="1220" w:right="20" w:hanging="605"/>
        <w:spacing w:after="0" w:line="263"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secure necessary patents, potentially permitting competitors to market competing products and services and make, use or sell products or offer services that are substantially the same as ours without incurring the sizeable development costs that we have incurred, which would adversely affect our ability to compete.</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may not issue from currently pending or future patent applications.</w:t>
      </w:r>
    </w:p>
    <w:p>
      <w:pPr>
        <w:spacing w:after="0" w:line="225" w:lineRule="exact"/>
        <w:rPr>
          <w:rFonts w:ascii="Arial" w:cs="Arial" w:eastAsia="Arial" w:hAnsi="Arial"/>
          <w:sz w:val="18"/>
          <w:szCs w:val="18"/>
          <w:color w:val="auto"/>
        </w:rPr>
      </w:pPr>
    </w:p>
    <w:p>
      <w:pPr>
        <w:jc w:val="both"/>
        <w:ind w:left="1220" w:hanging="605"/>
        <w:spacing w:after="0" w:line="286"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left="605" w:hanging="605"/>
        <w:spacing w:after="0" w:line="285" w:lineRule="auto"/>
        <w:tabs>
          <w:tab w:leader="none" w:pos="6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If another party has filed a U.S. patent application on inventions similar to ours, depending on when the timing of the filing date falls under certain patent laws, we may have to participate in a priority contest (such as an interference proceeding) declared by the USPTO to determine priority of invention in the United States. There may be prior public disclosures of which we are not aware that could invalidate our patents or a portion of the claims of our patents. Further, we may not develop additional proprietary technologies and, even if we do, they may not be patentable.</w:t>
      </w:r>
    </w:p>
    <w:p>
      <w:pPr>
        <w:spacing w:after="0" w:line="173" w:lineRule="exact"/>
        <w:rPr>
          <w:rFonts w:ascii="Arial" w:cs="Arial" w:eastAsia="Arial" w:hAnsi="Arial"/>
          <w:sz w:val="16"/>
          <w:szCs w:val="16"/>
          <w:color w:val="auto"/>
        </w:rPr>
      </w:pPr>
    </w:p>
    <w:p>
      <w:pPr>
        <w:ind w:left="605" w:right="40" w:hanging="605"/>
        <w:spacing w:after="0" w:line="289" w:lineRule="auto"/>
        <w:tabs>
          <w:tab w:leader="none" w:pos="6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166" w:lineRule="exact"/>
        <w:rPr>
          <w:rFonts w:ascii="Arial" w:cs="Arial" w:eastAsia="Arial" w:hAnsi="Arial"/>
          <w:sz w:val="16"/>
          <w:szCs w:val="16"/>
          <w:color w:val="auto"/>
        </w:rPr>
      </w:pPr>
    </w:p>
    <w:p>
      <w:pPr>
        <w:jc w:val="both"/>
        <w:ind w:left="625" w:hanging="625"/>
        <w:spacing w:after="0" w:line="285" w:lineRule="auto"/>
        <w:tabs>
          <w:tab w:leader="none" w:pos="6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73" w:lineRule="exact"/>
        <w:rPr>
          <w:rFonts w:ascii="Arial" w:cs="Arial" w:eastAsia="Arial" w:hAnsi="Arial"/>
          <w:sz w:val="16"/>
          <w:szCs w:val="16"/>
          <w:color w:val="auto"/>
        </w:rPr>
      </w:pPr>
    </w:p>
    <w:p>
      <w:pPr>
        <w:jc w:val="both"/>
        <w:ind w:left="605" w:hanging="605"/>
        <w:spacing w:after="0" w:line="259" w:lineRule="auto"/>
        <w:tabs>
          <w:tab w:leader="none" w:pos="6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w:t>
      </w:r>
    </w:p>
    <w:p>
      <w:pPr>
        <w:spacing w:after="0" w:line="214" w:lineRule="exact"/>
        <w:rPr>
          <w:sz w:val="20"/>
          <w:szCs w:val="20"/>
          <w:color w:val="auto"/>
        </w:rPr>
      </w:pPr>
    </w:p>
    <w:p>
      <w:pPr>
        <w:ind w:left="4925"/>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92075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5"/>
          </w:cols>
          <w:pgMar w:left="935" w:top="557" w:right="339" w:bottom="1440" w:gutter="0" w:footer="0" w:header="0"/>
        </w:sectPr>
      </w:pPr>
    </w:p>
    <w:bookmarkStart w:id="56" w:name="page57"/>
    <w:bookmarkEnd w:id="56"/>
    <w:p>
      <w:pPr>
        <w:jc w:val="both"/>
        <w:ind w:left="1220" w:hanging="605"/>
        <w:spacing w:after="0" w:line="279"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a variety of intellectual property rights, and if we are unable to maintain or protect our intellectual property, our business and results of operations will be harmed.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commercial success will depend, in part, on our ability to obtain and maintain intellectual property protection for our products,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spacing w:after="0" w:line="1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jurisdiction may find our patents invalid and/or unenforceable, or even if valid and enforceable, insufficient to provide protection against competing products and services sufficient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170" w:lineRule="exact"/>
        <w:rPr>
          <w:sz w:val="20"/>
          <w:szCs w:val="20"/>
          <w:color w:val="auto"/>
        </w:rPr>
      </w:pPr>
    </w:p>
    <w:p>
      <w:pPr>
        <w:ind w:left="1220" w:hanging="605"/>
        <w:spacing w:after="0"/>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may be able to develop products that are similar to, or better than, ours in a way that is not covered by the claims of our patents;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might not have been the first to conceive or reduce to practice the inventions covered by our patents or pending patent applications;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our inventions;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patents that we obtain may not provide us with any competitive advantages or may ultimately be found invalid or unenforceable; or</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time-consuming and unsuccessful.</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upon the intellectual property rights of third parties.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w:t>
      </w:r>
    </w:p>
    <w:p>
      <w:pPr>
        <w:spacing w:after="0" w:line="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220"/>
        <w:spacing w:after="0" w:line="286" w:lineRule="auto"/>
        <w:rPr>
          <w:sz w:val="20"/>
          <w:szCs w:val="20"/>
          <w:color w:val="auto"/>
        </w:rPr>
      </w:pPr>
      <w:r>
        <w:rPr>
          <w:rFonts w:ascii="Arial" w:cs="Arial" w:eastAsia="Arial" w:hAnsi="Arial"/>
          <w:sz w:val="17"/>
          <w:szCs w:val="17"/>
          <w:color w:val="auto"/>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spacing w:after="0" w:line="165" w:lineRule="exact"/>
        <w:rPr>
          <w:sz w:val="20"/>
          <w:szCs w:val="20"/>
          <w:color w:val="auto"/>
        </w:rPr>
      </w:pPr>
    </w:p>
    <w:p>
      <w:pPr>
        <w:ind w:left="1220" w:hanging="605"/>
        <w:spacing w:after="0" w:line="277"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may participate at substantial cost in International Trade Commission proceedings to abate importation of products that would compete unfairly with our products;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183"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183"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ownership disputes relating to intellectual property, including disputes arising from conflicting obligations of consultants or others who are involved in developing our products; and</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80"/>
        <w:spacing w:after="0" w:line="263" w:lineRule="auto"/>
        <w:rPr>
          <w:sz w:val="20"/>
          <w:szCs w:val="20"/>
          <w:color w:val="auto"/>
        </w:rPr>
      </w:pPr>
      <w:r>
        <w:rPr>
          <w:rFonts w:ascii="Arial" w:cs="Arial" w:eastAsia="Arial" w:hAnsi="Arial"/>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184" w:lineRule="exact"/>
        <w:rPr>
          <w:sz w:val="20"/>
          <w:szCs w:val="20"/>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 substantial damages to our customers or end users to discontinue use or replace infringing technology with non-infringing technology;</w:t>
      </w:r>
    </w:p>
    <w:p>
      <w:pPr>
        <w:spacing w:after="0" w:line="248" w:lineRule="exact"/>
        <w:rPr>
          <w:rFonts w:ascii="Arial" w:cs="Arial" w:eastAsia="Arial" w:hAnsi="Arial"/>
          <w:sz w:val="16"/>
          <w:szCs w:val="16"/>
          <w:color w:val="auto"/>
        </w:rPr>
      </w:pPr>
    </w:p>
    <w:p>
      <w:pPr>
        <w:ind w:left="1220" w:hanging="605"/>
        <w:spacing w:after="0" w:line="308"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redesign our products, services, and technology so they do not infringe or violate the third party’s intellectual property rights, which may not be possible or may require substantial monetary expenditures and time;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intellectual property position;</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find alternative suppliers for non-infringing products and technologies, which could be costly and create significant delay;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rights associated with one or more of our patent claims, if our claims are held invalid or otherwise unenforceable.</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40"/>
        <w:spacing w:after="0" w:line="296"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 financial condition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other pharmaceutical and medical device companies, our success is heavily dependent on intellectual property, particularly patents. Obtaining and enforcing patents in the pharmaceutical and medical device industries involves both technological and legal complexity, and is therefore costly, time-consuming, and inherently uncertain. In addition, patent reform legislation may pass in the future that could lead to additional uncertainties and increased costs surrounding the prosecution, enforcement and defense of our patents and pending patent applications.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show access and copying, then our copyrights may not provide protection for our software and our business may be adversely affected.</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throughout the world.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do not have patent rights in certain foreign countries in which a market for our products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1" w:lineRule="exact"/>
        <w:rPr>
          <w:sz w:val="20"/>
          <w:szCs w:val="20"/>
          <w:color w:val="auto"/>
        </w:rPr>
      </w:pPr>
    </w:p>
    <w:p>
      <w:pPr>
        <w:ind w:left="840" w:right="20" w:hanging="414"/>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file patent applications covering certain of our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38"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the use of our products or technologies could use the intellectual property of others without obtaining a proper license;</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parties may assert an ownership interest in our intellectual property and, if successful, such disputes may preclude us from exercising exclusive rights over that intellectual property;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obtain and maintain necessary licenses on commercially reasonable terms, or at all;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result in customers seeking other sources for the technology, or in ceasing from doing business with us.</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6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intellectual property rights to future products through acquisitions and in-licenses.</w:t>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right="120"/>
        <w:spacing w:after="0" w:line="255" w:lineRule="auto"/>
        <w:rPr>
          <w:sz w:val="20"/>
          <w:szCs w:val="20"/>
          <w:color w:val="auto"/>
        </w:rPr>
      </w:pPr>
      <w:r>
        <w:rPr>
          <w:rFonts w:ascii="Arial" w:cs="Arial" w:eastAsia="Arial" w:hAnsi="Arial"/>
          <w:sz w:val="18"/>
          <w:szCs w:val="18"/>
          <w:color w:val="auto"/>
        </w:rPr>
        <w:t>The in-licensing and acquisition of third-party intellectual property rights for product candidates is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platform utilizes open source software, and any failure to comply with the terms of one or more of these open source licenses could negatively affect our business.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platform utilizes software governed by open source licenses. The terms of various open source licenses have not been interpreted by United States courts, and there is a risk that such licenses could be construed in a manner that imposes unanticipated conditions or restrictions on our ability to market our platform. By the terms of certain open source licenses, if we combine certain proprietary software with open source software in a specified manner, we could be required to release the source code of our proprietary software and make it available under open source licenses. In the event that portions of our platform are determined to be subject to an open 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 source software can lead to greater risks than use of third-party commercial software, as open source licensors generally do not provide warranties or controls on the origin of the software. Many of the risks associated with the use of open source software cannot be eliminated and could negatively affect our business.</w:t>
      </w:r>
    </w:p>
    <w:p>
      <w:pPr>
        <w:spacing w:after="0" w:line="1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acts of vandalism, software viruses, misplaced or lost data, programming and/or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Industry</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business is subject to extensive governmental regulation that makes it expensive and time consuming for us to bring our gammaCore therapy to market in the United States and to expand the use of our gammaCore therapy to additional therapeutic indications.</w:t>
      </w:r>
    </w:p>
    <w:p>
      <w:pPr>
        <w:spacing w:after="0" w:line="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2" w:lineRule="exact"/>
        <w:rPr>
          <w:sz w:val="20"/>
          <w:szCs w:val="20"/>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Food, Drug, and Cosmetic Act and the FDA’s implementing regulations (Title 21 CFR);</w:t>
      </w:r>
    </w:p>
    <w:p>
      <w:pPr>
        <w:spacing w:after="0" w:line="319"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 mark requirements of the European Union, or EU, and UKCA mark requirements of the United Kingdom;</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Medical Device Quality Management System Requirements (ISO 13485:2016);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Occupational Safety and Health Administration requirements;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Jersey Department of Health Services requirements.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Government regulation may impede our ability to conduct clinical trials and to manufacture and sell our existing therapy and any future products. Government regulation also could delay our marketing of new products for a considerable period of time and impose costly procedures on our activities. The FDA and other regulatory agencies may not clear or approve our gammaCore therapy in additional therapeutic areas that we may pursue, on a timely basis, if at all. Any delay in obtaining, or failure to obtain, such clearances or approvals could negatively impact our marketing of our gammaCore therapy and impede our ability to bring future products to market.</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While 510(k) clearance from the FDA has been received to expand the label for gammaCore therapy for several indications our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gammaCore therapy and on our business and financial position.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products or product enhancements that will be accepted by the market in a timely manner.</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payers who financially support many of the procedures performed with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w:t>
      </w:r>
    </w:p>
    <w:p>
      <w:pPr>
        <w:spacing w:after="0" w:line="225" w:lineRule="exact"/>
        <w:rPr>
          <w:sz w:val="20"/>
          <w:szCs w:val="20"/>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devices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 adequate coverage and reimbursement for procedures performed with our products.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6" w:name="page67"/>
    <w:bookmarkEnd w:id="66"/>
    <w:p>
      <w:pPr>
        <w:ind w:right="660"/>
        <w:spacing w:after="0" w:line="342" w:lineRule="auto"/>
        <w:rPr>
          <w:sz w:val="20"/>
          <w:szCs w:val="20"/>
          <w:color w:val="auto"/>
        </w:rPr>
      </w:pPr>
      <w:r>
        <w:rPr>
          <w:rFonts w:ascii="Arial" w:cs="Arial" w:eastAsia="Arial" w:hAnsi="Arial"/>
          <w:sz w:val="16"/>
          <w:szCs w:val="16"/>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gammaCore is subject to extensive governmental regulation, and our failure to comply with applicable requirements could cause our business to suffer.</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and other US, EEA and foreign governmental agencies and authorities regulate and oversee, among other things, with respect to medical devices:</w:t>
      </w:r>
    </w:p>
    <w:p>
      <w:pPr>
        <w:spacing w:after="0" w:line="165" w:lineRule="exact"/>
        <w:rPr>
          <w:sz w:val="20"/>
          <w:szCs w:val="20"/>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assessment and management;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pre-market regulatory clearance and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recalls and other field safety corrective actions;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studies;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320"/>
        <w:spacing w:after="0" w:line="277" w:lineRule="auto"/>
        <w:rPr>
          <w:sz w:val="20"/>
          <w:szCs w:val="20"/>
          <w:color w:val="auto"/>
        </w:rPr>
      </w:pPr>
      <w:r>
        <w:rPr>
          <w:rFonts w:ascii="Arial" w:cs="Arial" w:eastAsia="Arial" w:hAnsi="Arial"/>
          <w:sz w:val="18"/>
          <w:szCs w:val="18"/>
          <w:b w:val="1"/>
          <w:bCs w:val="1"/>
          <w:i w:val="1"/>
          <w:iCs w:val="1"/>
          <w:color w:val="auto"/>
        </w:rPr>
        <w:t>gammaCore is also subject to extensive governmental regulation in foreign jurisdictions, such as Europe, and our failure to comply with applicable requirements could cause our business to suffer. *</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EEA, gammaCore must currently comply with the Essential Requirements laid down in (i) Annex I to Directive 93/42/EEC and (ii) EU Medical Device Regulation 2017/745, or MDR,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Moreover, in May 2017 the new MDR, entered into force. Following its entry into application in May 2021, the regulation will introduce substantial changes to the obligations with which medical device manufacturers must comply in the EU. High risk medical devices will be subject to additional scrutiny during the conformity assessment procedure. Specifically,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Once applicable, the Medical Devices Regulation will among other things:</w:t>
      </w:r>
    </w:p>
    <w:p>
      <w:pPr>
        <w:spacing w:after="0" w:line="178" w:lineRule="exact"/>
        <w:rPr>
          <w:sz w:val="20"/>
          <w:szCs w:val="20"/>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48"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Once applicable, the MDR may impose increased compliance obligations for us to access the EU market.</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order to continue to sell gammaCore in Europe, we must maintain our CE Certificate of Conformity for the device and continue to comply with the Medical Devices Directive and with the MDR. The Medical Devices Regulation imposes a number of new requirements on manufacturers of medical devices. This may impact our activities in the EEA and in the United Kingdom,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United Kingdom’s withdrawal from the EU, or Brexit could lead to legal uncertainty and potentially divergent national laws and regulations in the EU and the United Kingdom. Given the lack of comparable precedent, it is unclear what Brexit’s financial, regulatory, and legal implications would be and how it would affect us. However, potentially changing regulatory schemes and tariffs engendered by Brexit may add additional complexity, cost and delays to the operations of electroCore UK Ltd., and in marketing or selling our products in the United Kingdom. Our revenue and profit, supply and demand for our products, and customer retention and acquisition in both the long term and short term could be adversely affected. Since a significant proportion of the regulatory framework in the United Kingdom was derived from EU directives and regulations, the withdrawal of the United Kingdom from the EU could materially impact the regulatory regime with respect to the CE Certificates of Conformity in the United Kingdom.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UK may have a significant impact on our activities. Finally, Brexit may also disrupt the way that the United Kingdom interprets obligations under CE Certificates of Conformity.</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and market these products could suffer.</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Federal Food, Drug and Cosmetic Act,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 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 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 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ind w:right="340"/>
        <w:spacing w:after="0" w:line="286" w:lineRule="auto"/>
        <w:rPr>
          <w:sz w:val="20"/>
          <w:szCs w:val="20"/>
          <w:color w:val="auto"/>
        </w:rPr>
      </w:pPr>
      <w:r>
        <w:rPr>
          <w:rFonts w:ascii="Arial" w:cs="Arial" w:eastAsia="Arial" w:hAnsi="Arial"/>
          <w:sz w:val="17"/>
          <w:szCs w:val="17"/>
          <w:color w:val="auto"/>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regulatory clearances or approvals or may require us to recall or cease marketing our products until clearances or approvals are obtained.</w:t>
      </w:r>
    </w:p>
    <w:p>
      <w:pPr>
        <w:spacing w:after="0" w:line="6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Modifications to or expansion of our indications for use of our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w:t>
      </w:r>
    </w:p>
    <w:p>
      <w:pPr>
        <w:spacing w:after="0" w:line="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PMA application. Where we determine that modifications to our products require a new 510(k) clearance or PMA 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There is no guarantee that the FDA will grant </w:t>
      </w:r>
      <w:r>
        <w:rPr>
          <w:rFonts w:ascii="Arial" w:cs="Arial" w:eastAsia="Arial" w:hAnsi="Arial"/>
          <w:sz w:val="18"/>
          <w:szCs w:val="18"/>
          <w:color w:val="auto"/>
        </w:rPr>
        <w:t>510</w:t>
      </w:r>
      <w:r>
        <w:rPr>
          <w:rFonts w:ascii="Arial" w:cs="Arial" w:eastAsia="Arial" w:hAnsi="Arial"/>
          <w:sz w:val="18"/>
          <w:szCs w:val="18"/>
          <w:b w:val="1"/>
          <w:bCs w:val="1"/>
          <w:i w:val="1"/>
          <w:iCs w:val="1"/>
          <w:color w:val="auto"/>
        </w:rPr>
        <w:t>(k) clearance or PMA approval of our future products and failure to obtain necessary clearances or approvals for our future products would adversely affect our ability to grow our business.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ind w:right="260"/>
        <w:spacing w:after="0" w:line="263" w:lineRule="auto"/>
        <w:rPr>
          <w:sz w:val="20"/>
          <w:szCs w:val="20"/>
          <w:color w:val="auto"/>
        </w:rPr>
      </w:pPr>
      <w:r>
        <w:rPr>
          <w:rFonts w:ascii="Arial" w:cs="Arial" w:eastAsia="Arial" w:hAnsi="Arial"/>
          <w:sz w:val="18"/>
          <w:szCs w:val="18"/>
          <w:b w:val="1"/>
          <w:bCs w:val="1"/>
          <w:i w:val="1"/>
          <w:iCs w:val="1"/>
          <w:color w:val="auto"/>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65" w:lineRule="exact"/>
        <w:rPr>
          <w:sz w:val="20"/>
          <w:szCs w:val="20"/>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detention or seizure of our products; operating restrictions or partial suspension or total shutdown of production;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1" w:name="page72"/>
    <w:bookmarkEnd w:id="71"/>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gammaCore has been CE Marked in the EEA and cleared by the FDA for the acute treatment of eCH, CH prevention and the preventive and acute treatment of migraine headache in the United States; and gammaCore Sapphire CV has received an EUA from the FDA for the acute treatment of asthma exacerbations in known or suspected COVID-19 patients. We may only promote or market our gammaCore or gammaCore CV therapy for its specifically approved or authorized indications as described on the approved or authorized label. We train our marketing and sales force against promoting our products for uses outside of the approved or authorized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approved or authorized by the applicable regulatory body may not effectively treat such conditions, which could harm our reputation in the marketplace among physicians and patients.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 the advertising and promotion of our products is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gammaCore may in the future be subject to notifications, recalls, or voluntary market withdrawals that could harm our reputation, business and financial results.</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44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of our product candidates and to manufacture, market and distribute our products after clearance is obtained.</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Political change as a result of elections, including the recent presidential and congressional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EU, on May 25, 2017 the new MDR was adopted and it entered into application on May 26, 2020. The MDR has introduce substantial changes to the obligations with which medical device manufacturers must comply in the EU. High risk medical devices will be subject to additional scrutiny during the conformity assessment procedure.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federal, state and foreign healthcare laws and regulations, and a finding of failure to comply with such laws and regulations could have a material adverse effect on our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spacing w:after="0" w:line="170" w:lineRule="exact"/>
        <w:rPr>
          <w:sz w:val="20"/>
          <w:szCs w:val="20"/>
          <w:color w:val="auto"/>
        </w:rPr>
      </w:pPr>
    </w:p>
    <w:p>
      <w:pPr>
        <w:jc w:val="both"/>
        <w:ind w:left="800" w:hanging="494"/>
        <w:spacing w:after="0" w:line="269"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w:t>
      </w:r>
    </w:p>
    <w:p>
      <w:pPr>
        <w:spacing w:after="0" w:line="185" w:lineRule="exact"/>
        <w:rPr>
          <w:rFonts w:ascii="Arial" w:cs="Arial" w:eastAsia="Arial" w:hAnsi="Arial"/>
          <w:sz w:val="17"/>
          <w:szCs w:val="17"/>
          <w:color w:val="auto"/>
        </w:rPr>
      </w:pPr>
    </w:p>
    <w:p>
      <w:pPr>
        <w:ind w:left="840" w:hanging="520"/>
        <w:spacing w:after="0" w:line="277" w:lineRule="auto"/>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Stark Law, in the event that third-party payers require us to be a durable medical equipment, or DME, supplier or we sell our products directly to providers who are DME suppliers that submit claims to such payers.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ind w:left="520" w:hanging="500"/>
        <w:spacing w:after="0" w:line="289" w:lineRule="auto"/>
        <w:tabs>
          <w:tab w:leader="none" w:pos="5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Stark Law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6" w:lineRule="exact"/>
        <w:rPr>
          <w:rFonts w:ascii="Arial" w:cs="Arial" w:eastAsia="Arial" w:hAnsi="Arial"/>
          <w:sz w:val="16"/>
          <w:szCs w:val="16"/>
          <w:color w:val="auto"/>
        </w:rPr>
      </w:pPr>
    </w:p>
    <w:p>
      <w:pPr>
        <w:jc w:val="both"/>
        <w:ind w:left="540" w:hanging="534"/>
        <w:spacing w:after="0" w:line="269"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w:t>
      </w:r>
    </w:p>
    <w:p>
      <w:pPr>
        <w:spacing w:after="0" w:line="185" w:lineRule="exact"/>
        <w:rPr>
          <w:rFonts w:ascii="Arial" w:cs="Arial" w:eastAsia="Arial" w:hAnsi="Arial"/>
          <w:sz w:val="17"/>
          <w:szCs w:val="17"/>
          <w:color w:val="auto"/>
        </w:rPr>
      </w:pPr>
    </w:p>
    <w:p>
      <w:pPr>
        <w:jc w:val="both"/>
        <w:ind w:left="540" w:hanging="520"/>
        <w:spacing w:after="0" w:line="263"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w:t>
      </w:r>
    </w:p>
    <w:p>
      <w:pPr>
        <w:spacing w:after="0" w:line="183" w:lineRule="exact"/>
        <w:rPr>
          <w:rFonts w:ascii="Arial" w:cs="Arial" w:eastAsia="Arial" w:hAnsi="Arial"/>
          <w:sz w:val="18"/>
          <w:szCs w:val="18"/>
          <w:color w:val="auto"/>
        </w:rPr>
      </w:pPr>
    </w:p>
    <w:p>
      <w:pPr>
        <w:jc w:val="both"/>
        <w:ind w:left="520" w:hanging="515"/>
        <w:spacing w:after="0" w:line="255"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w:t>
      </w:r>
    </w:p>
    <w:p>
      <w:pPr>
        <w:spacing w:after="0" w:line="192" w:lineRule="exact"/>
        <w:rPr>
          <w:rFonts w:ascii="Arial" w:cs="Arial" w:eastAsia="Arial" w:hAnsi="Arial"/>
          <w:sz w:val="18"/>
          <w:szCs w:val="18"/>
          <w:color w:val="auto"/>
        </w:rPr>
      </w:pPr>
    </w:p>
    <w:p>
      <w:pPr>
        <w:jc w:val="both"/>
        <w:ind w:left="540" w:hanging="522"/>
        <w:spacing w:after="0" w:line="254"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CMS information related to payments and other transfers of value to physicians (defined to include doctors, dentists, optometrists, podiatrists and chiropractors), teaching hospitals, and, beginning in 2022,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w:t>
      </w:r>
    </w:p>
    <w:p>
      <w:pPr>
        <w:spacing w:after="0" w:line="191" w:lineRule="exact"/>
        <w:rPr>
          <w:rFonts w:ascii="Arial" w:cs="Arial" w:eastAsia="Arial" w:hAnsi="Arial"/>
          <w:sz w:val="18"/>
          <w:szCs w:val="18"/>
          <w:color w:val="auto"/>
        </w:rPr>
      </w:pPr>
    </w:p>
    <w:p>
      <w:pPr>
        <w:jc w:val="both"/>
        <w:ind w:left="540" w:hanging="508"/>
        <w:spacing w:after="0" w:line="291" w:lineRule="auto"/>
        <w:tabs>
          <w:tab w:leader="none" w:pos="5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state anti- kickback and false claims laws that may apply to items or services reimbursed by any third-party payer,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w:t>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92075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557" w:right="339" w:bottom="1440" w:gutter="0" w:footer="0" w:header="0"/>
        </w:sectPr>
      </w:pPr>
    </w:p>
    <w:bookmarkStart w:id="74" w:name="page75"/>
    <w:bookmarkEnd w:id="74"/>
    <w:p>
      <w:pPr>
        <w:spacing w:after="0" w:line="272"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us.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The Affordable Care Act, which was passed in 2010, substantially changed the way health care is financed by both governmental and private insurers and significantly impacts the U.S. healthcare industry. Elements of the Affordable Care Act, including comparative effectiveness research and payment system reforms, including shared savings pilots, may significantly affect the payment for, and the availability of, healthcare services and result in fundamental changes to federal healthcare reimbursement programs, any of which may materially affect numerous aspects of our business.</w:t>
      </w:r>
    </w:p>
    <w:p>
      <w:pPr>
        <w:spacing w:after="0" w:line="17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Certain provisions of the Affordable Care Act have been subject to judicial challenges as well as efforts to repeal or replace them or to alter their interpretation and implementation. For instance, the Tax Cuts and Jobs Acts was enacted, which, among other things,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 legislative changes, regulatory changes, and judicial challenges related to the Affordable Care Act remain possible. It is unclear how the Affordable Care Act, as well as efforts to repeal or replace, or invalidate, the Affordable Care Act, or portions thereof, will affect our business, financial condition and results of operations. It is possible that the Affordable Care Act, as currently enacted or as it may be amended or replaced in the future, and other healthcare reform measures that may be adopted in the future, could have a material adverse effect on our business and our industry generally. Specifically, the expansion in the government’s role in the U.S. healthcare industry may result in decreased profits to us, lower reimbursement by payers for our products, and/or reduced medical procedure volumes, all of which may have a material adverse impact on our business, financial condition, results of operations, or cash flows.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On August 2, 2011, the Budget Control Act of 2011 among other things includes aggregate reductions of Medicare payments to providers of, on average, 2% per fiscal year, which went into effect on April 1, 2013, and, due to subsequent legislative amendments to the statute, will remain in effect through 2029 unless additional Congressional action is taken. On January 2, 2013, the American Taxpayer Relief Act of 2012 was signed into law which, among other things, further reduced Medicare payments to certain providers, including hospitals.</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the continued listing requirements of the Nasdaq Stock Market, or Nasdaq, could result in a delisting of our common stock.</w:t>
      </w:r>
    </w:p>
    <w:p>
      <w:pPr>
        <w:spacing w:after="0" w:line="14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fail to satisfy Nasdaq’s continued listing requirements, Nasdaq may take steps to delist our common stock. Such a delisting would likely have a negative effect on the price of our common stock and would impair stockholders’ ability to sell or purchase their common stock when they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closing bid price of our stock is less than $1.00 for 30 consecutive trading days, we would receive a deficiency letter from Nasdaq regarding our failure to comply with the minimum bid price requirement for continued listing. Such letter would trigger an automatic 180 calendar day period within which we could regain compliance. Compliance would be regained at any time during this period if the closing bid price of our stock is $1.00 per share or more for a minimum of 10 consecutive trading days.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may be eligible for an additional 180-day compliance period if we apply to transfer from the Nasdaq Global Select Stock Market to the Nasdaq Capital Market which would require us to (i) have at least $1 million in market value of publicly held shares, (ii) satisfy all requirements for initial listing on the Nasdaq Capital Market (except for the bid price requirement), and (iii) provide written notice to Nasdaq that we intend to regain compliance with the bid price requirement during such second 180-day compliance period, including by effecting a reverse stock split if necessary. However, there can be no guarantee that we will be eligible for the second 180-day compliance period or that if eligible, we will be able to regain compliance during such period.</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do not regain compliance during any applicable compliance periods, our stock could be delisted from Nasdaq. The failure to maintain our listing on Nasdaq could have an adverse effect on the liquidity and market price of our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subject to securities class action lawsuits against us, which could result in adverse outcomes.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described in Item 1. Legal Proceedings, we and certain of our present and past directors and officers have been named in putative securities class action lawsuits alleging violations of the Securities Act of 1933, or Securities Act, and the Exchange Act.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expenses or losses associated with these lawsuits, this coverage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spacing w:after="0" w:line="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most of our financial resources and may use them in ways that may not enhance our operating results or the price of our common stock.</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over the use of most of our financial resources, including proceeds from our IPO, our former stock purchase agreement with Lincoln Park Capital Fund, LLC, and our April and May 2020 private placements, and we could spend such proceeds in ways our stockholders may not agree with or that do not yield a favorable return, if at all. If we do not invest or apply our financial resources, including the proceeds from our IPO and such purchase agreement in ways that improve our operating results, we may fail to achieve expected financial results, which could cause our stock price to decline.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ind w:right="50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continue to be sustained, and our stockholders may not be able to resell their shares at a desired market price and could lose all or part of their investment.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Although our common stock is listed on the Nasdaq Global Select Market, or Nasdaq, we cannot assure you that an active, liquid trading market for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will continue to be sustained. A public trading market having the desired characteristics of depth, liquidity and orderliness depends upon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presence in the marketplace and independent decisions of willing buyers and sellers of our common stock, over which we have no control. The lack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active market may impair our stockholders’ ability to sell their shares at the desired time or at a price that our stockholders consider reasonable. An inactive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may also impair our ability to raise capital by selling shares and may impair our ability to acquire other businesses or technologies or in-license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using our shares as consideration. We cannot offer any assurance that an active trading market for our common stock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sustained or how liquid that market may become. As a result, relatively small trades may have a disproportionate impact on the price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contribute to the price volatility of our common stock and could limit stockholders’ ability to sell their shares. In addition, the stock market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the market for smaller biotechnology companies in particular, have experienced extreme price and volume fluctuations that may be unrelated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disproportionate to the operating performance of these companies. Broad market and industry factors may negatively affect the market price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regardless of our actual operating performance. The above factors could adversely affect the value of our common stock and cause you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lose all or part of your investment.</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(December 31, 2023),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7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could be adversely affected.</w:t>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public company, we are required to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2019, management provided a report on internal control over financial reporting. The Sarbanes-Oxley Act also requires that our management report on internal control over financial reporting be attested to by our independent registered public accounting firm, to the extent we (i) are no longer an “emerging growth company,” as defined by the JOBS Act, and (ii) pursuant to new SEC rules,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are an emerging growth company or have annual revenues under $100 million. If we have to design and implement the internal control over financial reporting required to comply with this obligation, such process will be time consuming, costly and complicated.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of December 31, 2020, our executive officers, directors, holders of 5% or more of our capital stock and their respective affiliates, including Core Ventures II, LLC and Core Ventures IV, LLC, entities controlled by two of our directors, Joseph P. Errico and Thomas J. Errico, M.D., beneficially owned, including shares issuable upon the exercise or delivery of options, warrants, restricted stock units and deferred stock units that are currently vested or will vest within 60 days from the date hereof, approximately 6.4 million shares of our voting stock which represents approximately 14.% of our outstanding voting stock (treating all such vested options, warrants, restricted stock units and deferred stock units held by such persons as outstanding).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92" w:lineRule="exact"/>
        <w:rPr>
          <w:sz w:val="20"/>
          <w:szCs w:val="20"/>
          <w:color w:val="auto"/>
        </w:rPr>
      </w:pPr>
    </w:p>
    <w:p>
      <w:pPr>
        <w:ind w:left="1220" w:hanging="60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220" w:right="20" w:hanging="60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left="1220" w:hanging="605"/>
        <w:spacing w:after="0" w:line="342" w:lineRule="auto"/>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3"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 provide that we will indemnify our directors and officers to the fullest extent permitted by Delaware law.</w:t>
      </w:r>
    </w:p>
    <w:p>
      <w:pPr>
        <w:spacing w:after="0" w:line="237"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or the DGCL, our amended and restated bylaws and our indemnification agreements that we have entered into with our directors and officers provide that:</w:t>
      </w:r>
    </w:p>
    <w:p>
      <w:pPr>
        <w:spacing w:after="0" w:line="224" w:lineRule="exact"/>
        <w:rPr>
          <w:sz w:val="20"/>
          <w:szCs w:val="20"/>
          <w:color w:val="auto"/>
        </w:rPr>
      </w:pPr>
    </w:p>
    <w:p>
      <w:pPr>
        <w:jc w:val="both"/>
        <w:ind w:left="1220" w:hanging="605"/>
        <w:spacing w:after="0" w:line="279" w:lineRule="auto"/>
        <w:tabs>
          <w:tab w:leader="none" w:pos="1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25" w:lineRule="exact"/>
        <w:rPr>
          <w:rFonts w:ascii="Arial" w:cs="Arial" w:eastAsia="Arial" w:hAnsi="Arial"/>
          <w:sz w:val="17"/>
          <w:szCs w:val="17"/>
          <w:color w:val="auto"/>
        </w:rPr>
      </w:pPr>
    </w:p>
    <w:p>
      <w:pPr>
        <w:ind w:left="1220" w:hanging="605"/>
        <w:spacing w:after="0"/>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302" w:lineRule="exact"/>
        <w:rPr>
          <w:rFonts w:ascii="Arial" w:cs="Arial" w:eastAsia="Arial" w:hAnsi="Arial"/>
          <w:sz w:val="16"/>
          <w:szCs w:val="16"/>
          <w:color w:val="auto"/>
        </w:rPr>
      </w:pPr>
    </w:p>
    <w:p>
      <w:pPr>
        <w:jc w:val="both"/>
        <w:ind w:left="1220" w:hanging="605"/>
        <w:spacing w:after="0" w:line="342" w:lineRule="auto"/>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7" w:lineRule="exact"/>
        <w:rPr>
          <w:rFonts w:ascii="Arial" w:cs="Arial" w:eastAsia="Arial" w:hAnsi="Arial"/>
          <w:sz w:val="16"/>
          <w:szCs w:val="16"/>
          <w:color w:val="auto"/>
        </w:rPr>
      </w:pPr>
    </w:p>
    <w:p>
      <w:pPr>
        <w:jc w:val="both"/>
        <w:ind w:left="1220" w:hanging="605"/>
        <w:spacing w:after="0" w:line="263"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37" w:lineRule="exact"/>
        <w:rPr>
          <w:rFonts w:ascii="Arial" w:cs="Arial" w:eastAsia="Arial" w:hAnsi="Arial"/>
          <w:sz w:val="18"/>
          <w:szCs w:val="18"/>
          <w:color w:val="auto"/>
        </w:rPr>
      </w:pPr>
    </w:p>
    <w:p>
      <w:pPr>
        <w:ind w:left="1220" w:right="20" w:hanging="605"/>
        <w:spacing w:after="0" w:line="308" w:lineRule="auto"/>
        <w:tabs>
          <w:tab w:leader="none" w:pos="1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00"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9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w:t>
      </w:r>
    </w:p>
    <w:p>
      <w:pPr>
        <w:spacing w:after="0" w:line="225" w:lineRule="exact"/>
        <w:rPr>
          <w:sz w:val="20"/>
          <w:szCs w:val="20"/>
          <w:color w:val="auto"/>
        </w:rPr>
      </w:pPr>
    </w:p>
    <w:p>
      <w:pPr>
        <w:ind w:left="1220" w:hanging="605"/>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certificate of incorporation, or our bylaws; and</w:t>
      </w:r>
    </w:p>
    <w:p>
      <w:pPr>
        <w:spacing w:after="0" w:line="183" w:lineRule="exact"/>
        <w:rPr>
          <w:rFonts w:ascii="Arial" w:cs="Arial" w:eastAsia="Arial" w:hAnsi="Arial"/>
          <w:sz w:val="18"/>
          <w:szCs w:val="18"/>
          <w:color w:val="auto"/>
        </w:rPr>
      </w:pPr>
    </w:p>
    <w:p>
      <w:pPr>
        <w:ind w:left="1220" w:right="140" w:hanging="605"/>
        <w:spacing w:after="0" w:line="259"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incurred, currently incur and will incur significantly increased costs and devote substantial management time as a result of operating as a public company.</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public company, we have incurred and will incur significant legal, accounting and other expenses that we did not incur as a private company. For example, we are subject to the reporting requirements of the Securities Exchange Act of 1934, as amended, or Exchange Act, and will be required to comply with the applicable requirements of the Sarbanes-Oxley Act of 2002, or the Sarbanes-Oxley Act, and the Dodd-Frank Wall Street Reform and Consumer Protection Act, as well as rules and regulations subsequently implemented by the SEC and Nasdaq, including the establishment and maintenance of effective disclosure and financial controls and certain corporate governance practices. We expect that compliance with these requirements will increase our legal and financial compliance costs and will make some activities more time consuming and costly.</w:t>
      </w:r>
    </w:p>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expect that our management and other personnel will need to divert attention from operational and other business matters to devote substantial time to our public company requirements. In particular, we incur significant expenses and devote substantial management effort toward ensuring compliance with the requirements of Section 404 of the Sarbanes-Oxley Act, which will increase when we are no longer an emerging growth company, as defined by the Jumpstart Our Business Startups Act, or the JOBS Act. We will need to hire additional accounting and financial staff with appropriate public company experience and technical accounting knowledge and may need to establish an internal audit function. We cannot predict or estimate the amount of additional costs we may incur as a result of the foregoing or the timing of such costs. Additional compensation costs and any future equity awards will increase our compensation expense, which would increase our general and administrative expense and could adversely affect our profitability. We also expect that operating as a public company will make it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trading price of our common stock could be highly volatile and could be subject to wide fluctuations in response to various factors, including factors which are beyond our control. These factors include those discussed in the other “Risk Factors” section of this Report on Form 10-K and others such as:</w:t>
      </w:r>
    </w:p>
    <w:p>
      <w:pPr>
        <w:spacing w:after="0" w:line="178" w:lineRule="exact"/>
        <w:rPr>
          <w:sz w:val="20"/>
          <w:szCs w:val="20"/>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related to regulatory clearance to market gammaCore for the treatment of various conditions in the United States;</w:t>
      </w:r>
    </w:p>
    <w:p>
      <w:pPr>
        <w:spacing w:after="0" w:line="23" w:lineRule="exact"/>
        <w:rPr>
          <w:rFonts w:ascii="Arial" w:cs="Arial" w:eastAsia="Arial" w:hAnsi="Arial"/>
          <w:sz w:val="18"/>
          <w:szCs w:val="18"/>
          <w:color w:val="auto"/>
        </w:rPr>
      </w:pPr>
    </w:p>
    <w:p>
      <w:pPr>
        <w:ind w:left="800" w:right="460" w:hanging="401"/>
        <w:spacing w:after="0" w:line="250"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related to the EUA for facilitating the study and clinical use of gammaCore Sapphire CV for the acute treatment of asthma exacerbations in known or suspected COVID 19 patients;</w:t>
      </w: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new products by us or our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results and financial position;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adverse changes in our relationship with any manufacturers or suppliers;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our efforts to acquire or develop additional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concerning our competitors or the medical device industry in general;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developments in our commercial strategy and tactics;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stockholders;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regular research or reports about our business or issue an adverse or misleading opinion regarding our stock, our stock price and trading volume could decline.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or our business. If any of the analysts who cover us were to cease publishing research or reports about our business or were to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Certain of our former unitholders, including entities affiliated with certain of our directors and former directors, purchased common stock in our IPO at the IPO price per share. Shares which are held by our directors, executive officers and other affiliates may be subject to restrictions under Rule 144 of the Securities Act, among other restrictions that make such shares not freely tradable. If these additional shares of common stock are sold pursuant to the applicable exemptions from such restrictions, or if it is perceived that they will be sold, in the public market, the trading price of our common stock could decline.</w:t>
      </w:r>
    </w:p>
    <w:p>
      <w:pPr>
        <w:spacing w:after="0" w:line="192"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Other than the stockholders who purchased an aggregate of 4,128,372 shares of common stock in our three private placement transactions in the second quarter of 2020, there are no holders of common stock entitled to rights with respect to the registration of their shares under the Securities Act. Sales of registered securities by those stockholders could have a material adverse effect on the trading price of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U.S. federal income tax reform could adversely affect us.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22, 2017, former President Trump signed into law the “Tax Cuts and Jobs Act”, or TCJA, that significantly reforms the Internal Revenue Code of 1986, or as amended,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There can be no assurance that the TCJA will not negatively impact our operating results, financial condition, or our future business operations. This Report on Form 10-K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14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stock price could be negatively affected as a result of actions of activist stockholders, and such activism could impact the trading value of our securities.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negative or other fluctuations in our stock price based upon temporary or speculative market perceptions or other factors that do not necessarily reflect the underlying fundamentals and prospects of our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IB.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Our principal office is approximately 14,000 square feet of office, warehouse and assembly space in Rockaway, New Jersey pursuant to a lease that expires in 2024 (subject to our right to extend for an additional five years). Our former principal office consisted of approximately 25,000 square feet of leased office space in Basking Ridge, New Jersey, pursuant to a lease agreement that expires in 2022. Since the spring of 2020, as a result of COVID-19, our employees previously based in Basking Ridge have conducted business remotely as a result of governmental orders and our internal policies designed to protect the health and safety of our employees. In the fourth quarter of 2020, we formally vacated the Basking Ridge, New Jersey facility. Management believes our facilities in Rockaway are currently suitable for their intended use. We may in the future add new facilities or expand or relinquish existing facilities as our needs evolve, and we believe that should the need arise, suitable additional or substitute space will be available as needed to accommodate any expansion of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July 8, 2019 and August 1, 2019, purported stockholders of our company served putative class action lawsuits in the Superior Court of New Jersey for Somerset County, captioned Paul Kuehl vs. electroCore, Inc., et al., Docket No. SOM-L 000876-19 and Shirley Stone vs. electroCore, Inc., et al., Docket No. SOM-L 001007-19, respectively. In addition to our company, the defendants included present and past directors and officers, Evercore Group L.L.C., Cantor Fitzgerald &amp; Co., JMP Securities LLC and BTIG, LLC, the underwriters for our IPO; and two of our stockholders. On August 15, 2019, the Superior Court entered an order consolidating the Kuehl and Stone actions, which proceeded under Docket No. SOM-L 000876-19. Each plaintiff was appointed a co-lead plaintiff. The plaintiffs filed a consolidated amended complaint, which sought certification of a class of stockholders who purchased our common stock in our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and the other defendants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fully briefed as of July 17, 2020. The date for argument of the appeal has not yet been set.</w:t>
      </w:r>
    </w:p>
    <w:p>
      <w:pPr>
        <w:spacing w:after="0" w:line="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26, 2019 and October 31, 2019, purported stockholders of our company served putative class action lawsuits in the United States District Court for the District of New Jersey captioned Allyn Turnofsky vs. electroCore, Inc., et al., Case 3:19-cv-18400, and Priewe vs. electroCore, Inc., et al., Case 1:19-cv-19653, respectively. In addition to our company, the defendants include present and past directors and officers, and Evercore Group L.L.C., Cantor Fitzgerald &amp; Co., JMP Securities LLC and BTIG, LLC, the underwriters for our IPO. The plaintiffs each seek to represent a class of stockholders who (i) purchased our common stock in our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Turnofsky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Turnofsky. In addition to the prior claims, the amended complaint adds an additional director defendant and two investors as defendants,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on the motion to dismiss has not yet been scheduled. The parties have agreed to a non-binding mediation with JAMS, which will occur on March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Priewe case was voluntarily dismissed on February 19, 2020.</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4, 2021, purported stockholder Richard Martz brought a purported stockholder derivative action in the United States District Court for the District of New Jersey. The action is captioned Richard Maltz, derivatively on behalf of electroCore, Inc., vs. Francis R. Amato,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Turnofsky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7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March 8, 2021, purported stockholder Erin Yuson brought a purported stockholder derivative action in the United States District Court for the District of New Jersey. The action is captioned Erwin Yuson, derivatively on behalf of electroCore, Inc., vs. Francis R. Amato,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5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intend to continue to vigorously defend ourselves in these matters. However, in light of, among other things, the preliminary stage of these litigation matters, we are unable to determine the reasonable probability of loss or a range of potential loss. Accordingly, we have not established an accrual for potential losses, if any, that could result from any unfavorable outcome, and there can be no assurance that these litigation matters will not result in substantial defense costs and/or judgments or settlements that could adversely affect our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220"/>
          </w:cols>
          <w:pgMar w:left="320" w:top="553" w:right="359" w:bottom="1028"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60"/>
        <w:spacing w:after="0" w:line="40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color w:val="auto"/>
        </w:rPr>
        <w:t>Our common stock is traded on the Nasdaq Market under the symbol “ECOR”.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8, 2021, there were 402 stockholders of record, which excludes stockholders whose shares are held in nominee or street name by brokers.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any cash dividends in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June 2018, we completed our IPO and issued 5,980,000 shares of common stock, including the underwriter’s exercise of their right to purchase additional shares, at an initial offering price to the public of $15.00. We received net proceeds from the IPO of approximately $77.5 million, after deducting underwriting discounts and commissions and offering costs of approximately $12.2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2020, we used the net proceeds as follows:</w:t>
      </w:r>
    </w:p>
    <w:p>
      <w:pPr>
        <w:spacing w:after="0" w:line="23" w:lineRule="exact"/>
        <w:rPr>
          <w:sz w:val="20"/>
          <w:szCs w:val="20"/>
          <w:color w:val="auto"/>
        </w:rPr>
      </w:pPr>
    </w:p>
    <w:p>
      <w:pPr>
        <w:ind w:left="1080" w:right="360" w:hanging="532"/>
        <w:spacing w:after="0" w:line="290"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approximately $8.6 million to fund activities related to commercialization of our gammaCore products which included hiring additional territory business managers as well as patient and professional promotional activities across multiple media channels,</w:t>
      </w:r>
    </w:p>
    <w:p>
      <w:pPr>
        <w:spacing w:after="0" w:line="161"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$5.4 million to fund expansion of our clinical program into additional indications in headache,</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$4.4 million for the build out of our specialty distribution channel for the launch of gammaCore Sapphire,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$59.1 million for working capital, including inventory, and other corporate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are a commercial-stage medical device company with a proprietary non-invasive vagus nerve stimulation, or nVNS, therapy. nVNS is a platform bioelectronic medical therapy that modulates neurotransmitters and immune function through its effects on both the peripheral and central nervous systems. We are initially focused on neurology, and our therapy, gammaCore, is cleared by the FDA for use by adults for the following four neurology indications: the acute treatment of pain associated with each of migraine and eCH, the preventive treatment of migraine headache and adjunctive use for the preventive treatment of cluster headaches, or CH. Recently, the FDA cleared the use of gammaCore for acute and preventive treatment of migraine in adolescents. We are also considering the potential for several additional indications for our nVNS technology, which is being studied through a number of investigator-initiated studies. These indications include COVID-19 respiratory symptoms, stroke, mild traumatic brain injury, post-traumatic stress disorder, opioid use disorders and ileus.</w:t>
      </w:r>
    </w:p>
    <w:p>
      <w:pPr>
        <w:spacing w:after="0" w:line="1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Following our initial FDA clearance in early 2017, our commercial strategy was to establish gammaCore as a first-line treatment option for the acute treatment of episodic CH in adult patients, who have few alternative treatment options available to them. This strategy was supported by a product registry conducted from July 2017 through June 2018 to build advocacy among key opinion leaders in leading headache centers in the United States, and to generate patient demand in the form of prescriptions submitted to payers. With an earlier-than-anticipated FDA clearance for our acute treatment of migraine indication, we leveraged this advocacy during the registry period as we expanded into migraine and prepared for a full commercial launch of gammaCore and gammaCore Sapphire for the acute treatment of pain associated with eCH and migraine in adult patients, which was accomplished in the third quarter of 2018. With the clearance of adjunctive use for the prevention of CH in December 2018, we continued to build upon our existing base of advocacy and patient support. In March 2020, the FDA cleared gammaCore for the preventive treatment of migraine headache in adult patients. In February 2021, gammaCore was cleared by the FDA for the acute and preventive treatment of migraine in adolescents between 12 and 17 years of age.</w:t>
      </w:r>
    </w:p>
    <w:p>
      <w:pPr>
        <w:spacing w:after="0" w:line="170" w:lineRule="exact"/>
        <w:rPr>
          <w:sz w:val="20"/>
          <w:szCs w:val="20"/>
          <w:color w:val="auto"/>
        </w:rPr>
      </w:pPr>
    </w:p>
    <w:p>
      <w:pPr>
        <w:jc w:val="both"/>
        <w:ind w:right="400"/>
        <w:spacing w:after="0" w:line="279" w:lineRule="auto"/>
        <w:rPr>
          <w:sz w:val="20"/>
          <w:szCs w:val="20"/>
          <w:color w:val="auto"/>
        </w:rPr>
      </w:pPr>
      <w:r>
        <w:rPr>
          <w:rFonts w:ascii="Arial" w:cs="Arial" w:eastAsia="Arial" w:hAnsi="Arial"/>
          <w:sz w:val="18"/>
          <w:szCs w:val="18"/>
          <w:color w:val="auto"/>
        </w:rPr>
        <w:t>Recently, we have focused our sales efforts in two channels, the U.S. Department of Veterans Affairs and U.S. Department of Defense, and the United Kingdom. We continue to evaluate strategies to expand commercial adoption of gammaCore, including the potential use of telemedicine and cash pay, direct to consumer approaches.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6" w:name="page87"/>
    <w:bookmarkEnd w:id="86"/>
    <w:p>
      <w:pPr>
        <w:ind w:right="140"/>
        <w:spacing w:after="0" w:line="275" w:lineRule="auto"/>
        <w:rPr>
          <w:sz w:val="20"/>
          <w:szCs w:val="20"/>
          <w:color w:val="auto"/>
        </w:rPr>
      </w:pPr>
      <w:r>
        <w:rPr>
          <w:rFonts w:ascii="Arial" w:cs="Arial" w:eastAsia="Arial" w:hAnsi="Arial"/>
          <w:sz w:val="18"/>
          <w:szCs w:val="18"/>
          <w:color w:val="auto"/>
        </w:rPr>
        <w:t>We incurred net losses of $23.5 million and $45.1 million for the years ended December 31, 2020 and 2019, respectively. As of December 31, 2020, our accumulated deficit was $107.0 million. We expect to continue to incur substantial net losses and negative cash flows from operations for at least the next several years as we commercialize gammaCore. Our prior losses, combined with expected future losses, have had and will continue to have, for the foreseeable future, an adverse effect on our stockholders’ deficit and working capital.</w:t>
      </w:r>
    </w:p>
    <w:p>
      <w:pPr>
        <w:spacing w:after="0" w:line="185"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We face a variety of challenges and risks that we will need to address and manage as we pursue our strategy, including our ability to develop and retain an effective sales force, achieve market acceptance of gammaCore among physicians, patients, and third-party payers, and expand the use of gammaCore to additional therapeutic indications.</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Even if we are able to increase sales of gammaCore, we may not become profitable. If we fail to become profitable or are unable to sustain profitability, then we may be unable to continue our operations at planned levels and be forced to reduce or terminate our operations.</w:t>
      </w:r>
    </w:p>
    <w:p>
      <w:pPr>
        <w:spacing w:after="0" w:line="17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Our expected cash requirements for the next 12 months and beyond are based on the commercialization success of our products and our ability to control operating expenses. There are significant risks and uncertainties as to our ability to achieve these operating results, including as a result of the potential adverse impact on our business from the ongoing COVID-19 pandemic,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 See “-Liquidity and Capital Resources.”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Activities</w:t>
      </w:r>
    </w:p>
    <w:p>
      <w:pPr>
        <w:spacing w:after="0" w:line="131"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During the year ended December 31, 2020, we received aggregate proceeds of approximately $15.5 million through the sales of our common stock to Lincoln Park Capital Fund, LLC, or Lincoln Park.</w:t>
      </w:r>
    </w:p>
    <w:p>
      <w:pPr>
        <w:spacing w:after="0" w:line="170" w:lineRule="exact"/>
        <w:rPr>
          <w:sz w:val="20"/>
          <w:szCs w:val="20"/>
          <w:color w:val="auto"/>
        </w:rPr>
      </w:pPr>
    </w:p>
    <w:p>
      <w:pPr>
        <w:ind w:right="620"/>
        <w:spacing w:after="0" w:line="324" w:lineRule="auto"/>
        <w:rPr>
          <w:sz w:val="20"/>
          <w:szCs w:val="20"/>
          <w:color w:val="auto"/>
        </w:rPr>
      </w:pPr>
      <w:r>
        <w:rPr>
          <w:rFonts w:ascii="Arial" w:cs="Arial" w:eastAsia="Arial" w:hAnsi="Arial"/>
          <w:sz w:val="17"/>
          <w:szCs w:val="17"/>
          <w:color w:val="auto"/>
        </w:rPr>
        <w:t>During the year ended December 31, 2020, we received aggregate proceeds of $2.2 million through sale of our common stock in private placement transactions to certain affiliates and existing shareholders of the Company, including certain members of our board of directors.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In May 2020, we received approximately $1.4 million pursuant to a loan under the Paycheck Protection Program.</w:t>
      </w:r>
    </w:p>
    <w:p>
      <w:pPr>
        <w:spacing w:after="0" w:line="23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On May 6, 2020, we received a net cash amount of approximately $1.2 million from the sale of our New Jersey state net operating losses and research and development tax credits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May 14, 2020, we entered into a Securities Purchase Agreement with our legal counsel pursuant to which we issued 1,564,345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issuance of the shares, certain of our outstanding financial obligations to our legal counsel were deemed paid and satisfied in full.</w:t>
      </w:r>
    </w:p>
    <w:p>
      <w:pPr>
        <w:spacing w:after="0" w:line="23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On July 1, 2020, we entered into a Commercial Insurance Premium Finance and Security Agreement, or the Financing Agreement. The Financing Agreement provides for a single borrowing by us of $1.2 million, with a seven-month term, and an annual interest rate of 2.18%. The proceeds from this transaction were used to partially fund the premiums due under some of the Company’s insurance policies. The amounts payable are secured by the Company’s rights under such policies. As of December 31, 2020, the remaining balance is $164,832.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In April 2020, we terminated early our PREMIUM II clinical trial that was being conducted to further support our label expansion into migraine prevention. In December 2020, we announced positive top-line results from this study.</w:t>
      </w:r>
    </w:p>
    <w:p>
      <w:pPr>
        <w:spacing w:after="0" w:line="8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February 2021, gammaCore received clearance by the FDA for the acute and preventive treatment of migraine in adolescents between 12 and 17 years of age.</w:t>
      </w:r>
    </w:p>
    <w:p>
      <w:pPr>
        <w:spacing w:after="0" w:line="62"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In the second quarter of 2020, two IITs of gammaCore Sapphire CV were launched to study hospitalized patients with a confirmed diagnosis of, or presumed to be, COVID-19, one in Valencia, Spain (referred to as SAVIOR-1) and the other in Pittsburgh, Pennsylvania (referred to as SAVIOR-2). These trials are continuing to enroll patients. Enrollment is SAVIOR-1 is complete and enrollment is ongoing in SAVIOR-2.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the US</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In the United Kingdom, NHS England has provided a reimbursement pathway since April 2019 by awarding gammaCore a place on the ITPP, for use in patients with refractory cluster headache. In October 2020, we announced that the ITPP was extended through March 2021. Effective April 1, 2021 gammaCore Sapphire will be included in a new long-term reimbursement policy titled the MedTech Funding Mandate Policy 2021/22, or MTFM, which supports commissioners and providers in the use of selected NICE-approved, clinically effective and cost-saving medical devices, diagnostics and digital technologies that will improve patient outcomes. In December 2019, NICE published a Medical Technology Guidance document recommending the use of gammaCore for CH within the NHS. In January 2021, NHS Scotland adopted the NICE recommendation and recommended gammaCore for use in treatment of CH in NHS Scotland.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recently entered into distribution agreements in Eastern Europe, Canada, and Australia.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business partners. In particular, the pandemic has resulted in a significant reduction in non-essential contact between patients and healthcare providers, shifting of focus by healthcare providers to the acute treatment of COVID-19 related illness regardless of specialty. We believe these restrictions have limited our sales force’s ability to generate additional interest in the Company’s products. While we began to experience disruptions from the COVID-19 pandemic during the three months ended March 31, 2020, we are unable to predict the impact that the COVID-19 pandemic may have on our financial condition, results of operations and cash flows due to numerous uncertainties. These uncertainties include the scope, severity and duration of the pandemic, the actions taken to contain the pandemic or mitigate its impact, the development, rollout and availability of effective treatments and vaccines,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The global impact of the outbreak has been rapidly evolving and many countries have reacted by instituting quarantines, mandating business and school closures and restricting travel. Certain states and cities, including those where our principal place of business is located and sales force seeks to operate, have also reacted by instituting quarantines, restrictions on travel, “shelter in place” rules, and restrictions on types of business that may continue to operate. We cannot predict if additional states and cities will implement similar restrictions or when restrictions currently in place will expire. As a result, the COVID-19 pandemic is negatively impacting almost every industry directly or indirectly, including industries in which we operate. Further, the impacts of a potential worsening of global economic conditions and the continued disruptions to, and volatility in, the credit and financial markets, consumer spending as well as other unanticipated consequences remain unknown.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8" w:name="page89"/>
    <w:bookmarkEnd w:id="88"/>
    <w:p>
      <w:pPr>
        <w:ind w:right="60"/>
        <w:spacing w:after="0" w:line="288" w:lineRule="auto"/>
        <w:rPr>
          <w:sz w:val="20"/>
          <w:szCs w:val="20"/>
          <w:color w:val="auto"/>
        </w:rPr>
      </w:pPr>
      <w:r>
        <w:rPr>
          <w:rFonts w:ascii="Arial" w:cs="Arial" w:eastAsia="Arial" w:hAnsi="Arial"/>
          <w:sz w:val="17"/>
          <w:szCs w:val="17"/>
          <w:color w:val="auto"/>
        </w:rPr>
        <w:t>Because the COVID-19 pandemic affected, among other things, our access to prescribing physicians and their access to headache patients, on March 23, 2020 we suspended our earlier full-year revenue guidance until we could better understand the trajectory of our business, as well as announced a reduction in our activities, and adjusted our cash runway expectations in response to the potential adverse impact caused by the COVID-19 pandemic. Compared to our earlier expectations, we believe that our results for the year ended December 31, 2020 reflect a negative impact from, among other things, the global pandemic. Moreover, our expectations for at least the beginning of 2021 have also been adversely affected by both the uncertainty and potential negative impact of the global pandemic. Depending upon the duration and severity of the pandemic, the continuing effect on our results and outlook over the long term remains uncertain.</w:t>
      </w:r>
    </w:p>
    <w:p>
      <w:pPr>
        <w:spacing w:after="0" w:line="18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July 2020, the Company received an EUA for use of its gammaCore Sapphire CV nVNS therapy for the acute treatment of asthma exacerbations in known or suspected COVID-19 patients. This EUA is expected to remain in effect for the duration of the COVID-19 pandemic justifying emergency use of these devices unless terminated or revoked by the FDA (after which products may no longer be used). The length of the effective period of this EUA is uncertain and the Company may have to incur significant marketing and other expenditures to achieve sales of the gammaCore Sapphire CV. We did not recognize material revenue from the sales of gammaCore Sapphire CV during the year ended December 31, 2020. There can be no assurance as to what impact the EUA and potential sales of gammaCore Sapphire CV will have on us, our business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significant accounting policies and basis of presentation of our consolidated financial statements are described in Note 2 “Summary of Significant Accounting Policies” of the consolidated financial statements included with the annual report on Form 10-K.</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preparation of our financial statements is in accordance with U.S. Generally Accepted Accounting Principles, or GAAP, and we are required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6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believe the judgements estimates and assumptions associated with the following critical accounting policies have the greatest potential impact on the consolidated financial statements:</w:t>
      </w:r>
    </w:p>
    <w:p>
      <w:pPr>
        <w:spacing w:after="0" w:line="135" w:lineRule="exact"/>
        <w:rPr>
          <w:sz w:val="20"/>
          <w:szCs w:val="20"/>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principal source of revenue is product sales. Our contracts with customers generally contain a single performance obligation and we recognize revenue from product sales when we have satisfied our performance obligation by transferring control of the product to our customers. Control of the product generally transfers to the customer upon delivery. Revenue is recognized at the amount to which we expect to be entitled in exchange for the sale of our products. Variability in the transaction price for our products pursuant to our contract with customers primarily arises from discounts and rebates. We offer discounts and rebates to certain distributors and customers under our arrangements. In many cases, these amounts are fixed at the time of sale and the transaction price is reduced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Commercial Revenue Outside of Federal Supply Schedule Channel</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Managed care rebates represent our estimated obligations to pharmacy benefit managers. Rebate accruals are recognized in the same period the related revenue is recognized. Co-payment assistance represents financial assistance to qualified patients, to assist them with co-payments for gammaCore therapy. The calculation of the accrual is based on an estimate of claims and the cost per claim that we expect to incur associated with inventory that exists in the distribution channel at period end. Effective March 1, 2020, the amount of monthly co-payment assistance has been reduced to a maximum of $100 per prescription.</w:t>
      </w:r>
    </w:p>
    <w:p>
      <w:pPr>
        <w:sectPr>
          <w:pgSz w:w="11900" w:h="16838" w:orient="portrait"/>
          <w:cols w:equalWidth="0" w:num="1">
            <w:col w:w="11200"/>
          </w:cols>
          <w:pgMar w:left="320" w:top="665" w:right="379" w:bottom="1440" w:gutter="0" w:footer="0" w:header="0"/>
        </w:sectPr>
      </w:pPr>
    </w:p>
    <w:bookmarkStart w:id="90" w:name="page91"/>
    <w:bookmarkEnd w:id="90"/>
    <w:p>
      <w:pPr>
        <w:spacing w:after="0" w:line="272" w:lineRule="auto"/>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ind w:right="20"/>
        <w:spacing w:after="0" w:line="269" w:lineRule="auto"/>
        <w:rPr>
          <w:sz w:val="20"/>
          <w:szCs w:val="20"/>
          <w:color w:val="auto"/>
        </w:rPr>
      </w:pPr>
      <w:r>
        <w:rPr>
          <w:rFonts w:ascii="Arial" w:cs="Arial" w:eastAsia="Arial" w:hAnsi="Arial"/>
          <w:sz w:val="18"/>
          <w:szCs w:val="18"/>
          <w:color w:val="auto"/>
        </w:rPr>
        <w:t>For most of 2019 we had a voucher program to provide gammaCore and gammaCore Sapphire promotional units, or “free voucher units,” to our distributor at no charge. These free voucher units had a distinct product item number that enabled ease of tracking and allowed the product to be dispensed to the patient at no cost to the specialty pharmacy. In this way, the voucher program was more like a standard sample program where free voucher units, which provide 31-days of therapy, were issued to the patient, rather than being sold and subject to specialty pharmacy reimbursement and therefore recognized as contra-revenue. The cost to produce the free voucher units given to patients under this modified voucher program was recognized as promotional expense. Our net sales reflect only gammaCore and gammaCore Sapphire units sold either for new patients, or existing patients’ refills, and none of the gammaCore and gammaCore Sapphire units prescribed and dispensed through our voucher program. Our voucher program was terminated in December 2019.</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expense the cost, as incurred, of product damaged as a result of shipping. This expense, historically, has been immaterial. We expect to receive payment on all of our customer receivables within one year and therefore classify all receivables as current assets. In accordance with our policy, damaged or defective products are replaced at no charge under our standard warranty. A cash refund is allowed in our discretion under specific circumstances for undamaged and non-defective returned product.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the Veterans Administration and the Department of Defense</w:t>
      </w:r>
    </w:p>
    <w:p>
      <w:pPr>
        <w:spacing w:after="0" w:line="10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Revenue from sales of our products is recognized under terms of the Federal Supply Schedule, or FSS, and purchase orders from individual VA sites and a distributor who purchases our products on behalf of the DoD. Revenue from the VA includes sales of therapy for up to 93 days.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Sales to the VA and DoD are at a fixed price and are usually paid at the time of delivery.</w:t>
      </w:r>
    </w:p>
    <w:p>
      <w:pPr>
        <w:spacing w:after="0" w:line="19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 cash refund is allowed under specific circumstances for undamaged and non-defective products. Damaged or defective products are replaced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Revenue</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In the United Kingdom, an award from the Innovation Technology Payment program of the NHS and evidence-based recommendations published in December 2020 by NICE offer the potential for us to generate revenue from the treatment of CH. This is the primary commercial channel from which our United Kingdom revenue is derived. The first 93 days of therapy is free under this program. The cost to produce the free therapy in the 93-day period is recorded as promotional expense within selling, general and administrative expenses.</w:t>
      </w:r>
    </w:p>
    <w:p>
      <w:pPr>
        <w:spacing w:after="0" w:line="80"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auto"/>
        </w:rPr>
        <w:t>Effective April 1, 2021, gammaCore Sapphire will be included in the new MTFM long-term reimbursement policy which supports commissioners and providers in the use of selected NICE approved, clinically effective and cost-saving medical devices, diagnostics and digital technologies that will improve patient outcomes.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Sales in the United Kingdom are primarily in increments of 93-day therapy at a fixed price and are paid within 30 days.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We evaluate inventory with respect to our operating cycle and classify inventory as either current or long-term on our balance sheet. If our actual demand is less than our forecast demand, we may be required to take additional excess inventory charges, which would decrease gross margin and adversely impact net operating results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consideration of all available evidence, both positive and negative, using a more likely than not standard. This assessment considers, among other matters, the nature, frequency and severity of recent losses; a forecast of future profitability; the duration of statutory carryback and carryforward periods; our experience with tax attributes expiring unused; and tax planning alternatives.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We recognize compensation expense associated with the issuance of equity instruments to employees and non-employees for their services. Based on the type of equity instrument, the fair value is estimated on the date of grant using the Black-Scholes option valuation model and is expensed in the consolidated financial statements over the service period. The input assumptions used in determining fair value are expected life, expected volatility, risk-free rate and expected dividend yield.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98" w:lineRule="exact"/>
        <w:rPr>
          <w:sz w:val="20"/>
          <w:szCs w:val="20"/>
          <w:color w:val="auto"/>
        </w:rPr>
      </w:pPr>
    </w:p>
    <w:p>
      <w:pPr>
        <w:ind w:right="100"/>
        <w:spacing w:after="0" w:line="304" w:lineRule="auto"/>
        <w:rPr>
          <w:sz w:val="20"/>
          <w:szCs w:val="20"/>
          <w:color w:val="auto"/>
        </w:rPr>
      </w:pPr>
      <w:r>
        <w:rPr>
          <w:rFonts w:ascii="Arial" w:cs="Arial" w:eastAsia="Arial" w:hAnsi="Arial"/>
          <w:sz w:val="17"/>
          <w:szCs w:val="17"/>
          <w:color w:val="auto"/>
        </w:rPr>
        <w:t>We are subject to claims and lawsuits in the ordinary course of business, including claims by employees or former employees, with respect to our products and involving commercial disputes, or shareholder actions. We accrue for loss contingencies when it is deemed probable that a loss has been incurred and the loss is estimable. The amounts accrued are based on the full amount of the estimated loss considering insurance proceeds, if applicable, and do not include legal fees expected to be incurred in connection with the loss contingency. Our consolidated financial statements do not reflect any material amounts related to unfavorable outcomes of claims and lawsuits to which we are currently a party because we currently believe that such claims and lawsuits are not expected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claims and lawsuits to which we are currently a party.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In April 2012, the JOBS Act was enacted by the federal government.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as an emerging growth company, we are not required to provide an auditor’s attestation report on our internal control over financial reporting in future annual reports on Form 10-K.</w:t>
      </w:r>
    </w:p>
    <w:p>
      <w:pPr>
        <w:spacing w:after="0" w:line="156"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(December 31, 2023),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2020 and 2019 with the changes in those items in dollars.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Years ended December 31,</w:t>
            </w:r>
          </w:p>
        </w:tc>
        <w:tc>
          <w:tcPr>
            <w:tcW w:w="22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center"/>
              <w:ind w:left="433"/>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C"/>
          </w:tcPr>
          <w:p>
            <w:pPr>
              <w:jc w:val="right"/>
              <w:ind w:right="100"/>
              <w:spacing w:after="0"/>
              <w:rPr>
                <w:sz w:val="20"/>
                <w:szCs w:val="20"/>
                <w:color w:val="auto"/>
              </w:rPr>
            </w:pPr>
            <w:r>
              <w:rPr>
                <w:rFonts w:ascii="Arial" w:cs="Arial" w:eastAsia="Arial" w:hAnsi="Arial"/>
                <w:sz w:val="18"/>
                <w:szCs w:val="18"/>
                <w:color w:val="auto"/>
              </w:rPr>
              <w:t>3,495.8</w:t>
            </w:r>
          </w:p>
        </w:tc>
        <w:tc>
          <w:tcPr>
            <w:tcW w:w="440" w:type="dxa"/>
            <w:vAlign w:val="bottom"/>
            <w:gridSpan w:val="2"/>
            <w:shd w:val="clear" w:color="auto" w:fill="CCEE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2,390.3</w:t>
            </w:r>
          </w:p>
        </w:tc>
        <w:tc>
          <w:tcPr>
            <w:tcW w:w="220" w:type="dxa"/>
            <w:vAlign w:val="bottom"/>
            <w:shd w:val="clear" w:color="auto" w:fill="CCEE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C"/>
          </w:tcPr>
          <w:p>
            <w:pPr>
              <w:jc w:val="right"/>
              <w:ind w:right="8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1,737.5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1,157.0</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C"/>
            </w:tcBorders>
            <w:shd w:val="clear" w:color="auto" w:fill="CCEE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C"/>
          </w:tcPr>
          <w:p>
            <w:pPr>
              <w:spacing w:after="0"/>
              <w:rPr>
                <w:sz w:val="19"/>
                <w:szCs w:val="19"/>
                <w:color w:val="auto"/>
              </w:rPr>
            </w:pP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1,758.3</w:t>
            </w:r>
          </w:p>
        </w:tc>
        <w:tc>
          <w:tcPr>
            <w:tcW w:w="100" w:type="dxa"/>
            <w:vAlign w:val="bottom"/>
            <w:tcBorders>
              <w:top w:val="single" w:sz="8" w:color="CCEEFC"/>
            </w:tcBorders>
            <w:shd w:val="clear" w:color="auto" w:fill="CCEEFC"/>
          </w:tcPr>
          <w:p>
            <w:pPr>
              <w:spacing w:after="0"/>
              <w:rPr>
                <w:sz w:val="19"/>
                <w:szCs w:val="19"/>
                <w:color w:val="auto"/>
              </w:rPr>
            </w:pPr>
          </w:p>
        </w:tc>
        <w:tc>
          <w:tcPr>
            <w:tcW w:w="40" w:type="dxa"/>
            <w:vAlign w:val="bottom"/>
            <w:tcBorders>
              <w:top w:val="single" w:sz="8" w:color="CCEEFC"/>
            </w:tcBorders>
            <w:shd w:val="clear" w:color="auto" w:fill="CCEEFC"/>
          </w:tcPr>
          <w:p>
            <w:pPr>
              <w:spacing w:after="0"/>
              <w:rPr>
                <w:sz w:val="19"/>
                <w:szCs w:val="19"/>
                <w:color w:val="auto"/>
              </w:rPr>
            </w:pPr>
          </w:p>
        </w:tc>
        <w:tc>
          <w:tcPr>
            <w:tcW w:w="400" w:type="dxa"/>
            <w:vAlign w:val="bottom"/>
            <w:tcBorders>
              <w:top w:val="single" w:sz="8" w:color="auto"/>
            </w:tcBorders>
            <w:shd w:val="clear" w:color="auto" w:fill="CCEEFC"/>
          </w:tcPr>
          <w:p>
            <w:pPr>
              <w:spacing w:after="0"/>
              <w:rPr>
                <w:sz w:val="19"/>
                <w:szCs w:val="19"/>
                <w:color w:val="auto"/>
              </w:rPr>
            </w:pPr>
          </w:p>
        </w:tc>
        <w:tc>
          <w:tcPr>
            <w:tcW w:w="82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1,233.3</w:t>
            </w:r>
          </w:p>
        </w:tc>
        <w:tc>
          <w:tcPr>
            <w:tcW w:w="140" w:type="dxa"/>
            <w:vAlign w:val="bottom"/>
            <w:tcBorders>
              <w:top w:val="single" w:sz="8" w:color="CCEEFC"/>
            </w:tcBorders>
            <w:shd w:val="clear" w:color="auto" w:fill="CCEEFC"/>
          </w:tcPr>
          <w:p>
            <w:pPr>
              <w:spacing w:after="0"/>
              <w:rPr>
                <w:sz w:val="19"/>
                <w:szCs w:val="19"/>
                <w:color w:val="auto"/>
              </w:rPr>
            </w:pPr>
          </w:p>
        </w:tc>
        <w:tc>
          <w:tcPr>
            <w:tcW w:w="220" w:type="dxa"/>
            <w:vAlign w:val="bottom"/>
            <w:tcBorders>
              <w:top w:val="single" w:sz="8" w:color="auto"/>
            </w:tcBorders>
            <w:shd w:val="clear" w:color="auto" w:fill="CCEEFC"/>
          </w:tcPr>
          <w:p>
            <w:pPr>
              <w:spacing w:after="0"/>
              <w:rPr>
                <w:sz w:val="19"/>
                <w:szCs w:val="19"/>
                <w:color w:val="auto"/>
              </w:rPr>
            </w:pPr>
          </w:p>
        </w:tc>
        <w:tc>
          <w:tcPr>
            <w:tcW w:w="100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ind w:right="100"/>
              <w:spacing w:after="0"/>
              <w:rPr>
                <w:sz w:val="20"/>
                <w:szCs w:val="20"/>
                <w:color w:val="auto"/>
              </w:rPr>
            </w:pPr>
            <w:r>
              <w:rPr>
                <w:rFonts w:ascii="Arial" w:cs="Arial" w:eastAsia="Arial" w:hAnsi="Arial"/>
                <w:sz w:val="18"/>
                <w:szCs w:val="18"/>
                <w:color w:val="auto"/>
              </w:rPr>
              <w:t>4,201.3</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9,902.2</w:t>
            </w:r>
          </w:p>
        </w:tc>
        <w:tc>
          <w:tcPr>
            <w:tcW w:w="22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20"/>
              <w:spacing w:after="0"/>
              <w:rPr>
                <w:sz w:val="20"/>
                <w:szCs w:val="20"/>
                <w:color w:val="auto"/>
              </w:rPr>
            </w:pPr>
            <w:r>
              <w:rPr>
                <w:rFonts w:ascii="Arial" w:cs="Arial" w:eastAsia="Arial" w:hAnsi="Arial"/>
                <w:sz w:val="18"/>
                <w:szCs w:val="18"/>
                <w:color w:val="auto"/>
              </w:rPr>
              <w:t>(5,700.9)</w:t>
            </w: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21,840.9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35,422.3</w:t>
            </w: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(13,581.4)</w:t>
            </w: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ind w:right="100"/>
              <w:spacing w:after="0"/>
              <w:rPr>
                <w:sz w:val="20"/>
                <w:szCs w:val="20"/>
                <w:color w:val="auto"/>
              </w:rPr>
            </w:pPr>
            <w:r>
              <w:rPr>
                <w:rFonts w:ascii="Arial" w:cs="Arial" w:eastAsia="Arial" w:hAnsi="Arial"/>
                <w:sz w:val="18"/>
                <w:szCs w:val="18"/>
                <w:color w:val="auto"/>
              </w:rPr>
              <w:t>464.6</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1,997.3</w:t>
            </w:r>
          </w:p>
        </w:tc>
        <w:tc>
          <w:tcPr>
            <w:tcW w:w="22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20"/>
              <w:spacing w:after="0"/>
              <w:rPr>
                <w:sz w:val="20"/>
                <w:szCs w:val="20"/>
                <w:color w:val="auto"/>
              </w:rPr>
            </w:pPr>
            <w:r>
              <w:rPr>
                <w:rFonts w:ascii="Arial" w:cs="Arial" w:eastAsia="Arial" w:hAnsi="Arial"/>
                <w:sz w:val="18"/>
                <w:szCs w:val="18"/>
                <w:color w:val="auto"/>
              </w:rPr>
              <w:t>(1,532.7)</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26,506.8</w:t>
            </w:r>
          </w:p>
        </w:tc>
        <w:tc>
          <w:tcPr>
            <w:tcW w:w="100" w:type="dxa"/>
            <w:vAlign w:val="bottom"/>
            <w:tcBorders>
              <w:bottom w:val="single" w:sz="8" w:color="CCEEFC"/>
            </w:tcBorders>
          </w:tcPr>
          <w:p>
            <w:pPr>
              <w:spacing w:after="0"/>
              <w:rPr>
                <w:sz w:val="19"/>
                <w:szCs w:val="19"/>
                <w:color w:val="auto"/>
              </w:rPr>
            </w:pPr>
          </w:p>
        </w:tc>
        <w:tc>
          <w:tcPr>
            <w:tcW w:w="40" w:type="dxa"/>
            <w:vAlign w:val="bottom"/>
            <w:tcBorders>
              <w:bottom w:val="single" w:sz="8" w:color="CCEE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47,321.8</w:t>
            </w:r>
          </w:p>
        </w:tc>
        <w:tc>
          <w:tcPr>
            <w:tcW w:w="140" w:type="dxa"/>
            <w:vAlign w:val="bottom"/>
            <w:tcBorders>
              <w:bottom w:val="single" w:sz="8" w:color="CCEE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(20,815.0)</w:t>
            </w:r>
          </w:p>
        </w:tc>
        <w:tc>
          <w:tcPr>
            <w:tcW w:w="80" w:type="dxa"/>
            <w:vAlign w:val="bottom"/>
            <w:tcBorders>
              <w:bottom w:val="single" w:sz="8" w:color="CCEE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C"/>
          </w:tcPr>
          <w:p>
            <w:pPr>
              <w:ind w:left="5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(24,748.5)</w:t>
            </w:r>
          </w:p>
        </w:tc>
        <w:tc>
          <w:tcPr>
            <w:tcW w:w="100" w:type="dxa"/>
            <w:vAlign w:val="bottom"/>
            <w:shd w:val="clear" w:color="auto" w:fill="CCEEFC"/>
          </w:tcPr>
          <w:p>
            <w:pPr>
              <w:spacing w:after="0"/>
              <w:rPr>
                <w:sz w:val="19"/>
                <w:szCs w:val="19"/>
                <w:color w:val="auto"/>
              </w:rPr>
            </w:pP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820" w:type="dxa"/>
            <w:vAlign w:val="bottom"/>
            <w:shd w:val="clear" w:color="auto" w:fill="CCEEFC"/>
          </w:tcPr>
          <w:p>
            <w:pPr>
              <w:jc w:val="right"/>
              <w:spacing w:after="0"/>
              <w:rPr>
                <w:sz w:val="20"/>
                <w:szCs w:val="20"/>
                <w:color w:val="auto"/>
              </w:rPr>
            </w:pPr>
            <w:r>
              <w:rPr>
                <w:rFonts w:ascii="Arial" w:cs="Arial" w:eastAsia="Arial" w:hAnsi="Arial"/>
                <w:sz w:val="18"/>
                <w:szCs w:val="18"/>
                <w:color w:val="auto"/>
                <w:w w:val="97"/>
              </w:rPr>
              <w:t>(46,088.5)</w:t>
            </w:r>
          </w:p>
        </w:tc>
        <w:tc>
          <w:tcPr>
            <w:tcW w:w="140" w:type="dxa"/>
            <w:vAlign w:val="bottom"/>
            <w:shd w:val="clear" w:color="auto" w:fill="CCEEFC"/>
          </w:tcPr>
          <w:p>
            <w:pPr>
              <w:spacing w:after="0"/>
              <w:rPr>
                <w:sz w:val="19"/>
                <w:szCs w:val="19"/>
                <w:color w:val="auto"/>
              </w:rPr>
            </w:pPr>
          </w:p>
        </w:tc>
        <w:tc>
          <w:tcPr>
            <w:tcW w:w="220" w:type="dxa"/>
            <w:vAlign w:val="bottom"/>
            <w:shd w:val="clear" w:color="auto" w:fill="CCEEFC"/>
          </w:tcPr>
          <w:p>
            <w:pPr>
              <w:spacing w:after="0"/>
              <w:rPr>
                <w:sz w:val="19"/>
                <w:szCs w:val="19"/>
                <w:color w:val="auto"/>
              </w:rPr>
            </w:pPr>
          </w:p>
        </w:tc>
        <w:tc>
          <w:tcPr>
            <w:tcW w:w="1000" w:type="dxa"/>
            <w:vAlign w:val="bottom"/>
            <w:shd w:val="clear" w:color="auto" w:fill="CCEEFC"/>
          </w:tcPr>
          <w:p>
            <w:pPr>
              <w:jc w:val="right"/>
              <w:spacing w:after="0"/>
              <w:rPr>
                <w:sz w:val="20"/>
                <w:szCs w:val="20"/>
                <w:color w:val="auto"/>
              </w:rPr>
            </w:pPr>
            <w:r>
              <w:rPr>
                <w:rFonts w:ascii="Arial" w:cs="Arial" w:eastAsia="Arial" w:hAnsi="Arial"/>
                <w:sz w:val="18"/>
                <w:szCs w:val="18"/>
                <w:color w:val="auto"/>
              </w:rPr>
              <w:t>21,340.0</w:t>
            </w:r>
          </w:p>
        </w:tc>
        <w:tc>
          <w:tcPr>
            <w:tcW w:w="80" w:type="dxa"/>
            <w:vAlign w:val="bottom"/>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Interest and other income</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ind w:right="40"/>
              <w:spacing w:after="0"/>
              <w:rPr>
                <w:sz w:val="20"/>
                <w:szCs w:val="20"/>
                <w:color w:val="auto"/>
              </w:rPr>
            </w:pPr>
            <w:r>
              <w:rPr>
                <w:rFonts w:ascii="Arial" w:cs="Arial" w:eastAsia="Arial" w:hAnsi="Arial"/>
                <w:sz w:val="18"/>
                <w:szCs w:val="18"/>
                <w:color w:val="auto"/>
              </w:rPr>
              <w:t>(84.3)</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80"/>
              <w:spacing w:after="0"/>
              <w:rPr>
                <w:sz w:val="20"/>
                <w:szCs w:val="20"/>
                <w:color w:val="auto"/>
              </w:rPr>
            </w:pPr>
            <w:r>
              <w:rPr>
                <w:rFonts w:ascii="Arial" w:cs="Arial" w:eastAsia="Arial" w:hAnsi="Arial"/>
                <w:sz w:val="18"/>
                <w:szCs w:val="18"/>
                <w:color w:val="auto"/>
              </w:rPr>
              <w:t>(970.6)</w:t>
            </w:r>
          </w:p>
        </w:tc>
        <w:tc>
          <w:tcPr>
            <w:tcW w:w="22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80"/>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C"/>
            </w:tcBorders>
            <w:shd w:val="clear" w:color="auto" w:fill="CCEEFC"/>
          </w:tcPr>
          <w:p>
            <w:pPr>
              <w:ind w:left="50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CEEFC"/>
          </w:tcPr>
          <w:p>
            <w:pPr>
              <w:spacing w:after="0"/>
              <w:rPr>
                <w:sz w:val="19"/>
                <w:szCs w:val="19"/>
                <w:color w:val="auto"/>
              </w:rPr>
            </w:pP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C"/>
            </w:tcBorders>
            <w:shd w:val="clear" w:color="auto" w:fill="CCEEFC"/>
          </w:tcPr>
          <w:p>
            <w:pPr>
              <w:spacing w:after="0"/>
              <w:rPr>
                <w:sz w:val="19"/>
                <w:szCs w:val="19"/>
                <w:color w:val="auto"/>
              </w:rPr>
            </w:pPr>
          </w:p>
        </w:tc>
        <w:tc>
          <w:tcPr>
            <w:tcW w:w="40" w:type="dxa"/>
            <w:vAlign w:val="bottom"/>
            <w:tcBorders>
              <w:top w:val="single" w:sz="8" w:color="CCEEFC"/>
            </w:tcBorders>
            <w:shd w:val="clear" w:color="auto" w:fill="CCEEFC"/>
          </w:tcPr>
          <w:p>
            <w:pPr>
              <w:spacing w:after="0"/>
              <w:rPr>
                <w:sz w:val="19"/>
                <w:szCs w:val="19"/>
                <w:color w:val="auto"/>
              </w:rPr>
            </w:pPr>
          </w:p>
        </w:tc>
        <w:tc>
          <w:tcPr>
            <w:tcW w:w="400" w:type="dxa"/>
            <w:vAlign w:val="bottom"/>
            <w:tcBorders>
              <w:top w:val="single" w:sz="8" w:color="auto"/>
              <w:bottom w:val="single" w:sz="8" w:color="auto"/>
            </w:tcBorders>
            <w:shd w:val="clear" w:color="auto" w:fill="CCEEFC"/>
          </w:tcPr>
          <w:p>
            <w:pPr>
              <w:spacing w:after="0"/>
              <w:rPr>
                <w:sz w:val="19"/>
                <w:szCs w:val="19"/>
                <w:color w:val="auto"/>
              </w:rPr>
            </w:pPr>
          </w:p>
        </w:tc>
        <w:tc>
          <w:tcPr>
            <w:tcW w:w="82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(958.3)</w:t>
            </w:r>
          </w:p>
        </w:tc>
        <w:tc>
          <w:tcPr>
            <w:tcW w:w="140" w:type="dxa"/>
            <w:vAlign w:val="bottom"/>
            <w:tcBorders>
              <w:top w:val="single" w:sz="8" w:color="CCEEFC"/>
            </w:tcBorders>
            <w:shd w:val="clear" w:color="auto" w:fill="CCEEFC"/>
          </w:tcPr>
          <w:p>
            <w:pPr>
              <w:spacing w:after="0"/>
              <w:rPr>
                <w:sz w:val="19"/>
                <w:szCs w:val="19"/>
                <w:color w:val="auto"/>
              </w:rPr>
            </w:pPr>
          </w:p>
        </w:tc>
        <w:tc>
          <w:tcPr>
            <w:tcW w:w="220" w:type="dxa"/>
            <w:vAlign w:val="bottom"/>
            <w:tcBorders>
              <w:top w:val="single" w:sz="8" w:color="auto"/>
              <w:bottom w:val="single" w:sz="8" w:color="auto"/>
            </w:tcBorders>
            <w:shd w:val="clear" w:color="auto" w:fill="CCEEFC"/>
          </w:tcPr>
          <w:p>
            <w:pPr>
              <w:spacing w:after="0"/>
              <w:rPr>
                <w:sz w:val="19"/>
                <w:szCs w:val="19"/>
                <w:color w:val="auto"/>
              </w:rPr>
            </w:pPr>
          </w:p>
        </w:tc>
        <w:tc>
          <w:tcPr>
            <w:tcW w:w="100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891.8</w:t>
            </w:r>
          </w:p>
        </w:tc>
        <w:tc>
          <w:tcPr>
            <w:tcW w:w="8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(24,682.0)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(45,130.2)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20,448.2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shd w:val="clear" w:color="auto" w:fill="CCEEFC"/>
          </w:tcPr>
          <w:p>
            <w:pPr>
              <w:spacing w:after="0"/>
              <w:rPr>
                <w:sz w:val="19"/>
                <w:szCs w:val="19"/>
                <w:color w:val="auto"/>
              </w:rPr>
            </w:pP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8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80"/>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50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(23,511.1)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(45,147.9)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21,636.8</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Net sales for the year ended December 31, 2020 increased 46% as compared to 2019. The increase of $1.1 million is due to increased sales to the Department of Veterans Affairs and in the United Kingdom. This increase was partially offset by reduced sales in the U.S. commercial channel. We expect revenue from the Department of Veterans Affairs and United Kingdom to continue to be a majority of our revenue for the year ending December 31, 2021. We expect our revenue to increase during the year ending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Gross profit increased $0.5 million for the year ended December 31, 2020 compared to 2019. This increase was due to the increase in net sales along with the cost of goods sold activity described immediately below. Gross margin was 50% and 52% for the years ended December 31, 2020 and 2019, respectively. This decrease in gross margin was primarily due to an inventory charge of $0.4 million recorded in 2020, which was the result of a book value adjustment of certain inventory components to net realizable value. Excluding the 2020 inventory charge, gross margin for the year ended December 31, 2020 was 63%. The increase in gross margin, excluding the 2020 inventory charge, was largely due to the more favorable absorption of labor and overhead costs, and product mix. We expect revenue to increase in 2021, which would result in a further increase in our gross margin. Our gross margin will also be impacted by product mix.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auto"/>
        </w:rPr>
        <w:t>Research and development expenses of $4.2 million for the year ended December 31, 2020 decreased by $5.7 million, or 58%, as compared to 2019. This reduction was primarily due to significant reductions in near-term investment in research and development, including the early termination of our PREMIUM II clinical trial. We do not expect a material change in our research and development expense for the year ending December 31, 2021. Savings from the 2020 termination of our PREMIUM II clinical trial, may be partially offset, by the targeted expenditures to support research and development activities in other therapeutic indications.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4"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Selling, general and administrative expense of $21.8 million for the year ended December 31, 2020 decreased by $13.6 million, or 38%, as compared to 2019. This decrease in expenses was primarily driven by reductions of $5.3 million in personnel costs and $8.7 million in non-personnel costs for sales and marketing activities, partially offset by a $0.6 million write-off of an operating lease right of use asset in 2020. We do not expect a material increase in our selling, general, and administrative expense for the year ending December 31, 2021, however, we may make targeted expenditures to support our commercial efforts.</w:t>
      </w:r>
    </w:p>
    <w:p>
      <w:pPr>
        <w:sectPr>
          <w:pgSz w:w="11900" w:h="16838" w:orient="portrait"/>
          <w:cols w:equalWidth="0" w:num="1">
            <w:col w:w="11240"/>
          </w:cols>
          <w:pgMar w:left="320" w:top="553"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Restructuring and Other Severance Related Expenses</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Restructuring and other severance related costs of $464,606 for the year ended December 31, 2020 primarily consist of severance related expenses in connection with personnel changes in the position of Chief Medical Officer. Restructuring and other related charges for the year ended December 31, 2019 of $1,997,300 were due to our restructuring plan announced on May 29, 2019, and expenses incurred in connection with separation agreements with two of our former officers.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117"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color w:val="auto"/>
        </w:rPr>
        <w:t>Interest and other income of $84,327 and $970,594 for the years ended December 31, 2020 and 2019, respectively, primarily consisted of interest earned on cash, cash equivalents and marketable securities. Interest income was slightly offset by interest expense related to our loan under the PPP and financing certain of our insurance premiums.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2020 our cash, cash equivalents, and marketable securities was $22.6 million compared to $24.1 million at December 31,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20"/>
                <w:szCs w:val="20"/>
                <w:color w:val="auto"/>
              </w:rPr>
            </w:pPr>
          </w:p>
        </w:tc>
      </w:tr>
      <w:tr>
        <w:trPr>
          <w:trHeight w:val="233"/>
        </w:trPr>
        <w:tc>
          <w:tcPr>
            <w:tcW w:w="8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millions)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(used in) provided by</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activities</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(20.1</w:t>
            </w:r>
            <w:r>
              <w:rPr>
                <w:rFonts w:ascii="Arial" w:cs="Arial" w:eastAsia="Arial" w:hAnsi="Arial"/>
                <w:sz w:val="17"/>
                <w:szCs w:val="17"/>
                <w:color w:val="auto"/>
              </w:rPr>
              <w:t>)</w:t>
            </w:r>
            <w:r>
              <w:rPr>
                <w:rFonts w:ascii="Arial" w:cs="Arial" w:eastAsia="Arial" w:hAnsi="Arial"/>
                <w:sz w:val="16"/>
                <w:szCs w:val="16"/>
                <w:color w:val="auto"/>
              </w:rPr>
              <w:t xml:space="preserve"> $</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(45.1</w:t>
            </w:r>
            <w:r>
              <w:rPr>
                <w:rFonts w:ascii="Arial" w:cs="Arial" w:eastAsia="Arial" w:hAnsi="Arial"/>
                <w:sz w:val="17"/>
                <w:szCs w:val="17"/>
                <w:color w:val="auto"/>
              </w:rPr>
              <w:t>)</w:t>
            </w:r>
          </w:p>
        </w:tc>
      </w:tr>
      <w:tr>
        <w:trPr>
          <w:trHeight w:val="229"/>
        </w:trPr>
        <w:tc>
          <w:tcPr>
            <w:tcW w:w="8600" w:type="dxa"/>
            <w:vAlign w:val="bottom"/>
          </w:tcPr>
          <w:p>
            <w:pPr>
              <w:ind w:left="260"/>
              <w:spacing w:after="0"/>
              <w:rPr>
                <w:sz w:val="20"/>
                <w:szCs w:val="20"/>
                <w:color w:val="auto"/>
              </w:rPr>
            </w:pPr>
            <w:r>
              <w:rPr>
                <w:rFonts w:ascii="Arial" w:cs="Arial" w:eastAsia="Arial" w:hAnsi="Arial"/>
                <w:sz w:val="18"/>
                <w:szCs w:val="18"/>
                <w:color w:val="auto"/>
              </w:rPr>
              <w:t>Investing activities</w:t>
            </w: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59"/>
              <w:spacing w:after="0"/>
              <w:rPr>
                <w:sz w:val="20"/>
                <w:szCs w:val="20"/>
                <w:color w:val="auto"/>
              </w:rPr>
            </w:pPr>
            <w:r>
              <w:rPr>
                <w:rFonts w:ascii="Arial" w:cs="Arial" w:eastAsia="Arial" w:hAnsi="Arial"/>
                <w:sz w:val="16"/>
                <w:szCs w:val="16"/>
                <w:color w:val="auto"/>
              </w:rPr>
              <w:t>(8.0</w:t>
            </w:r>
            <w:r>
              <w:rPr>
                <w:rFonts w:ascii="Arial" w:cs="Arial" w:eastAsia="Arial" w:hAnsi="Arial"/>
                <w:sz w:val="17"/>
                <w:szCs w:val="17"/>
                <w:color w:val="auto"/>
              </w:rPr>
              <w:t>)</w:t>
            </w:r>
            <w:r>
              <w:rPr>
                <w:rFonts w:ascii="Arial" w:cs="Arial" w:eastAsia="Arial" w:hAnsi="Arial"/>
                <w:sz w:val="16"/>
                <w:szCs w:val="16"/>
                <w:color w:val="auto"/>
              </w:rPr>
              <w:t xml:space="preserve"> $</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51.0</w:t>
            </w:r>
          </w:p>
        </w:tc>
      </w:tr>
      <w:tr>
        <w:trPr>
          <w:trHeight w:val="229"/>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activities</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Net cash used in operating activities was $20.1 million and $45.1 million for the years ended December 31, 2020 and 2019, respectively. This decrease is primarily due to (i) a decrease in our net loss from operations, (ii) less cash being used for working capital components such as inventory and accrued bonuses, and (ii) the sale of our state NOLs, and research and development tax credits for the year ended December 31, 2018 for which we received a net cash amount of approximately $1.2 million in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400"/>
        <w:spacing w:after="0" w:line="359" w:lineRule="auto"/>
        <w:rPr>
          <w:sz w:val="20"/>
          <w:szCs w:val="20"/>
          <w:color w:val="auto"/>
        </w:rPr>
      </w:pPr>
      <w:r>
        <w:rPr>
          <w:rFonts w:ascii="Arial" w:cs="Arial" w:eastAsia="Arial" w:hAnsi="Arial"/>
          <w:sz w:val="16"/>
          <w:szCs w:val="16"/>
          <w:color w:val="auto"/>
        </w:rPr>
        <w:t>Net cash used in investing activities was $8.0 million and $51.0 million for the years ended December 31, 2020 and 2019, respectively. This decrease reflects the decline in funds received from the maturity of marketable securities, partially offset by a decrease in our purchase of marketable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Net cash provided by financing activities was $19.0 million for the year ended December 31, 2020, primarily representing cash proceeds of $17.7 million from the issuance of common stock, $1.4 million from our loan under the PPP, and $1.2 million from a debt financing of certain of our insurance premiums. These positive cash flows were slightly offset by $1.1 million in repayments related to the financing of our insurance premiums. During the year ended December 31, 2019, we received proceeds of $0.8 million from the Financing Agreement to fund certain of our insurance premiums of which $0.7 million was repaid as of December 31, 2019.</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Because we have had recurring losses, negative cash flows from operating activities, limited cash on hand and expect to continue to incur losses for the near future, the report of our independent auditors with respect to our financial statements as of December 31, 2020 and for the year ended December 31, 2020 contain an explanatory paragraph as to the factors that raise substantial doubt about the Company’s ability to continue as a going concern.</w:t>
      </w:r>
    </w:p>
    <w:p>
      <w:pPr>
        <w:spacing w:after="0" w:line="16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recurring losses since our inception. We incurred net losses of $23.5 million and $45.1 million for the years ended December 31, 2020 and 2019, respectively. As of December 31, 2020, our accumulated deficit was $107.0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cash, cash equivalents and marketable securities totaled $22.6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w:t>
      </w:r>
    </w:p>
    <w:p>
      <w:pPr>
        <w:spacing w:after="0" w:line="131"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On March 27, 2020, we entered into a Purchase Agreement with Lincoln Park giving us the right to sell to Lincoln Park shares of common stock having an aggregate value of up to $25,000,000, subject to certain significant limitations of the amount and timing of any such sales due to terms and conditions set forth in the Purchase Agreement.</w:t>
      </w:r>
    </w:p>
    <w:p>
      <w:pPr>
        <w:spacing w:after="0" w:line="183"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During 2020, we sold 10,179,676 shares of common stock under the Purchase Agreement, resulting in aggregate proceeds of approximately $15.5 million to the Company. As of December 31, 2020, we had the right to sell under the Purchase Agreement approximately $9.5 million of additional shares of common stock. In January 2021, we sold an additional 2,750,000 shares of common stock under the Purchase Agreement, resulting in aggregate proceeds of approximately $6.9 million to the Company. We terminated the agreement on March 11,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 (PPP)</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May 2020, we entered into a promissory note, or the Note with Citibank, N.A., or the Lender, evidencing an unsecured loan, or the Loan, in the amount of $1.4 million made to us under the PPP. The loan cash proceeds in this amount were received by us in May 2020. The PPP is a program of the U.S. Small Business Administration or the SBA, established under the Coronavirus Aid, Relief, and Economic Security Act, or the CARES Act. Under the PPP, the proceeds of the Loan may be used to pay payroll and make certain covered interest payments, lease payments and utility payments, or Qualifying Expenses. We used the entire Loan amount for Qualifying Expenses under the PPP.</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interest rate on the Loan is 1.0% per annum. The Note matures on February 2, 2023. On September 2, 2021, or the First Payment Date, we are required to pay all accrued interest under the Loan that is not forgiven in accordance with the terms of the PPP. Additionally, on the First Payment Date and on the second day of each month thereafter until February 2, 2023, we must make equal monthly payments of the amount of principal under the Loan that is not forgiven in accordance with the terms of the PPP and related accrued interest thereon. We intend to apply for loan forgiveness under the guidelines set out by the SBA, which would result in a delay or elimination of the repayment period, if accepted in whole or in part by the Lender and SBA. The Note contains events of default and other conditions customary for a Note of this type.</w:t>
      </w:r>
    </w:p>
    <w:p>
      <w:pPr>
        <w:spacing w:after="0" w:line="176"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Under the terms of the CARES Act, PPP loan recipients can be granted forgiveness for all or a portion of the loan granted under the PPP, with such forgiveness to be determined, subject to limitations, based on the use of the loan proceeds for payment of Qualifying Expenses, and provided certain payroll thresholds are maintained. The terms of any forgiveness also may be subject to further requirements in any regulations and guidelines the SBA may adopt. No assurance can be provided that we will obtain forgiveness of the Note in whole or in part. Official guidance and interpretations of the requirements of the program have been limited and have been changing over time. Despite our good-faith belief that we properly satisfied all eligibility requirements for the PPP loan, there has been increasing scrutiny of public companies that received loans, and there can be no assurance that we will not become subject to regulatory or other scrutiny and a request for repayment of some or all of the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Net Operating Losses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may be eligible, from time to time, to receive cash from the sale of our Net Operating Losses under the State of New Jersey’s NOL Transfer Program. On May 6, 2020 we received a net cash amount of approximately $1.2 million from the sale of our state NOLs and research and development tax credits for the year ended December 31, 2018.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Outlook</w:t>
      </w:r>
    </w:p>
    <w:p>
      <w:pPr>
        <w:spacing w:after="0" w:line="131" w:lineRule="exact"/>
        <w:rPr>
          <w:sz w:val="20"/>
          <w:szCs w:val="20"/>
          <w:color w:val="auto"/>
        </w:rPr>
      </w:pPr>
    </w:p>
    <w:p>
      <w:pPr>
        <w:ind w:right="360"/>
        <w:spacing w:after="0" w:line="324" w:lineRule="auto"/>
        <w:rPr>
          <w:sz w:val="20"/>
          <w:szCs w:val="20"/>
          <w:color w:val="auto"/>
        </w:rPr>
      </w:pPr>
      <w:r>
        <w:rPr>
          <w:rFonts w:ascii="Arial" w:cs="Arial" w:eastAsia="Arial" w:hAnsi="Arial"/>
          <w:sz w:val="17"/>
          <w:szCs w:val="17"/>
          <w:color w:val="auto"/>
        </w:rPr>
        <w:t>We expect to continue to incur substantial negative cash flows from operations for at least the next several years as we commercialize gammaCore. We intend to continue to make targeted investments in building our commercial infrastructure and research and development.</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July 2020, we received an EUA for use of its gammaCore Sapphire CV nVNS therapy for the acute treatment of asthma exacerbations in known or suspected COVID-19 patients. This EUA is expected to remain in effect for the duration of the COVID-19 pandemic justifying emergency use of these devices unless terminated or revoked by the FDA (after which products may no longer be used). The length of the effective period of this EUA is uncertain and the Company may have to incur significant expenditures to achieve sales of gammaCore Sapphire CV. There can be no assurance as to what impact the EUA and potential sales of gammaCore Sapphire CV will have on us, our business operations and financial condition and gammaCore Sapphire CV has not yet generated significant revenue.</w:t>
      </w:r>
    </w:p>
    <w:p>
      <w:pPr>
        <w:spacing w:after="0" w:line="19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Although we expect that our existing capital resources, will enable us to fund our operating expenses and capital expenditure requirements for at least the next 12 months, this estimate is based on assumptions that may prove to be wrong, and could exhaust our available capital resources sooner than we expect. Changes, including those relating to the payer and competitive landscape, our commercialization strategy, our development activities and regulatory matters, may occur beyond our control that would cause us to consume our available capital more quickly.</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may need to reduce our activities significantly more than our current operating plan and cash flow projections assume in order to fund operations for at least the next 12 months. There is no assurance that we will generate sufficient cash flow and funding through our operating results or the sale of securities or from a strategic transaction or otherwise, raising substantial doubt about our ability to continue as a going concern within one year of the date the accompanying financial statements are issued. The inability to generate sufficient cash flow or raise funds through the sources discussed above could have a material adverse effect on our business, results of operations, and financial condition, and could require us to reduce or curtail activities, or cease operations.</w:t>
      </w:r>
    </w:p>
    <w:p>
      <w:pPr>
        <w:spacing w:after="0" w:line="19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expected cash requirements for the next 12 months and beyond are based on the commercialization success of our products and our ability to reduce operating expenses. There are significant risks and uncertainties as to our ability to achieve these operating results, including as a result of the potential adverse impact on our business from the ongoing COVID-19 pandemic,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Even if we are not required to curtail our activities sooner, our ability to execute our operating plan beyond the next 12 months depends on our ability to increase revenue, reduce operating expenses and obtain additional funding through the sale of equity and or debt securities, a strategic transaction or otherwise. However, these alternatives may not be available to us on attractive terms, or at all. There is no assurance that we will generate sufficient cash flow and funding through our operating results or the sale of securities or from a strategic transaction or otherwise, raising substantial doubt about our ability to continue as a going concern within one year of the date these financial statements are issued. The inability to generate sufficient cash flow or raise funds through the sources discussed above could have a material adverse effect on our business, results of operations, and financial condition, and could require us to reduce or curtail activities, or cease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during the periods presented, and we do not have any off-balance sheet arrangements, as defined in the rules and regulations of the SEC.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We develop our products in the United States and sell those products into more than four countries. As a result, our financial results could be affected by factors such as changes in foreign currency exchange rates or weak economic conditions in foreign markets. Most of our sales in Europe are denominated in the U.S. dollar and Euro.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60"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If the U.S. dollar uniformly increased or decreased in strength by 10% relative to the currencies in which our sales were denominated, our net income would have correspondingly increased or decreased by an immaterial amount for the year ended December 31, 2020.</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CROs, investigational sites, suppliers and other vendors in Europe and internationally. We are subject to fluctuations in foreign currency rates in connection with these agreements. We do not hedge our foreign currency exchange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of the potential changes noted above are based on sensitivity analyses performed on our financial position as of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 index of those financial statements is found in Item 15.</w:t>
      </w:r>
    </w:p>
    <w:p>
      <w:pPr>
        <w:spacing w:after="0" w:line="274" w:lineRule="exact"/>
        <w:rPr>
          <w:sz w:val="20"/>
          <w:szCs w:val="20"/>
          <w:color w:val="auto"/>
        </w:rPr>
      </w:pPr>
    </w:p>
    <w:p>
      <w:pPr>
        <w:ind w:right="37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As required by Rule 13a-15(b) of the Exchange Act, an evaluation as of December 31, 2020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2020, were effective for the purposes stated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31"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spacing w:after="0" w:line="182"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both"/>
        <w:ind w:right="220"/>
        <w:spacing w:after="0" w:line="303" w:lineRule="auto"/>
        <w:rPr>
          <w:sz w:val="20"/>
          <w:szCs w:val="20"/>
          <w:color w:val="auto"/>
        </w:rPr>
      </w:pPr>
      <w:r>
        <w:rPr>
          <w:rFonts w:ascii="Arial" w:cs="Arial" w:eastAsia="Arial" w:hAnsi="Arial"/>
          <w:sz w:val="17"/>
          <w:szCs w:val="17"/>
          <w:color w:val="auto"/>
        </w:rPr>
        <w:t>As of December 31, 2020,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2020 our internal control over financial reporting was effective.</w:t>
      </w:r>
    </w:p>
    <w:p>
      <w:pPr>
        <w:spacing w:after="0" w:line="15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2020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Effective March 11, 2021, the Company terminated the Purchase Agreement with Lincoln Park. No material termination penalties were incurred. The foregoing information is included in this Annual Report on Form 10-K in lieu of a Current Report on Form 8-K.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Item 404 of Regulation S-K. The information required by this Item is incorporated herein by reference to the information that will be contained in our proxy statement related to the 2021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or an amendment to this Annual Report, which we intend to file with the SEC within 120 days of the end of our fiscal year pursuant to General Instruction G(3) of Form 10-K.</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6380" w:type="dxa"/>
            <w:vAlign w:val="bottom"/>
          </w:tcPr>
          <w:p>
            <w:pPr>
              <w:ind w:left="42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(1) Financial Statements:</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40" w:type="dxa"/>
            <w:vAlign w:val="bottom"/>
          </w:tcPr>
          <w:p>
            <w:pPr>
              <w:ind w:left="40"/>
              <w:spacing w:after="0"/>
              <w:rPr>
                <w:sz w:val="20"/>
                <w:szCs w:val="20"/>
                <w:color w:val="auto"/>
              </w:rPr>
            </w:pPr>
            <w:r>
              <w:rPr>
                <w:rFonts w:ascii="Arial" w:cs="Arial" w:eastAsia="Arial" w:hAnsi="Arial"/>
                <w:sz w:val="18"/>
                <w:szCs w:val="18"/>
                <w:color w:val="auto"/>
                <w:w w:val="99"/>
              </w:rPr>
              <w:t>Reports of Independent Registered Public Accounting Firms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Consolidated Balance Sheets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Consolidated Statements of Operations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Loss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Consolidated Statements of Equity</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Consolidated Statements of Cash Flows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6380" w:type="dxa"/>
            <w:vAlign w:val="bottom"/>
          </w:tcPr>
          <w:p>
            <w:pPr>
              <w:ind w:left="612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right="14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 The exhibits filed as part of this Annual Report on Form 10-K are set forth on the Exhibit Index immediately following Item 16. The Exhibit Index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10100" w:type="dxa"/>
            <w:vAlign w:val="bottom"/>
            <w:vMerge w:val="restart"/>
          </w:tcPr>
          <w:p>
            <w:pPr>
              <w:ind w:left="45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22"/>
        </w:trPr>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40" w:type="dxa"/>
            <w:vAlign w:val="bottom"/>
            <w:gridSpan w:val="2"/>
            <w:vMerge w:val="continue"/>
          </w:tcPr>
          <w:p>
            <w:pPr>
              <w:spacing w:after="0"/>
              <w:rPr>
                <w:sz w:val="7"/>
                <w:szCs w:val="7"/>
                <w:color w:val="auto"/>
              </w:rPr>
            </w:pPr>
          </w:p>
        </w:tc>
        <w:tc>
          <w:tcPr>
            <w:tcW w:w="10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100" w:type="dxa"/>
            <w:vAlign w:val="bottom"/>
          </w:tcPr>
          <w:p>
            <w:pPr>
              <w:spacing w:after="0"/>
              <w:rPr>
                <w:rFonts w:ascii="Arial" w:cs="Arial" w:eastAsia="Arial" w:hAnsi="Arial"/>
                <w:sz w:val="16"/>
                <w:szCs w:val="16"/>
                <w:color w:val="0000FF"/>
              </w:rPr>
            </w:pPr>
            <w:hyperlink r:id="rId112">
              <w:r>
                <w:rPr>
                  <w:rFonts w:ascii="Arial" w:cs="Arial" w:eastAsia="Arial" w:hAnsi="Arial"/>
                  <w:sz w:val="16"/>
                  <w:szCs w:val="16"/>
                  <w:u w:val="single" w:color="auto"/>
                  <w:color w:val="0000FF"/>
                </w:rPr>
                <w:t>Certificate of Incorporation of electroCore, Inc</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527"/>
        </w:trPr>
        <w:tc>
          <w:tcPr>
            <w:tcW w:w="10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color w:val="0000FF"/>
              </w:rPr>
            </w:pPr>
            <w:hyperlink r:id="rId113">
              <w:r>
                <w:rPr>
                  <w:rFonts w:ascii="Arial" w:cs="Arial" w:eastAsia="Arial" w:hAnsi="Arial"/>
                  <w:sz w:val="16"/>
                  <w:szCs w:val="16"/>
                  <w:u w:val="single" w:color="auto"/>
                  <w:color w:val="0000FF"/>
                </w:rPr>
                <w:t>Bylaws of electroCore, Inc</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540"/>
        </w:trPr>
        <w:tc>
          <w:tcPr>
            <w:tcW w:w="1020" w:type="dxa"/>
            <w:vAlign w:val="bottom"/>
          </w:tcPr>
          <w:p>
            <w:pPr>
              <w:jc w:val="center"/>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Registration Rights Agreement, dated March 27, 2020, between electroCore, Inc. and Lincoln Park Capital Fund, LLC</w:t>
              </w:r>
            </w:hyperlink>
          </w:p>
        </w:tc>
        <w:tc>
          <w:tcPr>
            <w:tcW w:w="0" w:type="dxa"/>
            <w:vAlign w:val="bottom"/>
          </w:tcPr>
          <w:p>
            <w:pPr>
              <w:spacing w:after="0"/>
              <w:rPr>
                <w:sz w:val="1"/>
                <w:szCs w:val="1"/>
                <w:color w:val="auto"/>
              </w:rPr>
            </w:pPr>
          </w:p>
        </w:tc>
      </w:tr>
      <w:tr>
        <w:trPr>
          <w:trHeight w:val="540"/>
        </w:trPr>
        <w:tc>
          <w:tcPr>
            <w:tcW w:w="1020" w:type="dxa"/>
            <w:vAlign w:val="bottom"/>
          </w:tcPr>
          <w:p>
            <w:pPr>
              <w:jc w:val="right"/>
              <w:ind w:right="25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Description of Capital Stock</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10.2†**</w:t>
            </w:r>
          </w:p>
        </w:tc>
        <w:tc>
          <w:tcPr>
            <w:tcW w:w="10100" w:type="dxa"/>
            <w:vAlign w:val="bottom"/>
          </w:tcPr>
          <w:p>
            <w:pPr>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10.3†**</w:t>
            </w:r>
          </w:p>
        </w:tc>
        <w:tc>
          <w:tcPr>
            <w:tcW w:w="10100" w:type="dxa"/>
            <w:vAlign w:val="bottom"/>
          </w:tcPr>
          <w:p>
            <w:pPr>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Form of Employee Incentive Stock Option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10.4†**</w:t>
            </w:r>
          </w:p>
        </w:tc>
        <w:tc>
          <w:tcPr>
            <w:tcW w:w="10100" w:type="dxa"/>
            <w:vAlign w:val="bottom"/>
          </w:tcPr>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Form of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10.5†**</w:t>
            </w:r>
          </w:p>
        </w:tc>
        <w:tc>
          <w:tcPr>
            <w:tcW w:w="10100" w:type="dxa"/>
            <w:vAlign w:val="bottom"/>
          </w:tcPr>
          <w:p>
            <w:pPr>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Form of Employee Restricted Stock Award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10.6†**</w:t>
            </w:r>
          </w:p>
        </w:tc>
        <w:tc>
          <w:tcPr>
            <w:tcW w:w="10100" w:type="dxa"/>
            <w:vAlign w:val="bottom"/>
          </w:tcPr>
          <w:p>
            <w:pPr>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Form of Non-Employee Director Inaugural Deferred Stock Unit Award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10.7†**</w:t>
            </w:r>
          </w:p>
        </w:tc>
        <w:tc>
          <w:tcPr>
            <w:tcW w:w="10100" w:type="dxa"/>
            <w:vAlign w:val="bottom"/>
          </w:tcPr>
          <w:p>
            <w:pPr>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Form of Non-Employee Director Inaugural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10.8†**</w:t>
            </w:r>
          </w:p>
        </w:tc>
        <w:tc>
          <w:tcPr>
            <w:tcW w:w="10100" w:type="dxa"/>
            <w:vAlign w:val="bottom"/>
          </w:tcPr>
          <w:p>
            <w:pPr>
              <w:spacing w:after="0"/>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Form of Non-Employee Director Inaugural Restricted Stock Unit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10.9†**</w:t>
            </w:r>
          </w:p>
        </w:tc>
        <w:tc>
          <w:tcPr>
            <w:tcW w:w="10100" w:type="dxa"/>
            <w:vAlign w:val="bottom"/>
          </w:tcPr>
          <w:p>
            <w:pPr>
              <w:spacing w:after="0"/>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Form of Non-Employee Director Annual Deferred Stock Unit Award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10.10†**</w:t>
            </w:r>
          </w:p>
        </w:tc>
        <w:tc>
          <w:tcPr>
            <w:tcW w:w="10100" w:type="dxa"/>
            <w:vAlign w:val="bottom"/>
          </w:tcPr>
          <w:p>
            <w:pPr>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Form of Non-Employee Director Annual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10.11†**</w:t>
            </w:r>
          </w:p>
        </w:tc>
        <w:tc>
          <w:tcPr>
            <w:tcW w:w="10100" w:type="dxa"/>
            <w:vAlign w:val="bottom"/>
          </w:tcPr>
          <w:p>
            <w:pPr>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Form of Non-Employee Director Annual Restricted Stock Unit Agreement for electroCore, Inc. 2018 Omnibus Equity Incentive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10.12†**</w:t>
            </w:r>
          </w:p>
        </w:tc>
        <w:tc>
          <w:tcPr>
            <w:tcW w:w="10100" w:type="dxa"/>
            <w:vAlign w:val="bottom"/>
          </w:tcPr>
          <w:p>
            <w:pPr>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10.13†**</w:t>
            </w:r>
          </w:p>
        </w:tc>
        <w:tc>
          <w:tcPr>
            <w:tcW w:w="10100" w:type="dxa"/>
            <w:vAlign w:val="bottom"/>
          </w:tcPr>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Form of electroCore, Inc. Management Severance Plan</w:t>
              </w:r>
            </w:hyperlink>
          </w:p>
        </w:tc>
        <w:tc>
          <w:tcPr>
            <w:tcW w:w="0" w:type="dxa"/>
            <w:vAlign w:val="bottom"/>
          </w:tcPr>
          <w:p>
            <w:pPr>
              <w:spacing w:after="0"/>
              <w:rPr>
                <w:sz w:val="1"/>
                <w:szCs w:val="1"/>
                <w:color w:val="auto"/>
              </w:rPr>
            </w:pPr>
          </w:p>
        </w:tc>
      </w:tr>
      <w:tr>
        <w:trPr>
          <w:trHeight w:val="540"/>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10.14†*</w:t>
            </w:r>
          </w:p>
        </w:tc>
        <w:tc>
          <w:tcPr>
            <w:tcW w:w="10100" w:type="dxa"/>
            <w:vAlign w:val="bottom"/>
          </w:tcPr>
          <w:p>
            <w:pPr>
              <w:spacing w:after="0"/>
              <w:rPr>
                <w:rFonts w:ascii="Arial" w:cs="Arial" w:eastAsia="Arial" w:hAnsi="Arial"/>
                <w:sz w:val="16"/>
                <w:szCs w:val="16"/>
                <w:u w:val="single" w:color="auto"/>
                <w:color w:val="0000FF"/>
              </w:rPr>
            </w:pPr>
            <w:hyperlink w:anchor="page139">
              <w:r>
                <w:rPr>
                  <w:rFonts w:ascii="Arial" w:cs="Arial" w:eastAsia="Arial" w:hAnsi="Arial"/>
                  <w:sz w:val="16"/>
                  <w:szCs w:val="16"/>
                  <w:u w:val="single" w:color="auto"/>
                  <w:color w:val="0000FF"/>
                </w:rPr>
                <w:t>electroCore, Inc. Non-Employee Director Compensation Policy</w:t>
              </w:r>
            </w:hyperlink>
          </w:p>
        </w:tc>
        <w:tc>
          <w:tcPr>
            <w:tcW w:w="0" w:type="dxa"/>
            <w:vAlign w:val="bottom"/>
          </w:tcPr>
          <w:p>
            <w:pPr>
              <w:spacing w:after="0"/>
              <w:rPr>
                <w:sz w:val="1"/>
                <w:szCs w:val="1"/>
                <w:color w:val="auto"/>
              </w:rPr>
            </w:pPr>
          </w:p>
        </w:tc>
      </w:tr>
      <w:tr>
        <w:trPr>
          <w:trHeight w:val="540"/>
        </w:trPr>
        <w:tc>
          <w:tcPr>
            <w:tcW w:w="1020" w:type="dxa"/>
            <w:vAlign w:val="bottom"/>
          </w:tcPr>
          <w:p>
            <w:pPr>
              <w:jc w:val="center"/>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Rockaway, NJ Office Lease between Anson Logistics Assets LLC and electroCore, Inc.</w:t>
              </w:r>
            </w:hyperlink>
          </w:p>
        </w:tc>
        <w:tc>
          <w:tcPr>
            <w:tcW w:w="0" w:type="dxa"/>
            <w:vAlign w:val="bottom"/>
          </w:tcPr>
          <w:p>
            <w:pPr>
              <w:spacing w:after="0"/>
              <w:rPr>
                <w:sz w:val="1"/>
                <w:szCs w:val="1"/>
                <w:color w:val="auto"/>
              </w:rPr>
            </w:pPr>
          </w:p>
        </w:tc>
      </w:tr>
      <w:tr>
        <w:trPr>
          <w:trHeight w:val="540"/>
        </w:trPr>
        <w:tc>
          <w:tcPr>
            <w:tcW w:w="1020" w:type="dxa"/>
            <w:vAlign w:val="bottom"/>
          </w:tcPr>
          <w:p>
            <w:pPr>
              <w:jc w:val="center"/>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Basking Ridge, NJ Office Lease between 150 Allen Road, LLC and Electrocore, LLC</w:t>
              </w:r>
            </w:hyperlink>
          </w:p>
        </w:tc>
        <w:tc>
          <w:tcPr>
            <w:tcW w:w="0" w:type="dxa"/>
            <w:vAlign w:val="bottom"/>
          </w:tcPr>
          <w:p>
            <w:pPr>
              <w:spacing w:after="0"/>
              <w:rPr>
                <w:sz w:val="1"/>
                <w:szCs w:val="1"/>
                <w:color w:val="auto"/>
              </w:rPr>
            </w:pPr>
          </w:p>
        </w:tc>
      </w:tr>
      <w:tr>
        <w:trPr>
          <w:trHeight w:val="486"/>
        </w:trPr>
        <w:tc>
          <w:tcPr>
            <w:tcW w:w="1020" w:type="dxa"/>
            <w:vAlign w:val="bottom"/>
          </w:tcPr>
          <w:p>
            <w:pPr>
              <w:jc w:val="center"/>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Form of Common Unit Warrant</w:t>
              </w:r>
            </w:hyperlink>
          </w:p>
        </w:tc>
        <w:tc>
          <w:tcPr>
            <w:tcW w:w="0" w:type="dxa"/>
            <w:vAlign w:val="bottom"/>
          </w:tcPr>
          <w:p>
            <w:pPr>
              <w:spacing w:after="0"/>
              <w:rPr>
                <w:sz w:val="1"/>
                <w:szCs w:val="1"/>
                <w:color w:val="auto"/>
              </w:rPr>
            </w:pPr>
          </w:p>
        </w:tc>
      </w:tr>
      <w:tr>
        <w:trPr>
          <w:trHeight w:val="459"/>
        </w:trPr>
        <w:tc>
          <w:tcPr>
            <w:tcW w:w="1020" w:type="dxa"/>
            <w:vAlign w:val="bottom"/>
          </w:tcPr>
          <w:p>
            <w:pPr>
              <w:jc w:val="center"/>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Form of Series A Warrant</w:t>
              </w:r>
            </w:hyperlink>
          </w:p>
        </w:tc>
        <w:tc>
          <w:tcPr>
            <w:tcW w:w="0" w:type="dxa"/>
            <w:vAlign w:val="bottom"/>
          </w:tcPr>
          <w:p>
            <w:pPr>
              <w:spacing w:after="0"/>
              <w:rPr>
                <w:sz w:val="1"/>
                <w:szCs w:val="1"/>
                <w:color w:val="auto"/>
              </w:rPr>
            </w:pPr>
          </w:p>
        </w:tc>
      </w:tr>
      <w:tr>
        <w:trPr>
          <w:trHeight w:val="459"/>
        </w:trPr>
        <w:tc>
          <w:tcPr>
            <w:tcW w:w="1020" w:type="dxa"/>
            <w:vAlign w:val="bottom"/>
          </w:tcPr>
          <w:p>
            <w:pPr>
              <w:jc w:val="center"/>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10100" w:type="dxa"/>
            <w:vAlign w:val="bottom"/>
          </w:tcPr>
          <w:p>
            <w:pPr>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Form of Bridge Warrant</w:t>
              </w:r>
            </w:hyperlink>
          </w:p>
        </w:tc>
        <w:tc>
          <w:tcPr>
            <w:tcW w:w="0" w:type="dxa"/>
            <w:vAlign w:val="bottom"/>
          </w:tcPr>
          <w:p>
            <w:pPr>
              <w:spacing w:after="0"/>
              <w:rPr>
                <w:sz w:val="1"/>
                <w:szCs w:val="1"/>
                <w:color w:val="auto"/>
              </w:rPr>
            </w:pPr>
          </w:p>
        </w:tc>
      </w:tr>
      <w:tr>
        <w:trPr>
          <w:trHeight w:val="49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44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29"/>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2" w:name="page103"/>
    <w:bookmarkEnd w:id="102"/>
    <w:tbl>
      <w:tblPr>
        <w:tblLayout w:type="fixed"/>
        <w:tblInd w:w="192" w:type="dxa"/>
        <w:tblCellMar>
          <w:top w:w="0" w:type="dxa"/>
          <w:left w:w="0" w:type="dxa"/>
          <w:bottom w:w="0" w:type="dxa"/>
          <w:right w:w="0" w:type="dxa"/>
        </w:tblCellMar>
      </w:tblPr>
      <w:tr>
        <w:trPr>
          <w:trHeight w:val="184"/>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3"/>
              </w:rPr>
              <w:t>10.20†</w:t>
            </w:r>
          </w:p>
        </w:tc>
        <w:tc>
          <w:tcPr>
            <w:tcW w:w="10040" w:type="dxa"/>
            <w:vAlign w:val="bottom"/>
            <w:gridSpan w:val="10"/>
          </w:tcPr>
          <w:p>
            <w:pPr>
              <w:spacing w:after="0"/>
              <w:rPr>
                <w:rFonts w:ascii="Arial" w:cs="Arial" w:eastAsia="Arial" w:hAnsi="Arial"/>
                <w:sz w:val="16"/>
                <w:szCs w:val="16"/>
                <w:color w:val="0000EE"/>
                <w:w w:val="92"/>
              </w:rPr>
            </w:pPr>
            <w:hyperlink r:id="rId134">
              <w:r>
                <w:rPr>
                  <w:rFonts w:ascii="Arial" w:cs="Arial" w:eastAsia="Arial" w:hAnsi="Arial"/>
                  <w:sz w:val="16"/>
                  <w:szCs w:val="16"/>
                  <w:color w:val="0000EE"/>
                  <w:w w:val="92"/>
                </w:rPr>
                <w:t>Employment Offer Letter, dated as of September 26, 2019, between electroCore, Inc. and Daniel Goldberger, incorporated by reference to the Company's</w:t>
              </w:r>
            </w:hyperlink>
          </w:p>
        </w:tc>
      </w:tr>
      <w:tr>
        <w:trPr>
          <w:trHeight w:val="183"/>
        </w:trPr>
        <w:tc>
          <w:tcPr>
            <w:tcW w:w="940" w:type="dxa"/>
            <w:vAlign w:val="bottom"/>
          </w:tcPr>
          <w:p>
            <w:pPr>
              <w:spacing w:after="0"/>
              <w:rPr>
                <w:sz w:val="15"/>
                <w:szCs w:val="15"/>
                <w:color w:val="auto"/>
              </w:rPr>
            </w:pPr>
          </w:p>
        </w:tc>
        <w:tc>
          <w:tcPr>
            <w:tcW w:w="994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Current Report on Form 8-K, as filed with the Commission on October 2, 2019</w:t>
              </w:r>
              <w:r>
                <w:rPr>
                  <w:rFonts w:ascii="Arial" w:cs="Arial" w:eastAsia="Arial" w:hAnsi="Arial"/>
                  <w:sz w:val="16"/>
                  <w:szCs w:val="16"/>
                  <w:color w:val="000000"/>
                  <w:highlight w:val="white"/>
                </w:rPr>
                <w:t>.</w:t>
              </w:r>
            </w:hyperlink>
          </w:p>
        </w:tc>
        <w:tc>
          <w:tcPr>
            <w:tcW w:w="100" w:type="dxa"/>
            <w:vAlign w:val="bottom"/>
            <w:gridSpan w:val="3"/>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3"/>
              </w:rPr>
              <w:t>10.21†</w:t>
            </w:r>
          </w:p>
        </w:tc>
        <w:tc>
          <w:tcPr>
            <w:tcW w:w="10040" w:type="dxa"/>
            <w:vAlign w:val="bottom"/>
            <w:gridSpan w:val="10"/>
          </w:tcPr>
          <w:p>
            <w:pPr>
              <w:spacing w:after="0"/>
              <w:rPr>
                <w:rFonts w:ascii="Arial" w:cs="Arial" w:eastAsia="Arial" w:hAnsi="Arial"/>
                <w:sz w:val="16"/>
                <w:szCs w:val="16"/>
                <w:color w:val="0000FF"/>
                <w:w w:val="93"/>
              </w:rPr>
            </w:pPr>
            <w:hyperlink r:id="rId135">
              <w:r>
                <w:rPr>
                  <w:rFonts w:ascii="Arial" w:cs="Arial" w:eastAsia="Arial" w:hAnsi="Arial"/>
                  <w:sz w:val="16"/>
                  <w:szCs w:val="16"/>
                  <w:color w:val="0000FF"/>
                  <w:w w:val="93"/>
                </w:rPr>
                <w:t>Brian Posner Employment Agreement, dated as of January 30, 2019, incorporated by reference to the Company's Current Report on Form 8-K, as filed</w:t>
              </w:r>
            </w:hyperlink>
          </w:p>
        </w:tc>
      </w:tr>
      <w:tr>
        <w:trPr>
          <w:trHeight w:val="183"/>
        </w:trPr>
        <w:tc>
          <w:tcPr>
            <w:tcW w:w="940" w:type="dxa"/>
            <w:vAlign w:val="bottom"/>
          </w:tcPr>
          <w:p>
            <w:pPr>
              <w:spacing w:after="0"/>
              <w:rPr>
                <w:sz w:val="15"/>
                <w:szCs w:val="15"/>
                <w:color w:val="auto"/>
              </w:rPr>
            </w:pPr>
          </w:p>
        </w:tc>
        <w:tc>
          <w:tcPr>
            <w:tcW w:w="978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135">
              <w:r>
                <w:rPr>
                  <w:rFonts w:ascii="Arial" w:cs="Arial" w:eastAsia="Arial" w:hAnsi="Arial"/>
                  <w:sz w:val="16"/>
                  <w:szCs w:val="16"/>
                  <w:color w:val="0000FF"/>
                </w:rPr>
                <w:t>with the Commission on March 12, 2019</w:t>
              </w:r>
              <w:r>
                <w:rPr>
                  <w:rFonts w:ascii="Arial" w:cs="Arial" w:eastAsia="Arial" w:hAnsi="Arial"/>
                  <w:sz w:val="16"/>
                  <w:szCs w:val="16"/>
                  <w:color w:val="000000"/>
                </w:rPr>
                <w:t>.</w:t>
              </w:r>
            </w:hyperlink>
          </w:p>
        </w:tc>
        <w:tc>
          <w:tcPr>
            <w:tcW w:w="260" w:type="dxa"/>
            <w:vAlign w:val="bottom"/>
            <w:gridSpan w:val="4"/>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3"/>
              </w:rPr>
              <w:t>10.22†</w:t>
            </w:r>
          </w:p>
        </w:tc>
        <w:tc>
          <w:tcPr>
            <w:tcW w:w="9960" w:type="dxa"/>
            <w:vAlign w:val="bottom"/>
            <w:tcBorders>
              <w:bottom w:val="single" w:sz="8" w:color="0000FF"/>
            </w:tcBorders>
            <w:gridSpan w:val="8"/>
          </w:tcPr>
          <w:p>
            <w:pPr>
              <w:spacing w:after="0"/>
              <w:rPr>
                <w:rFonts w:ascii="Arial" w:cs="Arial" w:eastAsia="Arial" w:hAnsi="Arial"/>
                <w:sz w:val="16"/>
                <w:szCs w:val="16"/>
                <w:color w:val="0000FF"/>
                <w:w w:val="91"/>
              </w:rPr>
            </w:pPr>
            <w:hyperlink r:id="rId136">
              <w:r>
                <w:rPr>
                  <w:rFonts w:ascii="Arial" w:cs="Arial" w:eastAsia="Arial" w:hAnsi="Arial"/>
                  <w:sz w:val="16"/>
                  <w:szCs w:val="16"/>
                  <w:color w:val="0000FF"/>
                  <w:w w:val="91"/>
                </w:rPr>
                <w:t>Amendment to Brian Posner Employment Agreement, dated as of August 8, 2019, incorporated by reference to the Company's Quarterly Report on Form</w:t>
              </w:r>
            </w:hyperlink>
          </w:p>
        </w:tc>
        <w:tc>
          <w:tcPr>
            <w:tcW w:w="80" w:type="dxa"/>
            <w:vAlign w:val="bottom"/>
            <w:gridSpan w:val="2"/>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10040" w:type="dxa"/>
            <w:vAlign w:val="bottom"/>
            <w:gridSpan w:val="10"/>
          </w:tcPr>
          <w:p>
            <w:pPr>
              <w:spacing w:after="0" w:line="183" w:lineRule="exact"/>
              <w:rPr>
                <w:rFonts w:ascii="Arial" w:cs="Arial" w:eastAsia="Arial" w:hAnsi="Arial"/>
                <w:sz w:val="16"/>
                <w:szCs w:val="16"/>
                <w:color w:val="0000FF"/>
              </w:rPr>
            </w:pPr>
            <w:hyperlink r:id="rId136">
              <w:r>
                <w:rPr>
                  <w:rFonts w:ascii="Arial" w:cs="Arial" w:eastAsia="Arial" w:hAnsi="Arial"/>
                  <w:sz w:val="16"/>
                  <w:szCs w:val="16"/>
                  <w:color w:val="0000FF"/>
                </w:rPr>
                <w:t>10-Q, as filed with the Commission on August 14, 2019</w:t>
              </w:r>
              <w:r>
                <w:rPr>
                  <w:rFonts w:ascii="Arial" w:cs="Arial" w:eastAsia="Arial" w:hAnsi="Arial"/>
                  <w:sz w:val="16"/>
                  <w:szCs w:val="16"/>
                  <w:color w:val="000000"/>
                </w:rPr>
                <w:t>.</w:t>
              </w:r>
            </w:hyperlink>
          </w:p>
        </w:tc>
      </w:tr>
      <w:tr>
        <w:trPr>
          <w:trHeight w:val="460"/>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21.1*</w:t>
            </w:r>
          </w:p>
        </w:tc>
        <w:tc>
          <w:tcPr>
            <w:tcW w:w="3640" w:type="dxa"/>
            <w:vAlign w:val="bottom"/>
            <w:tcBorders>
              <w:top w:val="single" w:sz="8" w:color="0000FF"/>
            </w:tcBorders>
            <w:gridSpan w:val="4"/>
          </w:tcPr>
          <w:p>
            <w:pPr>
              <w:spacing w:after="0"/>
              <w:rPr>
                <w:rFonts w:ascii="Arial" w:cs="Arial" w:eastAsia="Arial" w:hAnsi="Arial"/>
                <w:sz w:val="16"/>
                <w:szCs w:val="16"/>
                <w:u w:val="single" w:color="auto"/>
                <w:color w:val="0000FF"/>
              </w:rPr>
            </w:pPr>
            <w:hyperlink w:anchor="page142">
              <w:r>
                <w:rPr>
                  <w:rFonts w:ascii="Arial" w:cs="Arial" w:eastAsia="Arial" w:hAnsi="Arial"/>
                  <w:sz w:val="16"/>
                  <w:szCs w:val="16"/>
                  <w:u w:val="single" w:color="auto"/>
                  <w:color w:val="0000FF"/>
                </w:rPr>
                <w:t>List of subsidiaries of electroCore, Inc</w:t>
              </w:r>
              <w:r>
                <w:rPr>
                  <w:rFonts w:ascii="Arial" w:cs="Arial" w:eastAsia="Arial" w:hAnsi="Arial"/>
                  <w:sz w:val="16"/>
                  <w:szCs w:val="16"/>
                  <w:u w:val="single" w:color="auto"/>
                  <w:color w:val="0000EE"/>
                </w:rPr>
                <w:t>.</w:t>
              </w:r>
            </w:hyperlink>
          </w:p>
        </w:tc>
        <w:tc>
          <w:tcPr>
            <w:tcW w:w="6400" w:type="dxa"/>
            <w:vAlign w:val="bottom"/>
            <w:gridSpan w:val="6"/>
          </w:tcPr>
          <w:p>
            <w:pPr>
              <w:spacing w:after="0"/>
              <w:rPr>
                <w:sz w:val="24"/>
                <w:szCs w:val="24"/>
                <w:color w:val="auto"/>
              </w:rPr>
            </w:pPr>
          </w:p>
        </w:tc>
      </w:tr>
      <w:tr>
        <w:trPr>
          <w:trHeight w:val="459"/>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23.1*</w:t>
            </w:r>
          </w:p>
        </w:tc>
        <w:tc>
          <w:tcPr>
            <w:tcW w:w="10040" w:type="dxa"/>
            <w:vAlign w:val="bottom"/>
            <w:gridSpan w:val="10"/>
          </w:tcPr>
          <w:p>
            <w:pPr>
              <w:spacing w:after="0"/>
              <w:rPr>
                <w:rFonts w:ascii="Arial" w:cs="Arial" w:eastAsia="Arial" w:hAnsi="Arial"/>
                <w:sz w:val="16"/>
                <w:szCs w:val="16"/>
                <w:u w:val="single" w:color="auto"/>
                <w:color w:val="0000FF"/>
              </w:rPr>
            </w:pPr>
            <w:hyperlink w:anchor="page143">
              <w:r>
                <w:rPr>
                  <w:rFonts w:ascii="Arial" w:cs="Arial" w:eastAsia="Arial" w:hAnsi="Arial"/>
                  <w:sz w:val="16"/>
                  <w:szCs w:val="16"/>
                  <w:u w:val="single" w:color="auto"/>
                  <w:color w:val="0000FF"/>
                </w:rPr>
                <w:t>Consent of Marcum LLP</w:t>
              </w:r>
            </w:hyperlink>
          </w:p>
        </w:tc>
      </w:tr>
      <w:tr>
        <w:trPr>
          <w:trHeight w:val="459"/>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23.2*</w:t>
            </w:r>
          </w:p>
        </w:tc>
        <w:tc>
          <w:tcPr>
            <w:tcW w:w="10040" w:type="dxa"/>
            <w:vAlign w:val="bottom"/>
            <w:gridSpan w:val="10"/>
          </w:tcPr>
          <w:p>
            <w:pPr>
              <w:spacing w:after="0"/>
              <w:rPr>
                <w:rFonts w:ascii="Arial" w:cs="Arial" w:eastAsia="Arial" w:hAnsi="Arial"/>
                <w:sz w:val="16"/>
                <w:szCs w:val="16"/>
                <w:u w:val="single" w:color="auto"/>
                <w:color w:val="0000FF"/>
              </w:rPr>
            </w:pPr>
            <w:hyperlink w:anchor="page144">
              <w:r>
                <w:rPr>
                  <w:rFonts w:ascii="Arial" w:cs="Arial" w:eastAsia="Arial" w:hAnsi="Arial"/>
                  <w:sz w:val="16"/>
                  <w:szCs w:val="16"/>
                  <w:u w:val="single" w:color="auto"/>
                  <w:color w:val="0000FF"/>
                </w:rPr>
                <w:t>Consent of KPMG LLP</w:t>
              </w:r>
            </w:hyperlink>
          </w:p>
        </w:tc>
      </w:tr>
      <w:tr>
        <w:trPr>
          <w:trHeight w:val="424"/>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31.1*</w:t>
            </w:r>
          </w:p>
        </w:tc>
        <w:tc>
          <w:tcPr>
            <w:tcW w:w="1004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145">
              <w:r>
                <w:rPr>
                  <w:rFonts w:ascii="Arial" w:cs="Arial" w:eastAsia="Arial" w:hAnsi="Arial"/>
                  <w:sz w:val="16"/>
                  <w:szCs w:val="16"/>
                  <w:color w:val="0000FF"/>
                  <w:w w:val="92"/>
                </w:rPr>
                <w:t>Certification of Principal Executive Officer Pursuant to Rules 13a-14(a) and 15d-14(a) under the Securities Exchange Act of 1934, as Adopted Pursuant to</w:t>
              </w:r>
            </w:hyperlink>
          </w:p>
        </w:tc>
      </w:tr>
      <w:tr>
        <w:trPr>
          <w:trHeight w:val="183"/>
        </w:trPr>
        <w:tc>
          <w:tcPr>
            <w:tcW w:w="940" w:type="dxa"/>
            <w:vAlign w:val="bottom"/>
          </w:tcPr>
          <w:p>
            <w:pPr>
              <w:spacing w:after="0"/>
              <w:rPr>
                <w:sz w:val="15"/>
                <w:szCs w:val="15"/>
                <w:color w:val="auto"/>
              </w:rPr>
            </w:pPr>
          </w:p>
        </w:tc>
        <w:tc>
          <w:tcPr>
            <w:tcW w:w="3120" w:type="dxa"/>
            <w:vAlign w:val="bottom"/>
            <w:tcBorders>
              <w:bottom w:val="single" w:sz="8" w:color="0000EE"/>
            </w:tcBorders>
            <w:gridSpan w:val="2"/>
          </w:tcPr>
          <w:p>
            <w:pPr>
              <w:spacing w:after="0" w:line="183" w:lineRule="exact"/>
              <w:rPr>
                <w:rFonts w:ascii="Arial" w:cs="Arial" w:eastAsia="Arial" w:hAnsi="Arial"/>
                <w:sz w:val="16"/>
                <w:szCs w:val="16"/>
                <w:color w:val="0000FF"/>
                <w:w w:val="91"/>
              </w:rPr>
            </w:pPr>
            <w:hyperlink w:anchor="page145">
              <w:r>
                <w:rPr>
                  <w:rFonts w:ascii="Arial" w:cs="Arial" w:eastAsia="Arial" w:hAnsi="Arial"/>
                  <w:sz w:val="16"/>
                  <w:szCs w:val="16"/>
                  <w:color w:val="0000FF"/>
                  <w:w w:val="91"/>
                </w:rPr>
                <w:t>Section 302 of the Sarbanes-Oxley Act of 2002</w:t>
              </w:r>
              <w:r>
                <w:rPr>
                  <w:rFonts w:ascii="Arial" w:cs="Arial" w:eastAsia="Arial" w:hAnsi="Arial"/>
                  <w:sz w:val="16"/>
                  <w:szCs w:val="16"/>
                  <w:color w:val="0000EE"/>
                  <w:w w:val="91"/>
                </w:rPr>
                <w:t>.</w:t>
              </w:r>
            </w:hyperlink>
          </w:p>
        </w:tc>
        <w:tc>
          <w:tcPr>
            <w:tcW w:w="6920" w:type="dxa"/>
            <w:vAlign w:val="bottom"/>
            <w:gridSpan w:val="8"/>
          </w:tcPr>
          <w:p>
            <w:pPr>
              <w:spacing w:after="0"/>
              <w:rPr>
                <w:sz w:val="15"/>
                <w:szCs w:val="15"/>
                <w:color w:val="auto"/>
              </w:rPr>
            </w:pPr>
          </w:p>
        </w:tc>
      </w:tr>
      <w:tr>
        <w:trPr>
          <w:trHeight w:val="426"/>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31.2*</w:t>
            </w:r>
          </w:p>
        </w:tc>
        <w:tc>
          <w:tcPr>
            <w:tcW w:w="10040" w:type="dxa"/>
            <w:vAlign w:val="bottom"/>
            <w:gridSpan w:val="10"/>
          </w:tcPr>
          <w:p>
            <w:pPr>
              <w:spacing w:after="0"/>
              <w:rPr>
                <w:rFonts w:ascii="Arial" w:cs="Arial" w:eastAsia="Arial" w:hAnsi="Arial"/>
                <w:sz w:val="16"/>
                <w:szCs w:val="16"/>
                <w:color w:val="0000FF"/>
                <w:w w:val="92"/>
              </w:rPr>
            </w:pPr>
            <w:hyperlink w:anchor="page146">
              <w:r>
                <w:rPr>
                  <w:rFonts w:ascii="Arial" w:cs="Arial" w:eastAsia="Arial" w:hAnsi="Arial"/>
                  <w:sz w:val="16"/>
                  <w:szCs w:val="16"/>
                  <w:color w:val="0000FF"/>
                  <w:w w:val="92"/>
                </w:rPr>
                <w:t>Certification of Principal Financial Officer Pursuant to Rules 13a-14(a) and 15d-14(a) under the Securities Exchange Act of 1934, as Adopted Pursuant to</w:t>
              </w:r>
            </w:hyperlink>
          </w:p>
        </w:tc>
      </w:tr>
      <w:tr>
        <w:trPr>
          <w:trHeight w:val="183"/>
        </w:trPr>
        <w:tc>
          <w:tcPr>
            <w:tcW w:w="94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1"/>
              </w:rPr>
            </w:pPr>
            <w:hyperlink w:anchor="page146">
              <w:r>
                <w:rPr>
                  <w:rFonts w:ascii="Arial" w:cs="Arial" w:eastAsia="Arial" w:hAnsi="Arial"/>
                  <w:sz w:val="16"/>
                  <w:szCs w:val="16"/>
                  <w:color w:val="0000FF"/>
                  <w:w w:val="91"/>
                </w:rPr>
                <w:t>Section 302 of the Sarbanes-Oxley 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6840" w:type="dxa"/>
            <w:vAlign w:val="bottom"/>
            <w:tcBorders>
              <w:top w:val="single" w:sz="8" w:color="0000FF"/>
            </w:tcBorders>
            <w:gridSpan w:val="6"/>
          </w:tcPr>
          <w:p>
            <w:pPr>
              <w:spacing w:after="0"/>
              <w:rPr>
                <w:sz w:val="15"/>
                <w:szCs w:val="15"/>
                <w:color w:val="auto"/>
              </w:rPr>
            </w:pPr>
          </w:p>
        </w:tc>
        <w:tc>
          <w:tcPr>
            <w:tcW w:w="60" w:type="dxa"/>
            <w:vAlign w:val="bottom"/>
          </w:tcPr>
          <w:p>
            <w:pPr>
              <w:spacing w:after="0"/>
              <w:rPr>
                <w:sz w:val="15"/>
                <w:szCs w:val="15"/>
                <w:color w:val="auto"/>
              </w:rPr>
            </w:pPr>
          </w:p>
        </w:tc>
      </w:tr>
      <w:tr>
        <w:trPr>
          <w:trHeight w:val="460"/>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32.1*</w:t>
            </w:r>
          </w:p>
        </w:tc>
        <w:tc>
          <w:tcPr>
            <w:tcW w:w="10040" w:type="dxa"/>
            <w:vAlign w:val="bottom"/>
            <w:gridSpan w:val="10"/>
          </w:tcPr>
          <w:p>
            <w:pPr>
              <w:spacing w:after="0"/>
              <w:rPr>
                <w:rFonts w:ascii="Arial" w:cs="Arial" w:eastAsia="Arial" w:hAnsi="Arial"/>
                <w:sz w:val="16"/>
                <w:szCs w:val="16"/>
                <w:u w:val="single" w:color="auto"/>
                <w:color w:val="0000FF"/>
                <w:w w:val="93"/>
              </w:rPr>
            </w:pPr>
            <w:hyperlink w:anchor="page147">
              <w:r>
                <w:rPr>
                  <w:rFonts w:ascii="Arial" w:cs="Arial" w:eastAsia="Arial" w:hAnsi="Arial"/>
                  <w:sz w:val="16"/>
                  <w:szCs w:val="16"/>
                  <w:u w:val="single" w:color="auto"/>
                  <w:color w:val="0000FF"/>
                  <w:w w:val="93"/>
                </w:rPr>
                <w:t>Certification of Principal Executive Officer Pursuant to 18 U.S.C. Section 1350, as Adopted Pursuant to Section 906 of the Sarbanes-Oxley Act of 2002</w:t>
              </w:r>
              <w:r>
                <w:rPr>
                  <w:rFonts w:ascii="Arial" w:cs="Arial" w:eastAsia="Arial" w:hAnsi="Arial"/>
                  <w:sz w:val="16"/>
                  <w:szCs w:val="16"/>
                  <w:u w:val="single" w:color="auto"/>
                  <w:color w:val="0000EE"/>
                  <w:w w:val="93"/>
                </w:rPr>
                <w:t>.</w:t>
              </w:r>
            </w:hyperlink>
          </w:p>
        </w:tc>
      </w:tr>
      <w:tr>
        <w:trPr>
          <w:trHeight w:val="459"/>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6"/>
              </w:rPr>
              <w:t>32.2*</w:t>
            </w:r>
          </w:p>
        </w:tc>
        <w:tc>
          <w:tcPr>
            <w:tcW w:w="10040" w:type="dxa"/>
            <w:vAlign w:val="bottom"/>
            <w:gridSpan w:val="10"/>
          </w:tcPr>
          <w:p>
            <w:pPr>
              <w:spacing w:after="0"/>
              <w:rPr>
                <w:rFonts w:ascii="Arial" w:cs="Arial" w:eastAsia="Arial" w:hAnsi="Arial"/>
                <w:sz w:val="16"/>
                <w:szCs w:val="16"/>
                <w:u w:val="single" w:color="auto"/>
                <w:color w:val="0000FF"/>
                <w:w w:val="94"/>
              </w:rPr>
            </w:pPr>
            <w:hyperlink w:anchor="page148">
              <w:r>
                <w:rPr>
                  <w:rFonts w:ascii="Arial" w:cs="Arial" w:eastAsia="Arial" w:hAnsi="Arial"/>
                  <w:sz w:val="16"/>
                  <w:szCs w:val="16"/>
                  <w:u w:val="single" w:color="auto"/>
                  <w:color w:val="0000FF"/>
                  <w:w w:val="94"/>
                </w:rPr>
                <w:t>Certification of Principal Financial Officer Pursuant to 18 U.S.C. Section 1350, as Adopted Pursuant to Section 906 of the Sarbanes-Oxley Act of 2002.</w:t>
              </w:r>
            </w:hyperlink>
          </w:p>
        </w:tc>
      </w:tr>
      <w:tr>
        <w:trPr>
          <w:trHeight w:val="459"/>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3"/>
              </w:rPr>
              <w:t>101.INS</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Instance Document</w:t>
            </w:r>
          </w:p>
        </w:tc>
      </w:tr>
      <w:tr>
        <w:trPr>
          <w:trHeight w:val="459"/>
        </w:trPr>
        <w:tc>
          <w:tcPr>
            <w:tcW w:w="940" w:type="dxa"/>
            <w:vAlign w:val="bottom"/>
          </w:tcPr>
          <w:p>
            <w:pPr>
              <w:jc w:val="center"/>
              <w:ind w:right="259"/>
              <w:spacing w:after="0"/>
              <w:rPr>
                <w:sz w:val="20"/>
                <w:szCs w:val="20"/>
                <w:color w:val="auto"/>
              </w:rPr>
            </w:pPr>
            <w:r>
              <w:rPr>
                <w:rFonts w:ascii="Arial" w:cs="Arial" w:eastAsia="Arial" w:hAnsi="Arial"/>
                <w:sz w:val="16"/>
                <w:szCs w:val="16"/>
                <w:color w:val="auto"/>
                <w:w w:val="92"/>
              </w:rPr>
              <w:t>101.SCH</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59"/>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9"/>
              </w:rPr>
              <w:t>101.CAL</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59"/>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1"/>
              </w:rPr>
              <w:t>101.DEF</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59"/>
        </w:trPr>
        <w:tc>
          <w:tcPr>
            <w:tcW w:w="940" w:type="dxa"/>
            <w:vAlign w:val="bottom"/>
          </w:tcPr>
          <w:p>
            <w:pPr>
              <w:jc w:val="center"/>
              <w:ind w:right="239"/>
              <w:spacing w:after="0"/>
              <w:rPr>
                <w:sz w:val="20"/>
                <w:szCs w:val="20"/>
                <w:color w:val="auto"/>
              </w:rPr>
            </w:pPr>
            <w:r>
              <w:rPr>
                <w:rFonts w:ascii="Arial" w:cs="Arial" w:eastAsia="Arial" w:hAnsi="Arial"/>
                <w:sz w:val="16"/>
                <w:szCs w:val="16"/>
                <w:color w:val="auto"/>
              </w:rPr>
              <w:t>101.LAB</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59"/>
        </w:trPr>
        <w:tc>
          <w:tcPr>
            <w:tcW w:w="940" w:type="dxa"/>
            <w:vAlign w:val="bottom"/>
          </w:tcPr>
          <w:p>
            <w:pPr>
              <w:jc w:val="center"/>
              <w:ind w:right="239"/>
              <w:spacing w:after="0"/>
              <w:rPr>
                <w:sz w:val="20"/>
                <w:szCs w:val="20"/>
                <w:color w:val="auto"/>
              </w:rPr>
            </w:pPr>
            <w:r>
              <w:rPr>
                <w:rFonts w:ascii="Arial" w:cs="Arial" w:eastAsia="Arial" w:hAnsi="Arial"/>
                <w:sz w:val="16"/>
                <w:szCs w:val="16"/>
                <w:color w:val="auto"/>
                <w:w w:val="90"/>
              </w:rPr>
              <w:t>101.PRE</w:t>
            </w:r>
          </w:p>
        </w:tc>
        <w:tc>
          <w:tcPr>
            <w:tcW w:w="1004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680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-4864735</wp:posOffset>
            </wp:positionV>
            <wp:extent cx="26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4" w:lineRule="exact"/>
        <w:rPr>
          <w:sz w:val="20"/>
          <w:szCs w:val="20"/>
          <w:color w:val="auto"/>
        </w:rPr>
      </w:pPr>
    </w:p>
    <w:p>
      <w:pPr>
        <w:ind w:left="692" w:hanging="692"/>
        <w:spacing w:after="0"/>
        <w:tabs>
          <w:tab w:leader="none" w:pos="6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692" w:hanging="692"/>
        <w:spacing w:after="0" w:line="207" w:lineRule="exact"/>
        <w:tabs>
          <w:tab w:leader="none" w:pos="6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Registration No. 333</w:t>
      </w:r>
      <w:r>
        <w:rPr>
          <w:rFonts w:ascii="MS PGothic" w:cs="MS PGothic" w:eastAsia="MS PGothic" w:hAnsi="MS PGothic"/>
          <w:sz w:val="18"/>
          <w:szCs w:val="18"/>
          <w:color w:val="auto"/>
        </w:rPr>
        <w:t>‑</w:t>
      </w:r>
      <w:r>
        <w:rPr>
          <w:rFonts w:ascii="Arial" w:cs="Arial" w:eastAsia="Arial" w:hAnsi="Arial"/>
          <w:sz w:val="18"/>
          <w:szCs w:val="18"/>
          <w:color w:val="auto"/>
        </w:rPr>
        <w:t>228863.</w:t>
      </w:r>
    </w:p>
    <w:p>
      <w:pPr>
        <w:spacing w:after="0" w:line="23" w:lineRule="exact"/>
        <w:rPr>
          <w:rFonts w:ascii="Arial" w:cs="Arial" w:eastAsia="Arial" w:hAnsi="Arial"/>
          <w:sz w:val="18"/>
          <w:szCs w:val="18"/>
          <w:color w:val="auto"/>
        </w:rPr>
      </w:pPr>
    </w:p>
    <w:p>
      <w:pPr>
        <w:ind w:left="692" w:right="40" w:hanging="692"/>
        <w:spacing w:after="0" w:line="250" w:lineRule="auto"/>
        <w:tabs>
          <w:tab w:leader="none" w:pos="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June 30, 2019 as filed with the Commission on August 14, 2019.</w:t>
      </w:r>
    </w:p>
    <w:p>
      <w:pPr>
        <w:ind w:left="692" w:right="20" w:hanging="692"/>
        <w:spacing w:after="0" w:line="250"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period ended December 31, 2018 as filed with the Commission on March 28, 2019.</w:t>
      </w:r>
    </w:p>
    <w:p>
      <w:pPr>
        <w:ind w:left="692" w:hanging="692"/>
        <w:spacing w:after="0"/>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Commission on March 27, 2020.</w:t>
      </w:r>
    </w:p>
    <w:p>
      <w:pPr>
        <w:spacing w:after="0" w:line="9" w:lineRule="exact"/>
        <w:rPr>
          <w:sz w:val="20"/>
          <w:szCs w:val="20"/>
          <w:color w:val="auto"/>
        </w:rPr>
      </w:pPr>
    </w:p>
    <w:p>
      <w:pPr>
        <w:ind w:left="692" w:hanging="692"/>
        <w:spacing w:after="0"/>
        <w:tabs>
          <w:tab w:leader="none" w:pos="692" w:val="left"/>
        </w:tabs>
        <w:numPr>
          <w:ilvl w:val="0"/>
          <w:numId w:val="53"/>
        </w:numPr>
        <w:rPr>
          <w:rFonts w:ascii="Arial" w:cs="Arial" w:eastAsia="Arial" w:hAnsi="Arial"/>
          <w:sz w:val="16"/>
          <w:szCs w:val="16"/>
          <w:color w:val="auto"/>
        </w:rPr>
      </w:pPr>
      <w:r>
        <w:rPr>
          <w:rFonts w:ascii="Arial" w:cs="Arial" w:eastAsia="Arial" w:hAnsi="Arial"/>
          <w:sz w:val="18"/>
          <w:szCs w:val="18"/>
          <w:color w:val="auto"/>
        </w:rPr>
        <w:t>Indicates management agreement</w:t>
      </w:r>
    </w:p>
    <w:p>
      <w:pPr>
        <w:spacing w:after="0" w:line="23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77" w:right="3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electroCore, Inc.</w:t>
            </w:r>
          </w:p>
        </w:tc>
        <w:tc>
          <w:tcPr>
            <w:tcW w:w="450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March 11, 2021</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DANIEL S. GOLDBERGER</w:t>
            </w:r>
          </w:p>
        </w:tc>
      </w:tr>
      <w:tr>
        <w:trPr>
          <w:trHeight w:val="228"/>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0"/>
              </w:rPr>
              <w:t>Daniel S. Goldberger</w:t>
            </w:r>
          </w:p>
        </w:tc>
      </w:tr>
      <w:tr>
        <w:trPr>
          <w:trHeight w:val="233"/>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March 11, 2021</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BRIAN M. POSNER</w:t>
            </w:r>
          </w:p>
        </w:tc>
      </w:tr>
      <w:tr>
        <w:trPr>
          <w:trHeight w:val="198"/>
        </w:trPr>
        <w:tc>
          <w:tcPr>
            <w:tcW w:w="3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610"/>
              <w:spacing w:after="0" w:line="198" w:lineRule="exact"/>
              <w:rPr>
                <w:sz w:val="20"/>
                <w:szCs w:val="20"/>
                <w:color w:val="auto"/>
              </w:rPr>
            </w:pPr>
            <w:r>
              <w:rPr>
                <w:rFonts w:ascii="Arial" w:cs="Arial" w:eastAsia="Arial" w:hAnsi="Arial"/>
                <w:sz w:val="18"/>
                <w:szCs w:val="18"/>
                <w:b w:val="1"/>
                <w:bCs w:val="1"/>
                <w:color w:val="auto"/>
                <w:w w:val="93"/>
              </w:rPr>
              <w:t>Brian M. Posner</w:t>
            </w:r>
          </w:p>
        </w:tc>
      </w:tr>
      <w:tr>
        <w:trPr>
          <w:trHeight w:val="216"/>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680"/>
        <w:spacing w:after="0"/>
        <w:tabs>
          <w:tab w:leader="none" w:pos="616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G. Atieh</w:t>
            </w:r>
          </w:p>
        </w:tc>
        <w:tc>
          <w:tcPr>
            <w:tcW w:w="4260" w:type="dxa"/>
            <w:vAlign w:val="bottom"/>
          </w:tcPr>
          <w:p>
            <w:pPr>
              <w:jc w:val="center"/>
              <w:ind w:left="830"/>
              <w:spacing w:after="0"/>
              <w:rPr>
                <w:sz w:val="20"/>
                <w:szCs w:val="20"/>
                <w:color w:val="auto"/>
              </w:rPr>
            </w:pPr>
            <w:r>
              <w:rPr>
                <w:rFonts w:ascii="Arial" w:cs="Arial" w:eastAsia="Arial" w:hAnsi="Arial"/>
                <w:sz w:val="18"/>
                <w:szCs w:val="18"/>
                <w:color w:val="auto"/>
                <w:w w:val="91"/>
              </w:rPr>
              <w:t>Chairman of the Board</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G. Atieh</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Goldberger</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Daniel S. Goldberger</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Gandolfo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John Gandolfo</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P. Errico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Joseph P. Errico</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Patton</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Thomas Patton</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J. Errico,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Thomas J. Errico, M.D.</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Trevor J. Moody</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Trevor J. Moody</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L. Ondra,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Stephen L. Ondra, M.D.</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Cuneo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Peter Cuneo</w:t>
            </w:r>
          </w:p>
        </w:tc>
        <w:tc>
          <w:tcPr>
            <w:tcW w:w="42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664"/>
        </w:trPr>
        <w:tc>
          <w:tcPr>
            <w:tcW w:w="3720" w:type="dxa"/>
            <w:vAlign w:val="bottom"/>
          </w:tcPr>
          <w:p>
            <w:pPr>
              <w:spacing w:after="0"/>
              <w:rPr>
                <w:sz w:val="24"/>
                <w:szCs w:val="24"/>
                <w:color w:val="auto"/>
              </w:rPr>
            </w:pPr>
          </w:p>
        </w:tc>
        <w:tc>
          <w:tcPr>
            <w:tcW w:w="4260" w:type="dxa"/>
            <w:vAlign w:val="bottom"/>
          </w:tcPr>
          <w:p>
            <w:pPr>
              <w:jc w:val="right"/>
              <w:ind w:right="2170"/>
              <w:spacing w:after="0"/>
              <w:rPr>
                <w:sz w:val="20"/>
                <w:szCs w:val="20"/>
                <w:color w:val="auto"/>
              </w:rPr>
            </w:pPr>
            <w:r>
              <w:rPr>
                <w:rFonts w:ascii="Arial" w:cs="Arial" w:eastAsia="Arial" w:hAnsi="Arial"/>
                <w:sz w:val="18"/>
                <w:szCs w:val="18"/>
                <w:color w:val="auto"/>
              </w:rPr>
              <w:t>95</w:t>
            </w:r>
          </w:p>
        </w:tc>
        <w:tc>
          <w:tcPr>
            <w:tcW w:w="3260" w:type="dxa"/>
            <w:vAlign w:val="bottom"/>
          </w:tcPr>
          <w:p>
            <w:pPr>
              <w:spacing w:after="0"/>
              <w:rPr>
                <w:sz w:val="24"/>
                <w:szCs w:val="24"/>
                <w:color w:val="auto"/>
              </w:rPr>
            </w:pPr>
          </w:p>
        </w:tc>
      </w:tr>
      <w:tr>
        <w:trPr>
          <w:trHeight w:val="128"/>
        </w:trPr>
        <w:tc>
          <w:tcPr>
            <w:tcW w:w="372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932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920" w:type="dxa"/>
            <w:vAlign w:val="bottom"/>
          </w:tcPr>
          <w:p>
            <w:pPr>
              <w:spacing w:after="0"/>
              <w:rPr>
                <w:sz w:val="20"/>
                <w:szCs w:val="20"/>
                <w:color w:val="auto"/>
              </w:rPr>
            </w:pPr>
          </w:p>
        </w:tc>
      </w:tr>
      <w:tr>
        <w:trPr>
          <w:trHeight w:val="459"/>
        </w:trPr>
        <w:tc>
          <w:tcPr>
            <w:tcW w:w="9320" w:type="dxa"/>
            <w:vAlign w:val="bottom"/>
          </w:tcPr>
          <w:p>
            <w:pPr>
              <w:ind w:left="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Reports of Independent Registered Public Accounting Firms</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F-2</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Balance Sheets as of December 31, 2020 and 2019</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F-4</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Operations for the Years ended December 31, 2020 and 2019</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F-5</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Consolidated Statements of Comprehensive Loss for the Years ended December 31, 2020 and 2019</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F-6</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Equity for the Years ended December 31, 2020 and 2019</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F-7</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Consolidated Statements of Cash Flows for the Years ended December 31, 2020 and 2019</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F-8</w:t>
            </w:r>
          </w:p>
        </w:tc>
      </w:tr>
      <w:tr>
        <w:trPr>
          <w:trHeight w:val="513"/>
        </w:trPr>
        <w:tc>
          <w:tcPr>
            <w:tcW w:w="9320" w:type="dxa"/>
            <w:vAlign w:val="bottom"/>
          </w:tcPr>
          <w:p>
            <w:pPr>
              <w:ind w:left="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Notes to Consolidated Financial Statements</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F-9</w:t>
            </w:r>
          </w:p>
        </w:tc>
      </w:tr>
      <w:tr>
        <w:trPr>
          <w:trHeight w:val="500"/>
        </w:trPr>
        <w:tc>
          <w:tcPr>
            <w:tcW w:w="9320" w:type="dxa"/>
            <w:vAlign w:val="bottom"/>
          </w:tcPr>
          <w:p>
            <w:pPr>
              <w:ind w:left="5520"/>
              <w:spacing w:after="0"/>
              <w:rPr>
                <w:sz w:val="20"/>
                <w:szCs w:val="20"/>
                <w:color w:val="auto"/>
              </w:rPr>
            </w:pPr>
            <w:r>
              <w:rPr>
                <w:rFonts w:ascii="Arial" w:cs="Arial" w:eastAsia="Arial" w:hAnsi="Arial"/>
                <w:sz w:val="18"/>
                <w:szCs w:val="18"/>
                <w:color w:val="auto"/>
              </w:rPr>
              <w:t>F-1</w:t>
            </w:r>
          </w:p>
        </w:tc>
        <w:tc>
          <w:tcPr>
            <w:tcW w:w="1920" w:type="dxa"/>
            <w:vAlign w:val="bottom"/>
          </w:tcPr>
          <w:p>
            <w:pPr>
              <w:spacing w:after="0"/>
              <w:rPr>
                <w:sz w:val="24"/>
                <w:szCs w:val="24"/>
                <w:color w:val="auto"/>
              </w:rPr>
            </w:pPr>
          </w:p>
        </w:tc>
      </w:tr>
      <w:tr>
        <w:trPr>
          <w:trHeight w:val="128"/>
        </w:trPr>
        <w:tc>
          <w:tcPr>
            <w:tcW w:w="93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ind w:left="1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electroCore, Inc., Subsidiaries and Affiliate (the “Company”) as of December 31, 2020, the related consolidated statements of operations, comprehensive loss, equity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more fully described in Note 3, the Company has incurred recurring losses and needs to raise additional funds to meet its obligations and sustain its operations. These conditions raise substantial doubt about the Company's ability to continue as a going concern. Management's plans in regard to these matters are also described in Note 3. The consolidated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ind w:left="4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balance sheet of electroCore, Inc., Subsidiaries and Affiliate (the Company) as of December 31, 2019, the related consolidated statements of operations, comprehensive loss, equity, and cash flows for the year ended December 31, 2019, and the related notes (collectively, the consolidated financial statements). In our opinion, the consolidated financial statements present fairly, in all material respects, the financial position of the Company as of December 31, 2019, and the results of its operations and its cash flows for the year ended December 31, 2019,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3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3. The consolidated financial statements do not include any adjustments that might result from the outcome of this uncertainty.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2015 to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920" w:type="dxa"/>
            <w:vAlign w:val="bottom"/>
          </w:tcPr>
          <w:p>
            <w:pPr>
              <w:ind w:left="3280"/>
              <w:spacing w:after="0"/>
              <w:rPr>
                <w:sz w:val="20"/>
                <w:szCs w:val="20"/>
                <w:color w:val="auto"/>
              </w:rPr>
            </w:pPr>
            <w:r>
              <w:rPr>
                <w:rFonts w:ascii="Arial" w:cs="Arial" w:eastAsia="Arial" w:hAnsi="Arial"/>
                <w:sz w:val="18"/>
                <w:szCs w:val="18"/>
                <w:b w:val="1"/>
                <w:bCs w:val="1"/>
                <w:color w:val="auto"/>
              </w:rPr>
              <w:t>ELECTROCORE, INC., SUBSIDIARIES AND AFFILIATE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920" w:type="dxa"/>
            <w:vAlign w:val="bottom"/>
          </w:tcPr>
          <w:p>
            <w:pPr>
              <w:ind w:left="452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8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9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23"/>
        </w:trPr>
        <w:tc>
          <w:tcPr>
            <w:tcW w:w="8920" w:type="dxa"/>
            <w:vAlign w:val="bottom"/>
            <w:shd w:val="clear" w:color="auto" w:fill="CCEEFF"/>
          </w:tcPr>
          <w:p>
            <w:pPr>
              <w:ind w:left="41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4,241,937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13,563,791</w:t>
            </w:r>
          </w:p>
        </w:tc>
        <w:tc>
          <w:tcPr>
            <w:tcW w:w="60" w:type="dxa"/>
            <w:vAlign w:val="bottom"/>
            <w:shd w:val="clear" w:color="auto" w:fill="CCEEFF"/>
          </w:tcPr>
          <w:p>
            <w:pPr>
              <w:spacing w:after="0"/>
              <w:rPr>
                <w:sz w:val="19"/>
                <w:szCs w:val="19"/>
                <w:color w:val="auto"/>
              </w:rPr>
            </w:pPr>
          </w:p>
        </w:tc>
      </w:tr>
      <w:tr>
        <w:trPr>
          <w:trHeight w:val="229"/>
        </w:trPr>
        <w:tc>
          <w:tcPr>
            <w:tcW w:w="89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18,386,160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10,495,350</w:t>
            </w: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496,140</w:t>
            </w:r>
          </w:p>
        </w:tc>
        <w:tc>
          <w:tcPr>
            <w:tcW w:w="60" w:type="dxa"/>
            <w:vAlign w:val="bottom"/>
            <w:shd w:val="clear" w:color="auto" w:fill="CCEEFF"/>
          </w:tcPr>
          <w:p>
            <w:pPr>
              <w:spacing w:after="0"/>
              <w:rPr>
                <w:sz w:val="19"/>
                <w:szCs w:val="19"/>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876,436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890,992</w:t>
            </w: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1,087,111</w:t>
            </w:r>
          </w:p>
        </w:tc>
        <w:tc>
          <w:tcPr>
            <w:tcW w:w="60" w:type="dxa"/>
            <w:vAlign w:val="bottom"/>
            <w:shd w:val="clear" w:color="auto" w:fill="CCEEFF"/>
          </w:tcPr>
          <w:p>
            <w:pPr>
              <w:spacing w:after="0"/>
              <w:rPr>
                <w:sz w:val="19"/>
                <w:szCs w:val="19"/>
                <w:color w:val="auto"/>
              </w:rPr>
            </w:pPr>
          </w:p>
        </w:tc>
      </w:tr>
      <w:tr>
        <w:trPr>
          <w:trHeight w:val="223"/>
        </w:trPr>
        <w:tc>
          <w:tcPr>
            <w:tcW w:w="89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25,063,667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26,533,384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Inventories, noncurrent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4,865,181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6,020,180</w:t>
            </w: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345,236</w:t>
            </w:r>
          </w:p>
        </w:tc>
        <w:tc>
          <w:tcPr>
            <w:tcW w:w="60" w:type="dxa"/>
            <w:vAlign w:val="bottom"/>
            <w:shd w:val="clear" w:color="auto" w:fill="CCEEFF"/>
          </w:tcPr>
          <w:p>
            <w:pPr>
              <w:spacing w:after="0"/>
              <w:rPr>
                <w:sz w:val="19"/>
                <w:szCs w:val="19"/>
                <w:color w:val="auto"/>
              </w:rPr>
            </w:pPr>
          </w:p>
        </w:tc>
      </w:tr>
      <w:tr>
        <w:trPr>
          <w:trHeight w:val="229"/>
        </w:trPr>
        <w:tc>
          <w:tcPr>
            <w:tcW w:w="8920" w:type="dxa"/>
            <w:vAlign w:val="bottom"/>
          </w:tcPr>
          <w:p>
            <w:pPr>
              <w:ind w:left="260"/>
              <w:spacing w:after="0"/>
              <w:rPr>
                <w:sz w:val="20"/>
                <w:szCs w:val="20"/>
                <w:color w:val="auto"/>
              </w:rPr>
            </w:pPr>
            <w:r>
              <w:rPr>
                <w:rFonts w:ascii="Arial" w:cs="Arial" w:eastAsia="Arial" w:hAnsi="Arial"/>
                <w:sz w:val="18"/>
                <w:szCs w:val="18"/>
                <w:color w:val="auto"/>
              </w:rPr>
              <w:t>Operating lease right of use assets, net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517,257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1,430,641</w:t>
            </w:r>
          </w:p>
        </w:tc>
        <w:tc>
          <w:tcPr>
            <w:tcW w:w="60" w:type="dxa"/>
            <w:vAlign w:val="bottom"/>
          </w:tcPr>
          <w:p>
            <w:pPr>
              <w:spacing w:after="0"/>
              <w:rPr>
                <w:sz w:val="19"/>
                <w:szCs w:val="19"/>
                <w:color w:val="auto"/>
              </w:rPr>
            </w:pPr>
          </w:p>
        </w:tc>
      </w:tr>
      <w:tr>
        <w:trPr>
          <w:trHeight w:val="230"/>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828,011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1,132,238</w:t>
            </w:r>
          </w:p>
        </w:tc>
        <w:tc>
          <w:tcPr>
            <w:tcW w:w="60" w:type="dxa"/>
            <w:vAlign w:val="bottom"/>
            <w:shd w:val="clear" w:color="auto" w:fill="CCEEFF"/>
          </w:tcPr>
          <w:p>
            <w:pPr>
              <w:spacing w:after="0"/>
              <w:rPr>
                <w:sz w:val="19"/>
                <w:szCs w:val="19"/>
                <w:color w:val="auto"/>
              </w:rPr>
            </w:pPr>
          </w:p>
        </w:tc>
      </w:tr>
      <w:tr>
        <w:trPr>
          <w:trHeight w:val="263"/>
        </w:trPr>
        <w:tc>
          <w:tcPr>
            <w:tcW w:w="89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31,518,163</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35,461,679</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10"/>
        </w:trPr>
        <w:tc>
          <w:tcPr>
            <w:tcW w:w="892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2,078,699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5,208,979</w:t>
            </w:r>
          </w:p>
        </w:tc>
        <w:tc>
          <w:tcPr>
            <w:tcW w:w="60" w:type="dxa"/>
            <w:vAlign w:val="bottom"/>
            <w:shd w:val="clear" w:color="auto" w:fill="CCEEFF"/>
          </w:tcPr>
          <w:p>
            <w:pPr>
              <w:spacing w:after="0"/>
              <w:rPr>
                <w:sz w:val="19"/>
                <w:szCs w:val="19"/>
                <w:color w:val="auto"/>
              </w:rPr>
            </w:pPr>
          </w:p>
        </w:tc>
      </w:tr>
      <w:tr>
        <w:trPr>
          <w:trHeight w:val="229"/>
        </w:trPr>
        <w:tc>
          <w:tcPr>
            <w:tcW w:w="89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2,800,820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3,337,379</w:t>
            </w:r>
          </w:p>
        </w:tc>
        <w:tc>
          <w:tcPr>
            <w:tcW w:w="60" w:type="dxa"/>
            <w:vAlign w:val="bottom"/>
          </w:tcPr>
          <w:p>
            <w:pPr>
              <w:spacing w:after="0"/>
              <w:rPr>
                <w:sz w:val="19"/>
                <w:szCs w:val="19"/>
                <w:color w:val="auto"/>
              </w:rPr>
            </w:pPr>
          </w:p>
        </w:tc>
      </w:tr>
      <w:tr>
        <w:trPr>
          <w:trHeight w:val="230"/>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payable, current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111,878</w:t>
            </w:r>
          </w:p>
        </w:tc>
        <w:tc>
          <w:tcPr>
            <w:tcW w:w="60" w:type="dxa"/>
            <w:vAlign w:val="bottom"/>
            <w:shd w:val="clear" w:color="auto" w:fill="CCEEFF"/>
          </w:tcPr>
          <w:p>
            <w:pPr>
              <w:spacing w:after="0"/>
              <w:rPr>
                <w:sz w:val="19"/>
                <w:szCs w:val="19"/>
                <w:color w:val="auto"/>
              </w:rPr>
            </w:pPr>
          </w:p>
        </w:tc>
      </w:tr>
      <w:tr>
        <w:trPr>
          <w:trHeight w:val="229"/>
        </w:trPr>
        <w:tc>
          <w:tcPr>
            <w:tcW w:w="892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534,547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486,445</w:t>
            </w:r>
          </w:p>
        </w:tc>
        <w:tc>
          <w:tcPr>
            <w:tcW w:w="60" w:type="dxa"/>
            <w:vAlign w:val="bottom"/>
          </w:tcPr>
          <w:p>
            <w:pPr>
              <w:spacing w:after="0"/>
              <w:rPr>
                <w:sz w:val="19"/>
                <w:szCs w:val="19"/>
                <w:color w:val="auto"/>
              </w:rPr>
            </w:pPr>
          </w:p>
        </w:tc>
      </w:tr>
      <w:tr>
        <w:trPr>
          <w:trHeight w:val="223"/>
        </w:trPr>
        <w:tc>
          <w:tcPr>
            <w:tcW w:w="89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5,890,302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9,144,681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Note payable, noncurrent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1,097,946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1,419,880</w:t>
            </w:r>
          </w:p>
        </w:tc>
        <w:tc>
          <w:tcPr>
            <w:tcW w:w="60" w:type="dxa"/>
            <w:vAlign w:val="bottom"/>
            <w:shd w:val="clear" w:color="auto" w:fill="CCEEFF"/>
          </w:tcPr>
          <w:p>
            <w:pPr>
              <w:spacing w:after="0"/>
              <w:rPr>
                <w:sz w:val="19"/>
                <w:szCs w:val="19"/>
                <w:color w:val="auto"/>
              </w:rPr>
            </w:pPr>
          </w:p>
        </w:tc>
      </w:tr>
      <w:tr>
        <w:trPr>
          <w:trHeight w:val="223"/>
        </w:trPr>
        <w:tc>
          <w:tcPr>
            <w:tcW w:w="89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7,873,581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10,564,561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23"/>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5"/>
        </w:trPr>
        <w:tc>
          <w:tcPr>
            <w:tcW w:w="8920" w:type="dxa"/>
            <w:vAlign w:val="bottom"/>
          </w:tcPr>
          <w:p>
            <w:pPr>
              <w:ind w:left="260"/>
              <w:spacing w:after="0"/>
              <w:rPr>
                <w:sz w:val="20"/>
                <w:szCs w:val="20"/>
                <w:color w:val="auto"/>
              </w:rPr>
            </w:pPr>
            <w:r>
              <w:rPr>
                <w:rFonts w:ascii="Arial" w:cs="Arial" w:eastAsia="Arial" w:hAnsi="Arial"/>
                <w:sz w:val="18"/>
                <w:szCs w:val="18"/>
                <w:color w:val="auto"/>
                <w:w w:val="92"/>
              </w:rPr>
              <w:t>Preferred Stock, par value $0.001 per share; 10,000,000 shares authorized at December 31, 2020 and December 31,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2019; 0 shares issued and outstanding at December 31, 2020 and December 31, 2019</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Common Stock, par value $0.001 per share; 500,000,000 shares authorized at December 31, 2020 and December 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2019; 45,559,765 shares issued and outstanding at December 31, 2020, and 29,835,183 shares issued and outstanding</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 December 31, 2019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29,835</w:t>
            </w:r>
          </w:p>
        </w:tc>
        <w:tc>
          <w:tcPr>
            <w:tcW w:w="60" w:type="dxa"/>
            <w:vAlign w:val="bottom"/>
            <w:shd w:val="clear" w:color="auto" w:fill="CCEEFF"/>
          </w:tcPr>
          <w:p>
            <w:pPr>
              <w:spacing w:after="0"/>
              <w:rPr>
                <w:sz w:val="20"/>
                <w:szCs w:val="20"/>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130,205,027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107,752,066</w:t>
            </w:r>
          </w:p>
        </w:tc>
        <w:tc>
          <w:tcPr>
            <w:tcW w:w="60" w:type="dxa"/>
            <w:vAlign w:val="bottom"/>
          </w:tcPr>
          <w:p>
            <w:pPr>
              <w:spacing w:after="0"/>
              <w:rPr>
                <w:sz w:val="19"/>
                <w:szCs w:val="19"/>
                <w:color w:val="auto"/>
              </w:rPr>
            </w:pPr>
          </w:p>
        </w:tc>
      </w:tr>
      <w:tr>
        <w:trPr>
          <w:trHeight w:val="229"/>
        </w:trPr>
        <w:tc>
          <w:tcPr>
            <w:tcW w:w="8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(106,990,148)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(83,479,098)</w:t>
            </w: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(251,467)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(41,295)</w:t>
            </w:r>
          </w:p>
        </w:tc>
      </w:tr>
      <w:tr>
        <w:trPr>
          <w:trHeight w:val="223"/>
        </w:trPr>
        <w:tc>
          <w:tcPr>
            <w:tcW w:w="89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23,008,972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24,261,508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8920" w:type="dxa"/>
            <w:vAlign w:val="bottom"/>
          </w:tcPr>
          <w:p>
            <w:pPr>
              <w:ind w:left="26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635,610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635,610</w:t>
            </w:r>
          </w:p>
        </w:tc>
        <w:tc>
          <w:tcPr>
            <w:tcW w:w="60" w:type="dxa"/>
            <w:vAlign w:val="bottom"/>
          </w:tcPr>
          <w:p>
            <w:pPr>
              <w:spacing w:after="0"/>
              <w:rPr>
                <w:sz w:val="19"/>
                <w:szCs w:val="19"/>
                <w:color w:val="auto"/>
              </w:rPr>
            </w:pPr>
          </w:p>
        </w:tc>
      </w:tr>
      <w:tr>
        <w:trPr>
          <w:trHeight w:val="223"/>
        </w:trPr>
        <w:tc>
          <w:tcPr>
            <w:tcW w:w="89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23,644,582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24,897,118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23"/>
        </w:trPr>
        <w:tc>
          <w:tcPr>
            <w:tcW w:w="8920" w:type="dxa"/>
            <w:vAlign w:val="bottom"/>
          </w:tcPr>
          <w:p>
            <w:pPr>
              <w:ind w:left="7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31,518,163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35,461,679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w w:val="98"/>
              </w:rPr>
              <w:t>Years ended December 31,</w:t>
            </w:r>
          </w:p>
        </w:tc>
      </w:tr>
      <w:tr>
        <w:trPr>
          <w:trHeight w:val="209"/>
        </w:trPr>
        <w:tc>
          <w:tcPr>
            <w:tcW w:w="74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r>
      <w:tr>
        <w:trPr>
          <w:trHeight w:val="22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2,390,279</w:t>
            </w:r>
          </w:p>
        </w:tc>
        <w:tc>
          <w:tcPr>
            <w:tcW w:w="80" w:type="dxa"/>
            <w:vAlign w:val="bottom"/>
            <w:shd w:val="clear" w:color="auto" w:fill="CCEEFF"/>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Cost of goods sold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1,737,539</w:t>
            </w:r>
          </w:p>
        </w:tc>
        <w:tc>
          <w:tcPr>
            <w:tcW w:w="10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1,156,957</w:t>
            </w:r>
          </w:p>
        </w:tc>
      </w:tr>
      <w:tr>
        <w:trPr>
          <w:trHeight w:val="223"/>
        </w:trPr>
        <w:tc>
          <w:tcPr>
            <w:tcW w:w="74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1,758,293</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1,233,322</w:t>
            </w: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4,201,279</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9,902,254</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21,840,919</w:t>
            </w:r>
          </w:p>
        </w:tc>
        <w:tc>
          <w:tcPr>
            <w:tcW w:w="10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35,422,301</w:t>
            </w: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464,606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1,997,292</w:t>
            </w:r>
          </w:p>
        </w:tc>
      </w:tr>
      <w:tr>
        <w:trPr>
          <w:trHeight w:val="223"/>
        </w:trPr>
        <w:tc>
          <w:tcPr>
            <w:tcW w:w="7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16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26,506,804</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47,321,847</w:t>
            </w:r>
          </w:p>
        </w:tc>
        <w:tc>
          <w:tcPr>
            <w:tcW w:w="80" w:type="dxa"/>
            <w:vAlign w:val="bottom"/>
            <w:tcBorders>
              <w:bottom w:val="single" w:sz="8" w:color="CCEEFF"/>
            </w:tcBorders>
          </w:tcPr>
          <w:p>
            <w:pPr>
              <w:spacing w:after="0"/>
              <w:rPr>
                <w:sz w:val="19"/>
                <w:szCs w:val="19"/>
                <w:color w:val="auto"/>
              </w:rPr>
            </w:pPr>
          </w:p>
        </w:tc>
      </w:tr>
      <w:tr>
        <w:trPr>
          <w:trHeight w:val="223"/>
        </w:trPr>
        <w:tc>
          <w:tcPr>
            <w:tcW w:w="7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(24,748,511)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(46,088,525)</w:t>
            </w:r>
          </w:p>
        </w:tc>
        <w:tc>
          <w:tcPr>
            <w:tcW w:w="80" w:type="dxa"/>
            <w:vAlign w:val="bottom"/>
            <w:shd w:val="clear" w:color="auto" w:fill="CCEEFF"/>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Other (income)expense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and other income</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(84,327)</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(970,594)</w:t>
            </w:r>
          </w:p>
        </w:tc>
      </w:tr>
      <w:tr>
        <w:trPr>
          <w:trHeight w:val="229"/>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expense</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80" w:type="dxa"/>
            <w:vAlign w:val="bottom"/>
            <w:tcBorders>
              <w:bottom w:val="single" w:sz="8" w:color="CCEEFF"/>
            </w:tcBorders>
          </w:tcPr>
          <w:p>
            <w:pPr>
              <w:spacing w:after="0"/>
              <w:rPr>
                <w:sz w:val="19"/>
                <w:szCs w:val="19"/>
                <w:color w:val="auto"/>
              </w:rPr>
            </w:pPr>
          </w:p>
        </w:tc>
      </w:tr>
      <w:tr>
        <w:trPr>
          <w:trHeight w:val="250"/>
        </w:trPr>
        <w:tc>
          <w:tcPr>
            <w:tcW w:w="7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(income)expense</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(66,571)</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(958,341)</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(24,681,940)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(45,130,184)</w:t>
            </w:r>
          </w:p>
        </w:tc>
        <w:tc>
          <w:tcPr>
            <w:tcW w:w="8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Benefit/(provision) for income taxes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1,170,890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(17,699)</w:t>
            </w:r>
          </w:p>
        </w:tc>
      </w:tr>
      <w:tr>
        <w:trPr>
          <w:trHeight w:val="263"/>
        </w:trPr>
        <w:tc>
          <w:tcPr>
            <w:tcW w:w="7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loss</w:t>
            </w:r>
          </w:p>
        </w:tc>
        <w:tc>
          <w:tcPr>
            <w:tcW w:w="16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(23,511,050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(45,147,883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 Basic and Diluted (see Note 13)</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 (see Note 13)</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38,998,698</w:t>
            </w:r>
          </w:p>
        </w:tc>
        <w:tc>
          <w:tcPr>
            <w:tcW w:w="10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29,379,975</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940" w:type="dxa"/>
            <w:vAlign w:val="bottom"/>
          </w:tcPr>
          <w:p>
            <w:pPr>
              <w:spacing w:after="0"/>
              <w:rPr>
                <w:sz w:val="17"/>
                <w:szCs w:val="17"/>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(23,511,050)</w:t>
            </w: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(45,147,883)</w:t>
            </w:r>
          </w:p>
        </w:tc>
        <w:tc>
          <w:tcPr>
            <w:tcW w:w="140" w:type="dxa"/>
            <w:vAlign w:val="bottom"/>
            <w:tcBorders>
              <w:top w:val="single" w:sz="8" w:color="CCEEFF"/>
            </w:tcBorders>
            <w:gridSpan w:val="2"/>
            <w:shd w:val="clear" w:color="auto" w:fill="CCEEFF"/>
          </w:tcPr>
          <w:p>
            <w:pPr>
              <w:spacing w:after="0"/>
              <w:rPr>
                <w:sz w:val="19"/>
                <w:szCs w:val="19"/>
                <w:color w:val="auto"/>
              </w:rPr>
            </w:pP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(207,012)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(145,418)</w:t>
            </w:r>
          </w:p>
        </w:tc>
      </w:tr>
      <w:tr>
        <w:trPr>
          <w:trHeight w:val="270"/>
        </w:trPr>
        <w:tc>
          <w:tcPr>
            <w:tcW w:w="8940" w:type="dxa"/>
            <w:vAlign w:val="bottom"/>
          </w:tcPr>
          <w:p>
            <w:pPr>
              <w:spacing w:after="0"/>
              <w:rPr>
                <w:sz w:val="20"/>
                <w:szCs w:val="20"/>
                <w:color w:val="auto"/>
              </w:rPr>
            </w:pPr>
            <w:r>
              <w:rPr>
                <w:rFonts w:ascii="Arial" w:cs="Arial" w:eastAsia="Arial" w:hAnsi="Arial"/>
                <w:sz w:val="18"/>
                <w:szCs w:val="18"/>
                <w:color w:val="auto"/>
              </w:rPr>
              <w:t>Unrealized (loss) gain on marketable securities, net of taxes as applicable</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(3,160)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43,280</w:t>
            </w:r>
          </w:p>
        </w:tc>
        <w:tc>
          <w:tcPr>
            <w:tcW w:w="120" w:type="dxa"/>
            <w:vAlign w:val="bottom"/>
          </w:tcPr>
          <w:p>
            <w:pPr>
              <w:spacing w:after="0"/>
              <w:rPr>
                <w:sz w:val="23"/>
                <w:szCs w:val="23"/>
                <w:color w:val="auto"/>
              </w:rPr>
            </w:pPr>
          </w:p>
        </w:tc>
      </w:tr>
      <w:tr>
        <w:trPr>
          <w:trHeight w:val="20"/>
        </w:trPr>
        <w:tc>
          <w:tcPr>
            <w:tcW w:w="89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26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(210,172)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(102,138)</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(23,721,222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(45,250,021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60" w:type="dxa"/>
            <w:vAlign w:val="bottom"/>
            <w:gridSpan w:val="13"/>
          </w:tcPr>
          <w:p>
            <w:pPr>
              <w:jc w:val="center"/>
              <w:ind w:right="420"/>
              <w:spacing w:after="0"/>
              <w:rPr>
                <w:sz w:val="20"/>
                <w:szCs w:val="20"/>
                <w:color w:val="auto"/>
              </w:rPr>
            </w:pPr>
            <w:r>
              <w:rPr>
                <w:rFonts w:ascii="Arial" w:cs="Arial" w:eastAsia="Arial" w:hAnsi="Arial"/>
                <w:sz w:val="18"/>
                <w:szCs w:val="18"/>
                <w:b w:val="1"/>
                <w:bCs w:val="1"/>
                <w:color w:val="auto"/>
              </w:rPr>
              <w:t>ELECTROCORE, INC., SUBSIDIARIES AND AFFILIATE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8"/>
          </w:tcPr>
          <w:p>
            <w:pPr>
              <w:jc w:val="center"/>
              <w:ind w:left="30"/>
              <w:spacing w:after="0"/>
              <w:rPr>
                <w:sz w:val="20"/>
                <w:szCs w:val="20"/>
                <w:color w:val="auto"/>
              </w:rPr>
            </w:pPr>
            <w:r>
              <w:rPr>
                <w:rFonts w:ascii="Arial" w:cs="Arial" w:eastAsia="Arial" w:hAnsi="Arial"/>
                <w:sz w:val="18"/>
                <w:szCs w:val="18"/>
                <w:b w:val="1"/>
                <w:bCs w:val="1"/>
                <w:color w:val="auto"/>
                <w:w w:val="89"/>
              </w:rPr>
              <w:t>Consolidated Statements of Equity</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For the Years Ended December 31, 2020 and 2019</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electroCore,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Inc.,</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paid-in</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stockholders'</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Noncontrolling</w:t>
            </w:r>
          </w:p>
        </w:tc>
        <w:tc>
          <w:tcPr>
            <w:tcW w:w="12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10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income (loss)</w:t>
            </w:r>
          </w:p>
        </w:tc>
        <w:tc>
          <w:tcPr>
            <w:tcW w:w="18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9"/>
        </w:trPr>
        <w:tc>
          <w:tcPr>
            <w:tcW w:w="16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Balances as of</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29,450,035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29,450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$103,791,013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(38,331,215)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65,550,091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635,610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66,185,701</w:t>
            </w:r>
          </w:p>
        </w:tc>
        <w:tc>
          <w:tcPr>
            <w:tcW w:w="0" w:type="dxa"/>
            <w:vAlign w:val="bottom"/>
          </w:tcPr>
          <w:p>
            <w:pPr>
              <w:spacing w:after="0"/>
              <w:rPr>
                <w:sz w:val="1"/>
                <w:szCs w:val="1"/>
                <w:color w:val="auto"/>
              </w:rPr>
            </w:pPr>
          </w:p>
        </w:tc>
      </w:tr>
      <w:tr>
        <w:trPr>
          <w:trHeight w:val="237"/>
        </w:trPr>
        <w:tc>
          <w:tcPr>
            <w:tcW w:w="16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(45,147,883)</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(45,147,883)</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(45,147,883)</w:t>
            </w:r>
          </w:p>
        </w:tc>
        <w:tc>
          <w:tcPr>
            <w:tcW w:w="0" w:type="dxa"/>
            <w:vAlign w:val="bottom"/>
          </w:tcPr>
          <w:p>
            <w:pPr>
              <w:spacing w:after="0"/>
              <w:rPr>
                <w:sz w:val="1"/>
                <w:szCs w:val="1"/>
                <w:color w:val="auto"/>
              </w:rPr>
            </w:pPr>
          </w:p>
        </w:tc>
      </w:tr>
      <w:tr>
        <w:trPr>
          <w:trHeight w:val="221"/>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(102,138)</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(102,138)</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(102,138)</w:t>
            </w:r>
          </w:p>
        </w:tc>
        <w:tc>
          <w:tcPr>
            <w:tcW w:w="0" w:type="dxa"/>
            <w:vAlign w:val="bottom"/>
          </w:tcPr>
          <w:p>
            <w:pPr>
              <w:spacing w:after="0"/>
              <w:rPr>
                <w:sz w:val="1"/>
                <w:szCs w:val="1"/>
                <w:color w:val="auto"/>
              </w:rPr>
            </w:pPr>
          </w:p>
        </w:tc>
      </w:tr>
      <w:tr>
        <w:trPr>
          <w:trHeight w:val="215"/>
        </w:trPr>
        <w:tc>
          <w:tcPr>
            <w:tcW w:w="1620" w:type="dxa"/>
            <w:vAlign w:val="bottom"/>
          </w:tcPr>
          <w:p>
            <w:pPr>
              <w:ind w:left="140"/>
              <w:spacing w:after="0"/>
              <w:rPr>
                <w:sz w:val="20"/>
                <w:szCs w:val="20"/>
                <w:color w:val="auto"/>
              </w:rPr>
            </w:pPr>
            <w:r>
              <w:rPr>
                <w:rFonts w:ascii="Arial" w:cs="Arial" w:eastAsia="Arial" w:hAnsi="Arial"/>
                <w:sz w:val="18"/>
                <w:szCs w:val="18"/>
                <w:color w:val="auto"/>
              </w:rPr>
              <w:t>Issuance of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40"/>
              <w:spacing w:after="0"/>
              <w:rPr>
                <w:sz w:val="20"/>
                <w:szCs w:val="20"/>
                <w:color w:val="auto"/>
              </w:rPr>
            </w:pPr>
            <w:r>
              <w:rPr>
                <w:rFonts w:ascii="Arial" w:cs="Arial" w:eastAsia="Arial" w:hAnsi="Arial"/>
                <w:sz w:val="18"/>
                <w:szCs w:val="18"/>
                <w:color w:val="auto"/>
              </w:rPr>
              <w:t>warrants in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40"/>
              <w:spacing w:after="0"/>
              <w:rPr>
                <w:sz w:val="20"/>
                <w:szCs w:val="20"/>
                <w:color w:val="auto"/>
              </w:rPr>
            </w:pPr>
            <w:r>
              <w:rPr>
                <w:rFonts w:ascii="Arial" w:cs="Arial" w:eastAsia="Arial" w:hAnsi="Arial"/>
                <w:sz w:val="18"/>
                <w:szCs w:val="18"/>
                <w:color w:val="auto"/>
              </w:rPr>
              <w:t>settlement of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140"/>
              <w:spacing w:after="0"/>
              <w:rPr>
                <w:sz w:val="20"/>
                <w:szCs w:val="20"/>
                <w:color w:val="auto"/>
              </w:rPr>
            </w:pPr>
            <w:r>
              <w:rPr>
                <w:rFonts w:ascii="Arial" w:cs="Arial" w:eastAsia="Arial" w:hAnsi="Arial"/>
                <w:sz w:val="18"/>
                <w:szCs w:val="18"/>
                <w:color w:val="auto"/>
              </w:rPr>
              <w:t>lawsuit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16,692</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16,692</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16,692</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 net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385,148</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48,580</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48,965</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48,965</w:t>
            </w:r>
          </w:p>
        </w:tc>
        <w:tc>
          <w:tcPr>
            <w:tcW w:w="0" w:type="dxa"/>
            <w:vAlign w:val="bottom"/>
          </w:tcPr>
          <w:p>
            <w:pPr>
              <w:spacing w:after="0"/>
              <w:rPr>
                <w:sz w:val="1"/>
                <w:szCs w:val="1"/>
                <w:color w:val="auto"/>
              </w:rPr>
            </w:pPr>
          </w:p>
        </w:tc>
      </w:tr>
      <w:tr>
        <w:trPr>
          <w:trHeight w:val="215"/>
        </w:trPr>
        <w:tc>
          <w:tcPr>
            <w:tcW w:w="1620" w:type="dxa"/>
            <w:vAlign w:val="bottom"/>
          </w:tcPr>
          <w:p>
            <w:pPr>
              <w:ind w:left="140"/>
              <w:spacing w:after="0"/>
              <w:rPr>
                <w:sz w:val="20"/>
                <w:szCs w:val="20"/>
                <w:color w:val="auto"/>
              </w:rPr>
            </w:pPr>
            <w:r>
              <w:rPr>
                <w:rFonts w:ascii="Arial" w:cs="Arial" w:eastAsia="Arial" w:hAnsi="Arial"/>
                <w:sz w:val="18"/>
                <w:szCs w:val="18"/>
                <w:color w:val="auto"/>
              </w:rPr>
              <w:t>Stock based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3,895,781</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3,895,781</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3,895,781</w:t>
            </w:r>
          </w:p>
        </w:tc>
        <w:tc>
          <w:tcPr>
            <w:tcW w:w="0" w:type="dxa"/>
            <w:vAlign w:val="bottom"/>
          </w:tcPr>
          <w:p>
            <w:pPr>
              <w:spacing w:after="0"/>
              <w:rPr>
                <w:sz w:val="1"/>
                <w:szCs w:val="1"/>
                <w:color w:val="auto"/>
              </w:rPr>
            </w:pPr>
          </w:p>
        </w:tc>
      </w:tr>
      <w:tr>
        <w:trPr>
          <w:trHeight w:val="202"/>
        </w:trPr>
        <w:tc>
          <w:tcPr>
            <w:tcW w:w="1620" w:type="dxa"/>
            <w:vAlign w:val="bottom"/>
            <w:tcBorders>
              <w:top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Balances as of</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December 31, 2019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29,835,183</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29,835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107,752,066</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(83,479,098)</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24,261,508</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635,610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24,897,118</w:t>
            </w:r>
          </w:p>
        </w:tc>
        <w:tc>
          <w:tcPr>
            <w:tcW w:w="0" w:type="dxa"/>
            <w:vAlign w:val="bottom"/>
          </w:tcPr>
          <w:p>
            <w:pPr>
              <w:spacing w:after="0"/>
              <w:rPr>
                <w:sz w:val="1"/>
                <w:szCs w:val="1"/>
                <w:color w:val="auto"/>
              </w:rPr>
            </w:pPr>
          </w:p>
        </w:tc>
      </w:tr>
      <w:tr>
        <w:trPr>
          <w:trHeight w:val="237"/>
        </w:trPr>
        <w:tc>
          <w:tcPr>
            <w:tcW w:w="16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(23,511,050)</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(23,511,050)</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(23,511,050)</w:t>
            </w:r>
          </w:p>
        </w:tc>
        <w:tc>
          <w:tcPr>
            <w:tcW w:w="0" w:type="dxa"/>
            <w:vAlign w:val="bottom"/>
          </w:tcPr>
          <w:p>
            <w:pPr>
              <w:spacing w:after="0"/>
              <w:rPr>
                <w:sz w:val="1"/>
                <w:szCs w:val="1"/>
                <w:color w:val="auto"/>
              </w:rPr>
            </w:pPr>
          </w:p>
        </w:tc>
      </w:tr>
      <w:tr>
        <w:trPr>
          <w:trHeight w:val="221"/>
        </w:trPr>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(210,172)</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(210,172)</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(210,172)</w:t>
            </w:r>
          </w:p>
        </w:tc>
        <w:tc>
          <w:tcPr>
            <w:tcW w:w="0" w:type="dxa"/>
            <w:vAlign w:val="bottom"/>
          </w:tcPr>
          <w:p>
            <w:pPr>
              <w:spacing w:after="0"/>
              <w:rPr>
                <w:sz w:val="1"/>
                <w:szCs w:val="1"/>
                <w:color w:val="auto"/>
              </w:rPr>
            </w:pPr>
          </w:p>
        </w:tc>
      </w:tr>
      <w:tr>
        <w:trPr>
          <w:trHeight w:val="215"/>
        </w:trPr>
        <w:tc>
          <w:tcPr>
            <w:tcW w:w="1620" w:type="dxa"/>
            <w:vAlign w:val="bottom"/>
          </w:tcPr>
          <w:p>
            <w:pPr>
              <w:ind w:left="160"/>
              <w:spacing w:after="0"/>
              <w:rPr>
                <w:sz w:val="20"/>
                <w:szCs w:val="20"/>
                <w:color w:val="auto"/>
              </w:rPr>
            </w:pPr>
            <w:r>
              <w:rPr>
                <w:rFonts w:ascii="Arial" w:cs="Arial" w:eastAsia="Arial" w:hAnsi="Arial"/>
                <w:sz w:val="18"/>
                <w:szCs w:val="18"/>
                <w:color w:val="auto"/>
              </w:rPr>
              <w:t>Issuance of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8"/>
                <w:szCs w:val="18"/>
                <w:color w:val="auto"/>
              </w:rPr>
              <w:t>(see Note 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14,308,048</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14,308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19,370,888</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19,385,196</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19,385,196</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financing</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 fee*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692,514</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620" w:type="dxa"/>
            <w:vAlign w:val="bottom"/>
          </w:tcPr>
          <w:p>
            <w:pPr>
              <w:ind w:left="160"/>
              <w:spacing w:after="0"/>
              <w:rPr>
                <w:sz w:val="20"/>
                <w:szCs w:val="20"/>
                <w:color w:val="auto"/>
              </w:rPr>
            </w:pPr>
            <w:r>
              <w:rPr>
                <w:rFonts w:ascii="Arial" w:cs="Arial" w:eastAsia="Arial" w:hAnsi="Arial"/>
                <w:sz w:val="18"/>
                <w:szCs w:val="18"/>
                <w:color w:val="auto"/>
              </w:rPr>
              <w:t>Financing fees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(182,821)</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(182,821)</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(182,821)</w:t>
            </w:r>
          </w:p>
        </w:tc>
        <w:tc>
          <w:tcPr>
            <w:tcW w:w="0" w:type="dxa"/>
            <w:vAlign w:val="bottom"/>
          </w:tcPr>
          <w:p>
            <w:pPr>
              <w:spacing w:after="0"/>
              <w:rPr>
                <w:sz w:val="1"/>
                <w:szCs w:val="1"/>
                <w:color w:val="auto"/>
              </w:rPr>
            </w:pPr>
          </w:p>
        </w:tc>
      </w:tr>
      <w:tr>
        <w:trPr>
          <w:trHeight w:val="221"/>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 net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724,020</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620" w:type="dxa"/>
            <w:vAlign w:val="bottom"/>
          </w:tcPr>
          <w:p>
            <w:pPr>
              <w:ind w:left="160"/>
              <w:spacing w:after="0"/>
              <w:rPr>
                <w:sz w:val="20"/>
                <w:szCs w:val="20"/>
                <w:color w:val="auto"/>
              </w:rPr>
            </w:pPr>
            <w:r>
              <w:rPr>
                <w:rFonts w:ascii="Arial" w:cs="Arial" w:eastAsia="Arial" w:hAnsi="Arial"/>
                <w:sz w:val="18"/>
                <w:szCs w:val="18"/>
                <w:color w:val="auto"/>
              </w:rPr>
              <w:t>Stock based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3,266,311</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3,266,311</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3,266,311</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Balances as of</w:t>
            </w: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20" w:type="dxa"/>
            <w:vAlign w:val="bottom"/>
            <w:vMerge w:val="continue"/>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45,559,765</w:t>
            </w:r>
          </w:p>
        </w:tc>
        <w:tc>
          <w:tcPr>
            <w:tcW w:w="160" w:type="dxa"/>
            <w:vAlign w:val="bottom"/>
            <w:vMerge w:val="restart"/>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45,560</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2"/>
              </w:rPr>
              <w:t>$130,205,027</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(106,990,148)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(251,467)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23,008,972</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635,610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23,644,582</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December 31, 2020</w:t>
            </w:r>
          </w:p>
        </w:tc>
        <w:tc>
          <w:tcPr>
            <w:tcW w:w="920" w:type="dxa"/>
            <w:vAlign w:val="bottom"/>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80" w:firstLine="8"/>
        <w:spacing w:after="0" w:line="253" w:lineRule="auto"/>
        <w:tabs>
          <w:tab w:leader="none" w:pos="108"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commitment shares issued in accordance with the Company's equity facility purchase agreement with Lincoln Park Capital. For additional information see Note 12. Stockholders' Equity, Lincoln Park Purchase Agreement.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8560" w:type="dxa"/>
            <w:vAlign w:val="bottom"/>
          </w:tcPr>
          <w:p>
            <w:pPr>
              <w:ind w:left="3280"/>
              <w:spacing w:after="0"/>
              <w:rPr>
                <w:sz w:val="20"/>
                <w:szCs w:val="20"/>
                <w:color w:val="auto"/>
              </w:rPr>
            </w:pPr>
            <w:r>
              <w:rPr>
                <w:rFonts w:ascii="Arial" w:cs="Arial" w:eastAsia="Arial" w:hAnsi="Arial"/>
                <w:sz w:val="18"/>
                <w:szCs w:val="18"/>
                <w:b w:val="1"/>
                <w:bCs w:val="1"/>
                <w:color w:val="auto"/>
              </w:rPr>
              <w:t>ELECTROCORE, INC., SUBSIDIARIES AND AFFILIATE</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60" w:type="dxa"/>
            <w:vAlign w:val="bottom"/>
          </w:tcPr>
          <w:p>
            <w:pPr>
              <w:ind w:left="4080"/>
              <w:spacing w:after="0"/>
              <w:rPr>
                <w:sz w:val="20"/>
                <w:szCs w:val="20"/>
                <w:color w:val="auto"/>
              </w:rPr>
            </w:pPr>
            <w:r>
              <w:rPr>
                <w:rFonts w:ascii="Arial" w:cs="Arial" w:eastAsia="Arial" w:hAnsi="Arial"/>
                <w:sz w:val="18"/>
                <w:szCs w:val="18"/>
                <w:b w:val="1"/>
                <w:bCs w:val="1"/>
                <w:color w:val="auto"/>
              </w:rPr>
              <w:t>Consolidated Statements of Cash Flows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85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85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(23,511,050)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(45,147,883)</w:t>
            </w: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8560" w:type="dxa"/>
            <w:vAlign w:val="bottom"/>
          </w:tcPr>
          <w:p>
            <w:pPr>
              <w:ind w:left="500"/>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3,266,311</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3,895,781</w:t>
            </w:r>
          </w:p>
        </w:tc>
      </w:tr>
      <w:tr>
        <w:trPr>
          <w:trHeight w:val="230"/>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399,242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249,583</w:t>
            </w:r>
          </w:p>
        </w:tc>
      </w:tr>
      <w:tr>
        <w:trPr>
          <w:trHeight w:val="229"/>
        </w:trPr>
        <w:tc>
          <w:tcPr>
            <w:tcW w:w="8560" w:type="dxa"/>
            <w:vAlign w:val="bottom"/>
          </w:tcPr>
          <w:p>
            <w:pPr>
              <w:ind w:left="500"/>
              <w:spacing w:after="0"/>
              <w:rPr>
                <w:sz w:val="20"/>
                <w:szCs w:val="20"/>
                <w:color w:val="auto"/>
              </w:rPr>
            </w:pPr>
            <w:r>
              <w:rPr>
                <w:rFonts w:ascii="Arial" w:cs="Arial" w:eastAsia="Arial" w:hAnsi="Arial"/>
                <w:sz w:val="18"/>
                <w:szCs w:val="18"/>
                <w:color w:val="auto"/>
              </w:rPr>
              <w:t>Amortization of marketable securities premium(discount)</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31,096</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(530,104)</w:t>
            </w:r>
          </w:p>
        </w:tc>
      </w:tr>
      <w:tr>
        <w:trPr>
          <w:trHeight w:val="283"/>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Cloud computing arrangement implementation costs</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(1,114,568)</w:t>
            </w:r>
          </w:p>
        </w:tc>
      </w:tr>
      <w:tr>
        <w:trPr>
          <w:trHeight w:val="229"/>
        </w:trPr>
        <w:tc>
          <w:tcPr>
            <w:tcW w:w="8560" w:type="dxa"/>
            <w:vAlign w:val="bottom"/>
          </w:tcPr>
          <w:p>
            <w:pPr>
              <w:ind w:left="500"/>
              <w:spacing w:after="0"/>
              <w:rPr>
                <w:sz w:val="20"/>
                <w:szCs w:val="20"/>
                <w:color w:val="auto"/>
              </w:rPr>
            </w:pPr>
            <w:r>
              <w:rPr>
                <w:rFonts w:ascii="Arial" w:cs="Arial" w:eastAsia="Arial" w:hAnsi="Arial"/>
                <w:sz w:val="18"/>
                <w:szCs w:val="18"/>
                <w:color w:val="auto"/>
              </w:rPr>
              <w:t>Legal expense settled with stock</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156,434</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372,304</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57,780</w:t>
            </w:r>
          </w:p>
        </w:tc>
      </w:tr>
      <w:tr>
        <w:trPr>
          <w:trHeight w:val="229"/>
        </w:trPr>
        <w:tc>
          <w:tcPr>
            <w:tcW w:w="8560" w:type="dxa"/>
            <w:vAlign w:val="bottom"/>
          </w:tcPr>
          <w:p>
            <w:pPr>
              <w:ind w:left="500"/>
              <w:spacing w:after="0"/>
              <w:rPr>
                <w:sz w:val="20"/>
                <w:szCs w:val="20"/>
                <w:color w:val="auto"/>
              </w:rPr>
            </w:pPr>
            <w:r>
              <w:rPr>
                <w:rFonts w:ascii="Arial" w:cs="Arial" w:eastAsia="Arial" w:hAnsi="Arial"/>
                <w:sz w:val="18"/>
                <w:szCs w:val="18"/>
                <w:color w:val="auto"/>
              </w:rPr>
              <w:t>Inventory reserve charge</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433,918</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Write-off of right of use operating lease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557,543</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500"/>
              <w:spacing w:after="0"/>
              <w:rPr>
                <w:sz w:val="20"/>
                <w:szCs w:val="20"/>
                <w:color w:val="auto"/>
              </w:rPr>
            </w:pPr>
            <w:r>
              <w:rPr>
                <w:rFonts w:ascii="Arial" w:cs="Arial" w:eastAsia="Arial" w:hAnsi="Arial"/>
                <w:sz w:val="18"/>
                <w:szCs w:val="18"/>
                <w:color w:val="auto"/>
              </w:rPr>
              <w:t>Noncash portion of litigation settlement</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16,692</w:t>
            </w:r>
          </w:p>
        </w:tc>
      </w:tr>
      <w:tr>
        <w:trPr>
          <w:trHeight w:val="229"/>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76,279</w:t>
            </w:r>
          </w:p>
        </w:tc>
      </w:tr>
      <w:tr>
        <w:trPr>
          <w:trHeight w:val="230"/>
        </w:trPr>
        <w:tc>
          <w:tcPr>
            <w:tcW w:w="85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225,594</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(228,541)</w:t>
            </w:r>
          </w:p>
        </w:tc>
      </w:tr>
      <w:tr>
        <w:trPr>
          <w:trHeight w:val="230"/>
        </w:trPr>
        <w:tc>
          <w:tcPr>
            <w:tcW w:w="856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735,637</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(4,961,770)</w:t>
            </w:r>
          </w:p>
        </w:tc>
      </w:tr>
      <w:tr>
        <w:trPr>
          <w:trHeight w:val="229"/>
        </w:trPr>
        <w:tc>
          <w:tcPr>
            <w:tcW w:w="8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(165,707)</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859,204</w:t>
            </w:r>
          </w:p>
        </w:tc>
      </w:tr>
      <w:tr>
        <w:trPr>
          <w:trHeight w:val="229"/>
        </w:trPr>
        <w:tc>
          <w:tcPr>
            <w:tcW w:w="856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(1,581,579)</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2,797,727</w:t>
            </w:r>
          </w:p>
        </w:tc>
      </w:tr>
      <w:tr>
        <w:trPr>
          <w:trHeight w:val="230"/>
        </w:trPr>
        <w:tc>
          <w:tcPr>
            <w:tcW w:w="8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expense and other current liabilities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(536,561)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(1,036,721)</w:t>
            </w:r>
          </w:p>
        </w:tc>
      </w:tr>
      <w:tr>
        <w:trPr>
          <w:trHeight w:val="229"/>
        </w:trPr>
        <w:tc>
          <w:tcPr>
            <w:tcW w:w="856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(486,445)</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(20,102,587</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(45,066,541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marketable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(24,463,158)</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(37,224,879)</w:t>
            </w: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16,500,000</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88,266,000</w:t>
            </w: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(69,675)</w:t>
            </w:r>
          </w:p>
        </w:tc>
      </w:tr>
      <w:tr>
        <w:trPr>
          <w:trHeight w:val="223"/>
        </w:trPr>
        <w:tc>
          <w:tcPr>
            <w:tcW w:w="85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(7,963,158)</w:t>
            </w: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50,971,446</w:t>
            </w:r>
          </w:p>
        </w:tc>
        <w:tc>
          <w:tcPr>
            <w:tcW w:w="80" w:type="dxa"/>
            <w:vAlign w:val="bottom"/>
            <w:tcBorders>
              <w:bottom w:val="single" w:sz="8" w:color="CCEEFF"/>
            </w:tcBorders>
          </w:tcPr>
          <w:p>
            <w:pPr>
              <w:spacing w:after="0"/>
              <w:rPr>
                <w:sz w:val="19"/>
                <w:szCs w:val="19"/>
                <w:color w:val="auto"/>
              </w:rPr>
            </w:pP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shares issued, net of related expenses</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17,489,563</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note issued</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2,558,360</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807,347</w:t>
            </w: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Repayments of notes issued</w:t>
            </w:r>
          </w:p>
        </w:tc>
        <w:tc>
          <w:tcPr>
            <w:tcW w:w="2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(1,096,056)</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(695,469)</w:t>
            </w: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shares issued in connection with employee stock purchase plan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48,965</w:t>
            </w:r>
          </w:p>
        </w:tc>
      </w:tr>
      <w:tr>
        <w:trPr>
          <w:trHeight w:val="223"/>
        </w:trPr>
        <w:tc>
          <w:tcPr>
            <w:tcW w:w="85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18,951,867</w:t>
            </w: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160,843</w:t>
            </w:r>
          </w:p>
        </w:tc>
        <w:tc>
          <w:tcPr>
            <w:tcW w:w="80" w:type="dxa"/>
            <w:vAlign w:val="bottom"/>
            <w:tcBorders>
              <w:bottom w:val="single" w:sz="8" w:color="CCEEFF"/>
            </w:tcBorders>
          </w:tcPr>
          <w:p>
            <w:pPr>
              <w:spacing w:after="0"/>
              <w:rPr>
                <w:sz w:val="19"/>
                <w:szCs w:val="19"/>
                <w:color w:val="auto"/>
              </w:rPr>
            </w:pPr>
          </w:p>
        </w:tc>
      </w:tr>
      <w:tr>
        <w:trPr>
          <w:trHeight w:val="25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(207,976)</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(102,241)</w:t>
            </w:r>
          </w:p>
        </w:tc>
      </w:tr>
      <w:tr>
        <w:trPr>
          <w:trHeight w:val="223"/>
        </w:trPr>
        <w:tc>
          <w:tcPr>
            <w:tcW w:w="8560" w:type="dxa"/>
            <w:vAlign w:val="bottom"/>
          </w:tcPr>
          <w:p>
            <w:pPr>
              <w:ind w:left="100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(9,321,854)</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5,963,507</w:t>
            </w:r>
          </w:p>
        </w:tc>
        <w:tc>
          <w:tcPr>
            <w:tcW w:w="80" w:type="dxa"/>
            <w:vAlign w:val="bottom"/>
          </w:tcPr>
          <w:p>
            <w:pPr>
              <w:spacing w:after="0"/>
              <w:rPr>
                <w:sz w:val="19"/>
                <w:szCs w:val="19"/>
                <w:color w:val="auto"/>
              </w:rPr>
            </w:pP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13,563,791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7,600,284</w:t>
            </w:r>
          </w:p>
        </w:tc>
      </w:tr>
      <w:tr>
        <w:trPr>
          <w:trHeight w:val="250"/>
        </w:trPr>
        <w:tc>
          <w:tcPr>
            <w:tcW w:w="8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 end of year</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4,241,937</w:t>
            </w: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13,563,791</w:t>
            </w:r>
          </w:p>
        </w:tc>
        <w:tc>
          <w:tcPr>
            <w:tcW w:w="80" w:type="dxa"/>
            <w:vAlign w:val="bottom"/>
            <w:tcBorders>
              <w:bottom w:val="single" w:sz="8" w:color="CCEEFF"/>
            </w:tcBorders>
          </w:tcPr>
          <w:p>
            <w:pPr>
              <w:spacing w:after="0"/>
              <w:rPr>
                <w:sz w:val="21"/>
                <w:szCs w:val="21"/>
                <w:color w:val="auto"/>
              </w:rPr>
            </w:pPr>
          </w:p>
        </w:tc>
      </w:tr>
      <w:tr>
        <w:trPr>
          <w:trHeight w:val="210"/>
        </w:trPr>
        <w:tc>
          <w:tcPr>
            <w:tcW w:w="8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Supplemental cash flows disclosures: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state net operating losses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1,170,890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3,769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29,542</w:t>
            </w: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12,895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3,457</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Supplemental schedule of noncash activity: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paid through issuance of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1,548,702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ind w:right="-99"/>
        <w:spacing w:after="0"/>
        <w:rPr>
          <w:sz w:val="20"/>
          <w:szCs w:val="20"/>
          <w:color w:val="auto"/>
        </w:rPr>
      </w:pPr>
      <w:r>
        <w:rPr>
          <w:rFonts w:ascii="Arial" w:cs="Arial" w:eastAsia="Arial" w:hAnsi="Arial"/>
          <w:sz w:val="20"/>
          <w:szCs w:val="20"/>
          <w:b w:val="1"/>
          <w:bCs w:val="1"/>
          <w:color w:val="auto"/>
        </w:rPr>
        <w:t>ELECTROCORE, INC., SUBSIDIARIES AND AFFILIATE</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w:t>
      </w:r>
    </w:p>
    <w:p>
      <w:pPr>
        <w:spacing w:after="0" w:line="13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electroCore, Inc. (“electroCore” or the “Company”) is a medical device company, engaged in the commercialization and development of a platform non-invasive Vagus Nerve Stimulation (“nVNS”) therapy that can be self-administered by patients. electroCore was founded in 2005 and has primarily focused on headache conditions (migraine and cluster headache).</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electroCore, headquartered in New Jersey, has two wholly owned subsidiaries: electroCore Germany GmbH, and electroCore UK Ltd. The Company has ceased its operations in Germany, although sales to Germany are still supported by electroCore UK Ltd. In addition, an affiliate, electroCore (Aust) Pty Limited (“electroCore Australia”), is subject to electroCore’s control on a basis other than voting interests and is a variable interest entity (“VIE”), for which electroCore is the primary beneficiary. As of May 2017, the VIE ceased operations.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2018, the U.S. Food and Drug Administration ("FDA") cleared the use of gammaCore, the Company's first generation disposable non-invasive vagus nerve stimulator therapy for the treatment of pain associated with migraine headache in adult patients. Previously in April 2017, the FDA cleared the use of gammaCore for the acute treatment of pain associated with episodic cluster headache in adult patients. Effective August 1, 2018, the Company announced gammaCore Sapphire, a rechargeable and reloadable version of the product for multi-year use, was available in the United States. The Company continues to market the non-reloadable disposable version of its gammaCore products in certain markets and to deploy it for use in clinical studies where a rechargeable version is not necessary.</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November 2018, the FDA provided 510(k) clearance for an expanded label for gammaCore nVNS therapy for adjunctive use for the preventive treatment of cluster headache in adult patients.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2020, the FDA provided 510(k) clearance for an expanded label for gammaCore nVNS therapy for the preventive treatment of migraine headache in adult patients.</w:t>
      </w:r>
    </w:p>
    <w:p>
      <w:pPr>
        <w:spacing w:after="0" w:line="17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July 2020, the FDA granted the Company an Emergency Use Authorization ("EUA") authorizing the use of the Company's gammaCore Sapphire CV nVNS therapy at home or in a healthcare setting to acutely treat adult patients with known or suspected COVID-19 who are experiencing exacerbation of asthma-related dyspnea and reduced airflow, and for whom approved drug therapies are not tolerated or provide insufficient symptom relief.</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2021, gammaCore was cleared by the FDA for the acute and preventive treatment of migraine in adolescents between 12 and 17 years of age.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7"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The accompanying consolidated financial statements were prepared in conformity with accounting principles generally accepted in the United States of America (“U.S. GAAP”), and the rules and regulations of the Securities and Exchange Commission ("SEC").</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electroCore and its wholly owned subsidiaries. electroCore (Aust) Pty Limited, a VIE for which electroCore is the primary beneficiary, is also consolidated with the non-controlled equity presented as non-controlling interest. The VIE has ceased its operations. All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valuation of inventory, stock compensation,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accounts for its revenue transactions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spacing w:after="0" w:line="18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Shipping fees are not billed to the customer and are reflected as part of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Cash and cash equivalents include all highly liquid investments with a maturity of three months or less when purchased. The Company’s accounts are insured by the Federal Deposit Insurance Corporation (“FDIC”) up to $250,000 per financial institution in the United States, and up to £85,000 by the Financial Services Compensation Scheme (“FSCS”) per financial institution in the 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Marketable Securities</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Marketable securities, all of which are available-for-sale, consist of corporate debt securities, U.S. bonds and U.S. sponsored agencies. Marketable securities are carried at fair value, with unrealized gains and losses reported as accumulated other comprehensive income, except for losses from impairments which are determined to be other-than-temporary.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00" w:lineRule="exact"/>
        <w:rPr>
          <w:sz w:val="20"/>
          <w:szCs w:val="20"/>
          <w:color w:val="auto"/>
        </w:rPr>
      </w:pPr>
    </w:p>
    <w:p>
      <w:pPr>
        <w:spacing w:after="0" w:line="2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Cash, cash equivalents and marketable securities are financial instruments that potentially subject the Company to concentration of credit risk. As of December 31, 2020, the Company's cash equivalents and marketable securities were largely comprised of money market funds and U.S. treasury bonds. The Company has established guidelines relative to diversification and maturities that are designed to help ensure safety and liquidity. These guidelines are periodically reviewed to take advantage of trends in yields and interest rates. As of December 31, 2020, approximately 95.8% of the Company’s cash, cash equivalents and marketable securities was denominated in U.S. Dollars, the balance is subject to foreign exchange risk.</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Accounts Receivable</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maintains an allowance for doubtful accounts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During the years ended December 31, 2020 and 2019, the Company's allowance for doubtful accounts was immaterial. The Company does not have any off balance sheet credit exposure related to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Inventory, which consists of raw materials, work-in-process and finished product, is stated at the lower of cost or net realizable value. Inventory is valued on a first-in first-out basis. Net realizable value is the estimated selling prices in the ordinary course of business, less reasonably predictable costs of completion, disposal, and transportation.</w:t>
      </w:r>
    </w:p>
    <w:p>
      <w:pPr>
        <w:spacing w:after="0" w:line="18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 xml:space="preserve">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w:t>
      </w:r>
      <w:r>
        <w:rPr>
          <w:rFonts w:ascii="Arial" w:cs="Arial" w:eastAsia="Arial" w:hAnsi="Arial"/>
          <w:sz w:val="18"/>
          <w:szCs w:val="18"/>
          <w:i w:val="1"/>
          <w:iCs w:val="1"/>
          <w:color w:val="auto"/>
        </w:rPr>
        <w:t>Inventories, noncurrent</w:t>
      </w:r>
      <w:r>
        <w:rPr>
          <w:rFonts w:ascii="Arial" w:cs="Arial" w:eastAsia="Arial" w:hAnsi="Arial"/>
          <w:sz w:val="18"/>
          <w:szCs w:val="18"/>
          <w:color w:val="auto"/>
        </w:rPr>
        <w: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sales sold to write down such unmarketable inventory to zero.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Property and Equipment</w:t>
      </w:r>
    </w:p>
    <w:p>
      <w:pPr>
        <w:spacing w:after="0" w:line="11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Property and equipment are stated at historical cost. Depreciation is computed by the straight-line method based on the estimated useful lives of the respective assets, as discussed below. Amounts expended for maintenance and repairs are charged to expense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leasehold improvement amortization is computed using the following estimated useful lives: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3–15 years</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560" w:type="dxa"/>
            <w:vAlign w:val="bottom"/>
          </w:tcPr>
          <w:p>
            <w:pPr>
              <w:jc w:val="center"/>
              <w:ind w:left="5210"/>
              <w:spacing w:after="0"/>
              <w:rPr>
                <w:sz w:val="20"/>
                <w:szCs w:val="20"/>
                <w:color w:val="auto"/>
              </w:rPr>
            </w:pPr>
            <w:r>
              <w:rPr>
                <w:rFonts w:ascii="Arial" w:cs="Arial" w:eastAsia="Arial" w:hAnsi="Arial"/>
                <w:sz w:val="18"/>
                <w:szCs w:val="18"/>
                <w:color w:val="auto"/>
                <w:w w:val="91"/>
              </w:rPr>
              <w:t>Lesser of estimated useful life</w:t>
            </w:r>
          </w:p>
        </w:tc>
      </w:tr>
      <w:tr>
        <w:trPr>
          <w:trHeight w:val="230"/>
        </w:trPr>
        <w:tc>
          <w:tcPr>
            <w:tcW w:w="3680" w:type="dxa"/>
            <w:vAlign w:val="bottom"/>
          </w:tcPr>
          <w:p>
            <w:pPr>
              <w:spacing w:after="0"/>
              <w:rPr>
                <w:sz w:val="20"/>
                <w:szCs w:val="20"/>
                <w:color w:val="auto"/>
              </w:rPr>
            </w:pPr>
          </w:p>
        </w:tc>
        <w:tc>
          <w:tcPr>
            <w:tcW w:w="7560" w:type="dxa"/>
            <w:vAlign w:val="bottom"/>
          </w:tcPr>
          <w:p>
            <w:pPr>
              <w:jc w:val="center"/>
              <w:ind w:left="5230"/>
              <w:spacing w:after="0"/>
              <w:rPr>
                <w:sz w:val="20"/>
                <w:szCs w:val="20"/>
                <w:color w:val="auto"/>
              </w:rPr>
            </w:pPr>
            <w:r>
              <w:rPr>
                <w:rFonts w:ascii="Arial" w:cs="Arial" w:eastAsia="Arial" w:hAnsi="Arial"/>
                <w:sz w:val="18"/>
                <w:szCs w:val="18"/>
                <w:color w:val="auto"/>
                <w:w w:val="89"/>
              </w:rPr>
              <w:t>or term of lease</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5–10 years</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Computer equipment</w:t>
            </w:r>
          </w:p>
        </w:tc>
        <w:tc>
          <w:tcPr>
            <w:tcW w:w="7560" w:type="dxa"/>
            <w:vAlign w:val="bottom"/>
          </w:tcPr>
          <w:p>
            <w:pPr>
              <w:jc w:val="center"/>
              <w:ind w:left="5230"/>
              <w:spacing w:after="0"/>
              <w:rPr>
                <w:sz w:val="20"/>
                <w:szCs w:val="20"/>
                <w:color w:val="auto"/>
              </w:rPr>
            </w:pPr>
            <w:r>
              <w:rPr>
                <w:rFonts w:ascii="Arial" w:cs="Arial" w:eastAsia="Arial" w:hAnsi="Arial"/>
                <w:sz w:val="18"/>
                <w:szCs w:val="18"/>
                <w:color w:val="auto"/>
                <w:w w:val="88"/>
              </w:rPr>
              <w:t>5 years</w:t>
            </w:r>
          </w:p>
        </w:tc>
      </w:tr>
      <w:tr>
        <w:trPr>
          <w:trHeight w:val="458"/>
        </w:trPr>
        <w:tc>
          <w:tcPr>
            <w:tcW w:w="3680" w:type="dxa"/>
            <w:vAlign w:val="bottom"/>
          </w:tcPr>
          <w:p>
            <w:pPr>
              <w:spacing w:after="0"/>
              <w:rPr>
                <w:sz w:val="24"/>
                <w:szCs w:val="24"/>
                <w:color w:val="auto"/>
              </w:rPr>
            </w:pPr>
          </w:p>
        </w:tc>
        <w:tc>
          <w:tcPr>
            <w:tcW w:w="7560" w:type="dxa"/>
            <w:vAlign w:val="bottom"/>
          </w:tcPr>
          <w:p>
            <w:pPr>
              <w:ind w:left="1780"/>
              <w:spacing w:after="0"/>
              <w:rPr>
                <w:sz w:val="20"/>
                <w:szCs w:val="20"/>
                <w:color w:val="auto"/>
              </w:rPr>
            </w:pPr>
            <w:r>
              <w:rPr>
                <w:rFonts w:ascii="Arial" w:cs="Arial" w:eastAsia="Arial" w:hAnsi="Arial"/>
                <w:sz w:val="18"/>
                <w:szCs w:val="18"/>
                <w:color w:val="auto"/>
              </w:rPr>
              <w:t>F-11</w:t>
            </w:r>
          </w:p>
        </w:tc>
      </w:tr>
      <w:tr>
        <w:trPr>
          <w:trHeight w:val="115"/>
        </w:trPr>
        <w:tc>
          <w:tcPr>
            <w:tcW w:w="368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Leases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the lease terms greater than one year are included in operating lease right-of-use (“ROU”) assets and current and long-term operating lease liabilities in the Company’s consolidated balance sheets.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lease accounting guidance permits companies to utilize certain practical expedients in their implementation of the new standard. The Company elected this package of practical expedients and was therefore not required to reassess the following upon adoption: (i) whether an expired or existing contract met the definition of a lease; (ii) the lease classification at January 1, 2019 for existing leases; and (iii) whether leasing costs previously capitalized as initial direct costs would continue to be amortized. This allowed the Company to continue to account for its existing office space leases as operating leases. Upon adoption, the Company did not have an adjustment to the opening balance of retained earnings due to the election of these practical expedients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Cloud Computing Arrangement</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Implementation costs for the Company’s cloud computing arrangement (“CCA”) are capitalized and amortized using the straight-line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included as a component of other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Impairment of Long-Lived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 lived assets, such as property, plant,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the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estimates the fair value of stock option awards using the Black-Scholes option pricing model on the date of the grant. Restricted stock unit awards and restricted stock awards without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uses the asset and liability method of accounting for income taxes. Under this method, deferred taxes are recognized based on the differences between financial statement and income tax bases of assets and liabilities using enacted tax rates in effect for the year in which the differences are expected to reverse. Valuation allowances are established, when necessary, to reduce deferred tax assets to the amount expected to be realized. The Company provides a full valuation allowance on substantially all deferred tax assets. The provision for income taxes represents the current state tax payable for the period. The federal tax provision is immaterial given the Company reports losses in all its taxable jurisdictions and is recording a full valuation allowance on the net deferred tax asset. The Company recognizes the effect of an income tax position only if, based on its merits, the position is more likely than not to be sustained on audit by the taxing authorities. Interest and penalties related to uncertain tax positions are recorded as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Research and Development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costs are expensed as incurred. These costs include, but are not limited to, costs related to clinical trials, and compensation and related overhead for employees and consultants involved in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Foreign Currency Translation and Transactions</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Segment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Adopted Accounting Standards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August 2018, the FASB issued guidance which modified the disclosure requirements for fair value measurements. The guidance is effective for the year ended December 31, 2020. The Company adopted this guidance, and it was properly reflected in the consolidated financial statements. The impact on the consolidated financial statements was immaterial.</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June 2016, the FASB issued ASU </w:t>
      </w:r>
      <w:r>
        <w:rPr>
          <w:rFonts w:ascii="Arial" w:cs="Arial" w:eastAsia="Arial" w:hAnsi="Arial"/>
          <w:sz w:val="18"/>
          <w:szCs w:val="18"/>
          <w:b w:val="1"/>
          <w:bCs w:val="1"/>
          <w:i w:val="1"/>
          <w:iCs w:val="1"/>
          <w:color w:val="auto"/>
        </w:rPr>
        <w:t>2016</w:t>
      </w:r>
      <w:r>
        <w:rPr>
          <w:rFonts w:ascii="Arial" w:cs="Arial" w:eastAsia="Arial" w:hAnsi="Arial"/>
          <w:sz w:val="18"/>
          <w:szCs w:val="18"/>
          <w:color w:val="auto"/>
        </w:rPr>
        <w:t>-</w:t>
      </w:r>
      <w:r>
        <w:rPr>
          <w:rFonts w:ascii="Arial" w:cs="Arial" w:eastAsia="Arial" w:hAnsi="Arial"/>
          <w:sz w:val="18"/>
          <w:szCs w:val="18"/>
          <w:b w:val="1"/>
          <w:bCs w:val="1"/>
          <w:i w:val="1"/>
          <w:iCs w:val="1"/>
          <w:color w:val="auto"/>
        </w:rPr>
        <w:t>13</w:t>
      </w:r>
      <w:r>
        <w:rPr>
          <w:rFonts w:ascii="Arial" w:cs="Arial" w:eastAsia="Arial" w:hAnsi="Arial"/>
          <w:sz w:val="18"/>
          <w:szCs w:val="18"/>
          <w:color w:val="auto"/>
        </w:rPr>
        <w:t xml:space="preserve">, Financial Instruments – Credit Losses (Topic </w:t>
      </w:r>
      <w:r>
        <w:rPr>
          <w:rFonts w:ascii="Arial" w:cs="Arial" w:eastAsia="Arial" w:hAnsi="Arial"/>
          <w:sz w:val="18"/>
          <w:szCs w:val="18"/>
          <w:b w:val="1"/>
          <w:bCs w:val="1"/>
          <w:i w:val="1"/>
          <w:iCs w:val="1"/>
          <w:color w:val="auto"/>
        </w:rPr>
        <w:t>326</w:t>
      </w:r>
      <w:r>
        <w:rPr>
          <w:rFonts w:ascii="Arial" w:cs="Arial" w:eastAsia="Arial" w:hAnsi="Arial"/>
          <w:sz w:val="18"/>
          <w:szCs w:val="18"/>
          <w:color w:val="auto"/>
        </w:rPr>
        <w:t xml:space="preserve">); Measurement of Credit Losses on Financial Instruments, ASU </w:t>
      </w:r>
      <w:r>
        <w:rPr>
          <w:rFonts w:ascii="Arial" w:cs="Arial" w:eastAsia="Arial" w:hAnsi="Arial"/>
          <w:sz w:val="18"/>
          <w:szCs w:val="18"/>
          <w:b w:val="1"/>
          <w:bCs w:val="1"/>
          <w:i w:val="1"/>
          <w:iCs w:val="1"/>
          <w:color w:val="auto"/>
        </w:rPr>
        <w:t>2016</w:t>
      </w:r>
      <w:r>
        <w:rPr>
          <w:rFonts w:ascii="Arial" w:cs="Arial" w:eastAsia="Arial" w:hAnsi="Arial"/>
          <w:sz w:val="18"/>
          <w:szCs w:val="18"/>
          <w:color w:val="auto"/>
        </w:rPr>
        <w:t>-</w:t>
      </w:r>
      <w:r>
        <w:rPr>
          <w:rFonts w:ascii="Arial" w:cs="Arial" w:eastAsia="Arial" w:hAnsi="Arial"/>
          <w:sz w:val="18"/>
          <w:szCs w:val="18"/>
          <w:b w:val="1"/>
          <w:bCs w:val="1"/>
          <w:i w:val="1"/>
          <w:iCs w:val="1"/>
          <w:color w:val="auto"/>
        </w:rPr>
        <w:t>13</w:t>
      </w:r>
      <w:r>
        <w:rPr>
          <w:rFonts w:ascii="Arial" w:cs="Arial" w:eastAsia="Arial" w:hAnsi="Arial"/>
          <w:sz w:val="18"/>
          <w:szCs w:val="18"/>
          <w:color w:val="auto"/>
        </w:rPr>
        <w:t xml:space="preserve"> changes the impairment model for most financial assets, including trade and other receivables, from an incurred loss method to a new forward looking approach based on expected losses. The new approach includes the consideration of historical experience, current conditions, and reasonable and supportable forecasts. The Company adopted this guidance and determined the impact on the consolidated financial statements was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Recently Accounting Standards Not Yet Adopted</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December 2019, the FASB issued an update to simplify the accounting for income taxes and improve consistent application by clarifying or amending existing guidance. This guidance is effective for the year ended December 31, 2021. The Company does not expect this guidance to have a material impact on its consolidated financial statements upon adoption.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Risks and Uncertainties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subject to risks common to emerging medical device companies, including uncertainties related to commercialization of products and failing to secure additional funding.</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experienced significant net losses, and it expects to continue to incur losses for the near future as it operates its sales and marketing infrastructure, and works to increase market acceptance of its gammaCore therapy for the acute treatment of episodic cluster headache (“eCH”), the prevention of cluster headache, and the preventive and acute treatment of migraine. The Company has never been profitable and has incurred net losses in each year since its inception.</w:t>
      </w:r>
    </w:p>
    <w:p>
      <w:pPr>
        <w:spacing w:after="0" w:line="1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incurred net losses of $23.5 million and $45.1 million for the years ended December 31, 2020 and 2019, respectively. As of December 31, 2020, its accumulated deficit was $107.0 million.</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expected cash requirements for the next 12 months and beyond are based on the commercial success of its products and its ability to reduce operating expenses. There are significant risks and uncertainties as to its ability to achieve these operating results, including as a result of the adverse impact on its headache business from the COVID-19 pandemic and significant potential investment necessary to generate potential sales of gammaCore Sapphire™ CV. Due to these risks and uncertainties, the Company may need to reduce its activities significantly more than in its current operating plan and cash flow projections assume in order to fund its operations beyond one year of the date the accompanying financial statements are issued. There can be no assurance that the Company will have sufficient cash flow and liquidity to fund its planned activities, which could force it to significantly reduce or curtail its activities and, ultimately, potentially cease operations. These conditions raise substantial doubt about the Company’s ability to continue as a going concern.</w:t>
      </w:r>
    </w:p>
    <w:p>
      <w:pPr>
        <w:spacing w:after="0" w:line="12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There is no assurance that the Company will generate sufficient funding through its operating results or financing activity, raising substantial doubt about the Company’s ability to continue as a going concern within one year of the date the accompanying financial statements are issued. The accompanying financial statements do not include any adjustment that might result from the outcome of this uncertainty.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 Risks</w:t>
      </w:r>
    </w:p>
    <w:p>
      <w:pPr>
        <w:spacing w:after="0" w:line="13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Company earns a significant amount of its revenue (i) in the United States from the Department of Veterans Affairs and Department of Defense pursuant to its qualifying contract under the Federal Supply Schedule and open market sales to individual Department of Veterans Affairs facilities and (ii) in the United Kingdom from the National Health Service. In total, net sales from these two channels represented 86.9% and 57.3% of the Company’s net sales for years ended December 31, 2020 and 2019, respectively. Each of these two channels accounted for 10% or more of the Company's net sales as summarized below:</w:t>
      </w:r>
    </w:p>
    <w:p>
      <w:pPr>
        <w:spacing w:after="0" w:line="13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80" w:type="dxa"/>
            <w:vAlign w:val="bottom"/>
            <w:tcBorders>
              <w:top w:val="single" w:sz="8" w:color="auto"/>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9"/>
                <w:szCs w:val="19"/>
                <w:color w:val="auto"/>
              </w:rPr>
            </w:pPr>
          </w:p>
        </w:tc>
      </w:tr>
      <w:tr>
        <w:trPr>
          <w:trHeight w:val="206"/>
        </w:trPr>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channel:</w:t>
            </w: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27"/>
        </w:trPr>
        <w:tc>
          <w:tcPr>
            <w:tcW w:w="9560" w:type="dxa"/>
            <w:vAlign w:val="bottom"/>
            <w:gridSpan w:val="3"/>
          </w:tcPr>
          <w:p>
            <w:pPr>
              <w:jc w:val="right"/>
              <w:ind w:right="5399"/>
              <w:spacing w:after="0"/>
              <w:rPr>
                <w:sz w:val="20"/>
                <w:szCs w:val="20"/>
                <w:color w:val="auto"/>
              </w:rPr>
            </w:pPr>
            <w:r>
              <w:rPr>
                <w:rFonts w:ascii="Arial" w:cs="Arial" w:eastAsia="Arial" w:hAnsi="Arial"/>
                <w:sz w:val="16"/>
                <w:szCs w:val="16"/>
                <w:color w:val="auto"/>
                <w:w w:val="96"/>
              </w:rPr>
              <w:t>Department of Veterans Affairs and Department of Defense</w:t>
            </w:r>
          </w:p>
        </w:tc>
        <w:tc>
          <w:tcPr>
            <w:tcW w:w="500" w:type="dxa"/>
            <w:vAlign w:val="bottom"/>
          </w:tcPr>
          <w:p>
            <w:pPr>
              <w:jc w:val="right"/>
              <w:spacing w:after="0"/>
              <w:rPr>
                <w:sz w:val="20"/>
                <w:szCs w:val="20"/>
                <w:color w:val="auto"/>
              </w:rPr>
            </w:pPr>
            <w:r>
              <w:rPr>
                <w:rFonts w:ascii="Arial" w:cs="Arial" w:eastAsia="Arial" w:hAnsi="Arial"/>
                <w:sz w:val="16"/>
                <w:szCs w:val="16"/>
                <w:color w:val="auto"/>
                <w:w w:val="92"/>
              </w:rPr>
              <w:t>57.9 %</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31.1%</w:t>
            </w:r>
          </w:p>
        </w:tc>
      </w:tr>
      <w:tr>
        <w:trPr>
          <w:trHeight w:val="233"/>
        </w:trPr>
        <w:tc>
          <w:tcPr>
            <w:tcW w:w="9560" w:type="dxa"/>
            <w:vAlign w:val="bottom"/>
            <w:gridSpan w:val="3"/>
            <w:shd w:val="clear" w:color="auto" w:fill="CCEEFF"/>
          </w:tcPr>
          <w:p>
            <w:pPr>
              <w:jc w:val="right"/>
              <w:ind w:right="7739"/>
              <w:spacing w:after="0"/>
              <w:rPr>
                <w:sz w:val="20"/>
                <w:szCs w:val="20"/>
                <w:color w:val="auto"/>
              </w:rPr>
            </w:pPr>
            <w:r>
              <w:rPr>
                <w:rFonts w:ascii="Arial" w:cs="Arial" w:eastAsia="Arial" w:hAnsi="Arial"/>
                <w:sz w:val="16"/>
                <w:szCs w:val="16"/>
                <w:color w:val="auto"/>
              </w:rPr>
              <w:t>National Health Service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29.0 %</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w:t>
            </w:r>
          </w:p>
        </w:tc>
      </w:tr>
    </w:tbl>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2020, five specific VA/DoD facilities represented approximately 50% of the Company’s revenue from this channel, and two of those facilities each accounted for more than 10% individually.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During these periods, no other customer accounted for 10% or more of the Company's net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144" w:lineRule="exact"/>
        <w:rPr>
          <w:sz w:val="20"/>
          <w:szCs w:val="20"/>
          <w:color w:val="auto"/>
        </w:rPr>
      </w:pPr>
    </w:p>
    <w:p>
      <w:pPr>
        <w:jc w:val="both"/>
        <w:ind w:right="600"/>
        <w:spacing w:after="0" w:line="235" w:lineRule="auto"/>
        <w:rPr>
          <w:sz w:val="20"/>
          <w:szCs w:val="20"/>
          <w:color w:val="auto"/>
        </w:rPr>
      </w:pPr>
      <w:r>
        <w:rPr>
          <w:rFonts w:ascii="Arial" w:cs="Arial" w:eastAsia="Arial" w:hAnsi="Arial"/>
          <w:sz w:val="18"/>
          <w:szCs w:val="18"/>
          <w:color w:val="auto"/>
        </w:rPr>
        <w:t>The Company has foreign currency exchange risk related to revenue and operating expenses in currencies other than the local currencies in which it operates. The Company is exposed to currency risk from the potential changes in functional currency values of its assets, liabilities, and cash flows denominated in foreign currencies.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17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The Company continues to monitor the impact of the COVID-19 pandemic on all aspects of its business and geographies, including how it will impact business partners. While the Company experienced disruptions during the year ended December 31, 2020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Depending upon the duration and severity of the pandemic, the continuing effect on the Company's results and outlook over the long term remains uncertain.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4.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disaggregated by geographic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4980" w:type="dxa"/>
            <w:vAlign w:val="bottom"/>
            <w:tcBorders>
              <w:bottom w:val="single" w:sz="8" w:color="CCEEFF"/>
            </w:tcBorders>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Geographic Market</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2,374,687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1,605,814</w:t>
            </w:r>
          </w:p>
        </w:tc>
        <w:tc>
          <w:tcPr>
            <w:tcW w:w="4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1,051,206</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665,627</w:t>
            </w:r>
          </w:p>
        </w:tc>
        <w:tc>
          <w:tcPr>
            <w:tcW w:w="40" w:type="dxa"/>
            <w:vAlign w:val="bottom"/>
            <w:shd w:val="clear" w:color="auto" w:fill="CCEEFF"/>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Germany</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53,925</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102,427</w:t>
            </w:r>
          </w:p>
        </w:tc>
        <w:tc>
          <w:tcPr>
            <w:tcW w:w="4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16,014</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16,411</w:t>
            </w:r>
          </w:p>
        </w:tc>
        <w:tc>
          <w:tcPr>
            <w:tcW w:w="40" w:type="dxa"/>
            <w:vAlign w:val="bottom"/>
            <w:shd w:val="clear" w:color="auto" w:fill="CCEEFF"/>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Net Sales</w:t>
            </w:r>
          </w:p>
        </w:tc>
        <w:tc>
          <w:tcPr>
            <w:tcW w:w="3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3,495,832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2,390,279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Revenue, net of discounts, vouchers, rebates, returns, and co-payment assistance is solely generated from the sales of the gammaCore products. 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Revenue is measured based on the consideration that the Company expects to receive in exchange for gammaCore, which represents the transaction</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price. The transaction price includes the fixed per-unit price of the product and variable consideration in the form of trade credits, rebates, and co-payment assistance. The per-unit price is based on the Company’s established wholesale acquisition cost less a contractually agreed upon distributor discount with the customer.</w:t>
      </w:r>
    </w:p>
    <w:p>
      <w:pPr>
        <w:spacing w:after="0" w:line="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For the years ended December 31, 2020 and 2019, trade credits and discounts were immaterial.</w:t>
      </w:r>
    </w:p>
    <w:p>
      <w:pPr>
        <w:spacing w:after="0" w:line="8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In October 2018, the Company launched its </w:t>
      </w:r>
      <w:r>
        <w:rPr>
          <w:rFonts w:ascii="Arial" w:cs="Arial" w:eastAsia="Arial" w:hAnsi="Arial"/>
          <w:sz w:val="17"/>
          <w:szCs w:val="17"/>
          <w:i w:val="1"/>
          <w:iCs w:val="1"/>
          <w:color w:val="auto"/>
        </w:rPr>
        <w:t>Partners for Coverage</w:t>
      </w:r>
      <w:r>
        <w:rPr>
          <w:rFonts w:ascii="Arial" w:cs="Arial" w:eastAsia="Arial" w:hAnsi="Arial"/>
          <w:sz w:val="17"/>
          <w:szCs w:val="17"/>
          <w:color w:val="auto"/>
        </w:rPr>
        <w:t xml:space="preserve"> program that allows eligible commercial insurance patients uninterrupted access to gammaCore for up to two months while insurance coverage is being pursued. In February 2019, this program was modified to provide therapy to patients for up to 12 months while insurance coverage is being pursued. In December 2019, the Company terminated this program.</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Reimbursement for co-payments made by patients under the co-payment assistance program is considered variable consideration. Beginning in February 2019, eligible patients could receive a reduction of up to $300 from the cost of co-payments for the first month of therapy and a reduction of up to $250 from the cost of each refill for a maximum of 12 months. Effective March 1, 2020, the amount of monthly co-payment assistance was reduced to a maximum of $100 per prescription. For the years ended December 31, 2020 and 2019, net sales reflect a reduction for the reduced cost of therapy under the co-payment assistance program. The calculation of the accrual is based on an estimate of claims and the cost per claim that the Company expects to incur associated with inventory that exists in the distribution channel at period end.</w:t>
      </w:r>
    </w:p>
    <w:p>
      <w:pPr>
        <w:spacing w:after="0" w:line="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Managed care rebates represent our estimated obligations to pharmacy benefit managers. Rebate accruals are recognized in the same period the related revenue is recognized. Gross to net accruals based on estimated rebates were determined to be de minimis.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Company generally invoices the customer and recognizes revenue once its performance obligations are satisfied, at which point payment is unconditional. Accordingly, under ASC 606, the Company’s contracts with customers did not give rise to contract assets or liabilities during the year ended December 31, 2020 and 2019.</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Agreed upon payment terms with customers are within 120 days of shipment. Accordingly, contracts with customers do not include a significant financing component.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9" w:name="page120"/>
    <w:bookmarkEnd w:id="119"/>
    <w:p>
      <w:pPr>
        <w:ind w:left="3280"/>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cash, cash equivalents and marketable securities as of December 31, 2020 and 2019.</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20" w:type="dxa"/>
            <w:vAlign w:val="bottom"/>
            <w:tcBorders>
              <w:top w:val="single" w:sz="8" w:color="auto"/>
            </w:tcBorders>
          </w:tcPr>
          <w:p>
            <w:pPr>
              <w:spacing w:after="0"/>
              <w:rPr>
                <w:sz w:val="11"/>
                <w:szCs w:val="11"/>
                <w:color w:val="auto"/>
              </w:rPr>
            </w:pPr>
          </w:p>
        </w:tc>
        <w:tc>
          <w:tcPr>
            <w:tcW w:w="524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4,241,937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4,241,937</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18,388,970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18,386,160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gridSpan w:val="2"/>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18,388,970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18,386,160</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22,630,907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22,628,097</w:t>
            </w:r>
          </w:p>
        </w:tc>
        <w:tc>
          <w:tcPr>
            <w:tcW w:w="0" w:type="dxa"/>
            <w:vAlign w:val="bottom"/>
          </w:tcPr>
          <w:p>
            <w:pPr>
              <w:spacing w:after="0"/>
              <w:rPr>
                <w:sz w:val="1"/>
                <w:szCs w:val="1"/>
                <w:color w:val="auto"/>
              </w:rPr>
            </w:pPr>
          </w:p>
        </w:tc>
      </w:tr>
      <w:tr>
        <w:trPr>
          <w:trHeight w:val="223"/>
        </w:trPr>
        <w:tc>
          <w:tcPr>
            <w:tcW w:w="15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520" w:type="dxa"/>
            <w:vAlign w:val="bottom"/>
            <w:tcBorders>
              <w:top w:val="single" w:sz="8" w:color="auto"/>
            </w:tcBorders>
            <w:shd w:val="clear" w:color="auto" w:fill="CCEEFF"/>
          </w:tcPr>
          <w:p>
            <w:pPr>
              <w:spacing w:after="0"/>
              <w:rPr>
                <w:sz w:val="11"/>
                <w:szCs w:val="11"/>
                <w:color w:val="auto"/>
              </w:rPr>
            </w:pPr>
          </w:p>
        </w:tc>
        <w:tc>
          <w:tcPr>
            <w:tcW w:w="5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w w:val="94"/>
              </w:rPr>
              <w:t>Amortized Cost</w:t>
            </w:r>
          </w:p>
        </w:tc>
        <w:tc>
          <w:tcPr>
            <w:tcW w:w="14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2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1000" w:type="dxa"/>
            <w:vAlign w:val="bottom"/>
            <w:tcBorders>
              <w:bottom w:val="single" w:sz="8" w:color="auto"/>
            </w:tcBorders>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13,564,252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13,563,791</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U.S. Treasury Bonds</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10,494,539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10,495,350</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10,494,539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10,495,350</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24,058,791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24,059,141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Company’s U.S. treasury bonds mature within one year.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carried at fair value are classified and disclosed in one of the following three levels of the fair value hierarchy:</w:t>
      </w:r>
    </w:p>
    <w:p>
      <w:pPr>
        <w:spacing w:after="0" w:line="225"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5"/>
        </w:trPr>
        <w:tc>
          <w:tcPr>
            <w:tcW w:w="1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4"/>
              </w:rPr>
              <w:t>December 31, 2020</w:t>
            </w:r>
          </w:p>
        </w:tc>
        <w:tc>
          <w:tcPr>
            <w:tcW w:w="24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9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4,241,937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4,241,937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Treasury Bonds</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18,386,160</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18,386,160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63"/>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22,628,097</w:t>
            </w: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22,628,097</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tcPr>
          <w:p>
            <w:pPr>
              <w:spacing w:after="0"/>
              <w:rPr>
                <w:sz w:val="22"/>
                <w:szCs w:val="22"/>
                <w:color w:val="auto"/>
              </w:rPr>
            </w:pPr>
          </w:p>
        </w:tc>
      </w:tr>
      <w:tr>
        <w:trPr>
          <w:trHeight w:val="210"/>
        </w:trPr>
        <w:tc>
          <w:tcPr>
            <w:tcW w:w="14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2019</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13,563,791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13,563,791</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3900" w:type="dxa"/>
            <w:vAlign w:val="bottom"/>
            <w:gridSpan w:val="2"/>
          </w:tcPr>
          <w:p>
            <w:pPr>
              <w:ind w:left="260"/>
              <w:spacing w:after="0"/>
              <w:rPr>
                <w:sz w:val="20"/>
                <w:szCs w:val="20"/>
                <w:color w:val="auto"/>
              </w:rPr>
            </w:pPr>
            <w:r>
              <w:rPr>
                <w:rFonts w:ascii="Arial" w:cs="Arial" w:eastAsia="Arial" w:hAnsi="Arial"/>
                <w:sz w:val="18"/>
                <w:szCs w:val="18"/>
                <w:color w:val="auto"/>
              </w:rPr>
              <w:t>U.S. Treasury Bonds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10,495,350</w:t>
            </w: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10,495,350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24,059,141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24,059,141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recognizes transfers between levels of the fair value hierarchy as of the end of the reporting period. There were no transfers within the hierarchy during the years ended December 31, 2020 and 2019. The carrying amount of the Company’s receivables and payables approximate their fair value due to their maturity.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inventories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7"/>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550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1,008,653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1,065,345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Work in process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4,304,415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5,314,763</w:t>
            </w:r>
          </w:p>
        </w:tc>
        <w:tc>
          <w:tcPr>
            <w:tcW w:w="40" w:type="dxa"/>
            <w:vAlign w:val="bottom"/>
          </w:tcPr>
          <w:p>
            <w:pPr>
              <w:spacing w:after="0"/>
              <w:rPr>
                <w:sz w:val="19"/>
                <w:szCs w:val="19"/>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428,549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531,064</w:t>
            </w:r>
          </w:p>
        </w:tc>
        <w:tc>
          <w:tcPr>
            <w:tcW w:w="40" w:type="dxa"/>
            <w:vAlign w:val="bottom"/>
            <w:shd w:val="clear" w:color="auto" w:fill="CCEEFF"/>
          </w:tcPr>
          <w:p>
            <w:pPr>
              <w:spacing w:after="0"/>
              <w:rPr>
                <w:sz w:val="19"/>
                <w:szCs w:val="19"/>
                <w:color w:val="auto"/>
              </w:rPr>
            </w:pPr>
          </w:p>
        </w:tc>
      </w:tr>
      <w:tr>
        <w:trPr>
          <w:trHeight w:val="223"/>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Inventory</w:t>
            </w:r>
          </w:p>
        </w:tc>
        <w:tc>
          <w:tcPr>
            <w:tcW w:w="35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5,741,617</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6,911,172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inventory</w:t>
            </w:r>
          </w:p>
        </w:tc>
        <w:tc>
          <w:tcPr>
            <w:tcW w:w="3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4,865,181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6,020,180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35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876,436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and 2019, the Company reserved $721,462 and $287,544 respectively, for obsolete inventory. The Company records charges for obsolete inventory in cost of goods sold. As of December 31, 2020 and 2019, noncurrent inventory was comprised of approximately $0.7 million and $1.0 million of raw materials, respectively, and $4.2 million and $5.0 million of work in process,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implemented FASB ASU 2016-02, Leases (Topic 842), which required lessees to recognize most leases on its balance sheet effective January 1, 2019. The Company recognized $3.9 million of right of use assets for leases for office, manufacturing and warehouse space and office equipment. The Company also recognized $4.2 million for lease liabilities. The Company elected not to recognize right of use assets and lease liabilities for short term leases, i.e., leases with a noncancelable period of 12 months or less.</w:t>
      </w:r>
    </w:p>
    <w:p>
      <w:pPr>
        <w:spacing w:after="0" w:line="18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leases have remaining lease terms of approximately one to four years, some of which include options to extend the leases for up to an additional five years. For the leases for the office space in Basking Ridge, New Jersey and the manufacturing and warehouse space in Rockaway, New Jersey, the Company recognized the options to renew the leases as part of the right of use asset and the lease liability as the Company deemed that the renewal options were reasonably certain to be exercised. However, due to the Company’s decision to implement a comprehensive redeployment and cost reduction plan implemented in June 2019, the Company determined the renewal option for the office space at the Basking Ridge location was no longer reasonably certain to be exercised. The Company remeasured the Basking Ridge right of use asset and the lease liability beginning June 1, 2019 utilizing the newly expected lease term.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Consistent with the Company’s 2019 cost reduction plan, it continues to evaluate and implement cost reduction strategies as appropriate. Effective December 31, 2020, the Company relocated its corporate headquarters to the site of its manufacturing facility in Rockaway, New Jersey. Although the Basking Ridge lease agreement provides for sublease, the Company will not elect this option in light of the current economic downturn in commercial real estate due to the pandemic and other factors. In December 2020, the Company informed the Basking Ridge landlord of its intention to vacate the Basking Ridge office space on December 31, 2020. The Company is currently in negotiations with the Basking Ridge landlord. Effective December 31, 2020, the Company vacated the Basking Ridge office space. On December 31, 2020, the Company wrote off the net book value of the operating lease right of use asset in the amount of $534,493 along with the related asset balances totaling $23,050. This charge is reflected in the Company’s Consolidated Statement of Operations for the year ended December 31, 2020, under selling, general and administrative expense.</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incremental borrowing rate used to determine the net present value of the leases at inception was 9.75%. This is the incremental borrowing rate that represents the rate of interest that the Company would expect to pay to borrow an amount equal to the lease payments under similar terms. As the Company does not borrow on a collateralized basis, the non-collateralized borrowing rate is used as an input in deriving the incremental borrowing rate. Following the comprehensive redeployment and cost reduction plan announcement and as required in the lease remeasurement process under Topic 842, the incremental borrowing rate was reassessed and increased to 13.75% at the time of remeasurement. The remeasurement updated the net present value of all operating leases from inception using the new discount rate at June 1, 2019.</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years ended December 31, 2020 and 2019, the Company recognized lease expense of $573,046 and $787,952, respectively. This expense does not include non-lease components associated with the lease agreements as the Company elected not to include such charges as part of the lease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Balance Sheet Information for Operating Leases: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5"/>
        </w:trPr>
        <w:tc>
          <w:tcPr>
            <w:tcW w:w="1040" w:type="dxa"/>
            <w:vAlign w:val="bottom"/>
            <w:tcBorders>
              <w:bottom w:val="single" w:sz="8" w:color="CCEEFF"/>
            </w:tcBorders>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Operating lease right of use assets</w:t>
            </w:r>
          </w:p>
        </w:tc>
        <w:tc>
          <w:tcPr>
            <w:tcW w:w="1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517,257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1,430,641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534,547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486,445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885,333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1,419,880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lease liabilities</w:t>
            </w:r>
          </w:p>
        </w:tc>
        <w:tc>
          <w:tcPr>
            <w:tcW w:w="8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1,419,880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1,906,325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499"/>
        </w:trPr>
        <w:tc>
          <w:tcPr>
            <w:tcW w:w="798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as of December 31, 2020:</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Financial year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9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786,584</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337,254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2023</w:t>
            </w:r>
          </w:p>
        </w:tc>
        <w:tc>
          <w:tcPr>
            <w:tcW w:w="6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142,892</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146,044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2025</w:t>
            </w:r>
          </w:p>
        </w:tc>
        <w:tc>
          <w:tcPr>
            <w:tcW w:w="6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149,700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526,560</w:t>
            </w:r>
          </w:p>
        </w:tc>
        <w:tc>
          <w:tcPr>
            <w:tcW w:w="0" w:type="dxa"/>
            <w:vAlign w:val="bottom"/>
          </w:tcPr>
          <w:p>
            <w:pPr>
              <w:spacing w:after="0"/>
              <w:rPr>
                <w:sz w:val="1"/>
                <w:szCs w:val="1"/>
                <w:color w:val="auto"/>
              </w:rPr>
            </w:pPr>
          </w:p>
        </w:tc>
      </w:tr>
      <w:tr>
        <w:trPr>
          <w:trHeight w:val="223"/>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Total future minimum lease payments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2,089,034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(669,154)</w:t>
            </w:r>
          </w:p>
        </w:tc>
        <w:tc>
          <w:tcPr>
            <w:tcW w:w="0" w:type="dxa"/>
            <w:vAlign w:val="bottom"/>
          </w:tcPr>
          <w:p>
            <w:pPr>
              <w:spacing w:after="0"/>
              <w:rPr>
                <w:sz w:val="1"/>
                <w:szCs w:val="1"/>
                <w:color w:val="auto"/>
              </w:rPr>
            </w:pPr>
          </w:p>
        </w:tc>
      </w:tr>
      <w:tr>
        <w:trPr>
          <w:trHeight w:val="223"/>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1,419,880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940" w:type="dxa"/>
            <w:vAlign w:val="bottom"/>
            <w:vMerge w:val="restart"/>
          </w:tcPr>
          <w:p>
            <w:pPr>
              <w:ind w:left="442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04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auto"/>
            </w:tcBorders>
          </w:tcPr>
          <w:p>
            <w:pPr>
              <w:spacing w:after="0"/>
              <w:rPr>
                <w:sz w:val="11"/>
                <w:szCs w:val="11"/>
                <w:color w:val="auto"/>
              </w:rPr>
            </w:pPr>
          </w:p>
        </w:tc>
        <w:tc>
          <w:tcPr>
            <w:tcW w:w="69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Cloud Computing Arrangement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2018, the Company entered into a contract to obtain a cloud computing arrangement (“CCA”). In accordance with ASU 2018-15, the implementation costs incurred in the CCA were deferred and recognized as other assets and are being amortized to expense over the noncancelable term of the arrangement. The implementation of this CCA was completed on June 30, 2019. Beginning July 1, 2019, the Company went live with the cloud computing Enterprise Resource Planning system and all future related costs are expensed as incurred. In July 2019, the Company began amortizing the related deferred costs over the remaining period of the noncancelable arrangement. Amortization costs for the year ended December 31, 2020 and 2019 were $282,075 and $141,037, respectively. As of December 31, 2020, the remaining term of the lease is approximately three years. The CCA is included under the caption Other assets, net as presented in the Company's balance sheet for the years ended December 31, 2020 and 2019 and is summarized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10"/>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91"/>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Computing Arrangement</w:t>
            </w:r>
          </w:p>
        </w:tc>
        <w:tc>
          <w:tcPr>
            <w:tcW w:w="4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0" w:type="dxa"/>
            <w:vAlign w:val="bottom"/>
            <w:vMerge w:val="continue"/>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1,222,322</w:t>
            </w:r>
          </w:p>
        </w:tc>
        <w:tc>
          <w:tcPr>
            <w:tcW w:w="40" w:type="dxa"/>
            <w:vAlign w:val="bottom"/>
            <w:vMerge w:val="continue"/>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1,222,322</w:t>
            </w:r>
          </w:p>
        </w:tc>
        <w:tc>
          <w:tcPr>
            <w:tcW w:w="20" w:type="dxa"/>
            <w:vAlign w:val="bottom"/>
            <w:vMerge w:val="continue"/>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423,112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141,037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 Computing Arrangement, net</w:t>
            </w:r>
          </w:p>
        </w:tc>
        <w:tc>
          <w:tcPr>
            <w:tcW w:w="40" w:type="dxa"/>
            <w:vAlign w:val="bottom"/>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0" w:type="dxa"/>
            <w:vAlign w:val="bottom"/>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799,210</w:t>
            </w:r>
          </w:p>
        </w:tc>
        <w:tc>
          <w:tcPr>
            <w:tcW w:w="40" w:type="dxa"/>
            <w:vAlign w:val="bottom"/>
            <w:vMerge w:val="continue"/>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1,081,285</w:t>
            </w:r>
          </w:p>
        </w:tc>
        <w:tc>
          <w:tcPr>
            <w:tcW w:w="20" w:type="dxa"/>
            <w:vAlign w:val="bottom"/>
            <w:vMerge w:val="continue"/>
          </w:tcPr>
          <w:p>
            <w:pPr>
              <w:spacing w:after="0"/>
              <w:rPr>
                <w:sz w:val="21"/>
                <w:szCs w:val="21"/>
                <w:color w:val="auto"/>
              </w:rPr>
            </w:pP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Note 10. Accrued Expenses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Arial" w:cs="Arial" w:eastAsia="Arial" w:hAnsi="Arial"/>
                <w:sz w:val="18"/>
                <w:szCs w:val="18"/>
                <w:color w:val="auto"/>
              </w:rPr>
              <w:t>Accrued expenses as of December 31, 2020 and 2019 consisted of the following: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2"/>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270,543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1,255,494</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4"/>
          </w:tcPr>
          <w:p>
            <w:pPr>
              <w:spacing w:after="0"/>
              <w:rPr>
                <w:sz w:val="20"/>
                <w:szCs w:val="20"/>
                <w:color w:val="auto"/>
              </w:rPr>
            </w:pPr>
            <w:r>
              <w:rPr>
                <w:rFonts w:ascii="Arial" w:cs="Arial" w:eastAsia="Arial" w:hAnsi="Arial"/>
                <w:sz w:val="18"/>
                <w:szCs w:val="18"/>
                <w:color w:val="auto"/>
              </w:rPr>
              <w:t>Accrued bonuses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8"/>
          </w:tcPr>
          <w:p>
            <w:pPr>
              <w:jc w:val="right"/>
              <w:ind w:right="20"/>
              <w:spacing w:after="0"/>
              <w:rPr>
                <w:sz w:val="20"/>
                <w:szCs w:val="20"/>
                <w:color w:val="auto"/>
              </w:rPr>
            </w:pPr>
            <w:r>
              <w:rPr>
                <w:rFonts w:ascii="Arial" w:cs="Arial" w:eastAsia="Arial" w:hAnsi="Arial"/>
                <w:sz w:val="18"/>
                <w:szCs w:val="18"/>
                <w:color w:val="auto"/>
              </w:rPr>
              <w:t>1,424,878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804,082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employee related expenses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371,033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836,754</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color w:val="auto"/>
              </w:rPr>
              <w:t>734,366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441,049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2,800,820</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3,337,379</w:t>
            </w:r>
          </w:p>
        </w:tc>
        <w:tc>
          <w:tcPr>
            <w:tcW w:w="8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Under the Paycheck Protection Program</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4, 2020, the Company received proceeds of $1.4 million in connection with a promissory note (the “Note”) entered into with Citibank, N.A. (the “Lender”) evidencing an unsecured loan (the “Loan”) under the Paycheck Protection Program ("PPP"). The PPP is a program of the SBA established under the CARES Act. Under the PPP, the proceeds of the Loan may be used for payroll and certain covered interest payments, lease payments and utility payments (“Qualifying Expenses”). The Company intends to use the entire Loan amount for Qualifying Expenses under the PPP.</w:t>
      </w:r>
    </w:p>
    <w:p>
      <w:pPr>
        <w:spacing w:after="0" w:line="1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interest rate on the Loan is 1.0% per annum. The Note matures on February 2, 2023. On September 2, 2021 (the “First Payment Date”), the Company is required to pay all accrued interest under the Loan that is not forgiven in accordance with the terms of the PPP. Additionally, on the First Payment Date and on the second day of each month thereafter until February 2, 2023, the Company must make equal monthly payments of the amount of principal under the Loan that is not forgiven in accordance with the terms of the PPP and related accrued interest thereon. The Company intends to apply for loan forgiveness under the guidelines of the SBA, which would result in a delay or elimination of the repayment period, if accepted in whole or in part by the Lender and SBA. The Note contains events of default and other conditions customary for a Note of this type.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terms of the CARES Act, PPP loan recipients can be granted forgiveness for all or a portion of the loan granted under the PPP, with such forgiveness to be determined, subject to limitations, based on the use of the loan proceeds for payment of Qualifying Expenses and the recipient maintaining its payroll levels over certain required thresholds under the PPP. The terms of any forgiveness also may be subject to further requirements in any regulations and guidelines the SBA may adopt. No assurance can be provided that the Company will obtain forgiveness of the Note in whole or in part. Official guidance and interpretations of the requirements of the program have been limited and have been changing over time. Despite the Company’s good-faith belief that it properly satisfied all eligibility requirements for the PPP loan, there has been increasing scrutiny of public companies that received loans, and there can be no assurance that the Company will not become subject to regulatory or other scrutiny, including a request or requirement for repayment of some or all of the loan.</w:t>
      </w:r>
    </w:p>
    <w:p>
      <w:pPr>
        <w:spacing w:after="0" w:line="19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The Company has accounted for the Loan in accordance with FASB ASC Topic 470, </w:t>
      </w:r>
      <w:r>
        <w:rPr>
          <w:rFonts w:ascii="Arial" w:cs="Arial" w:eastAsia="Arial" w:hAnsi="Arial"/>
          <w:sz w:val="18"/>
          <w:szCs w:val="18"/>
          <w:i w:val="1"/>
          <w:iCs w:val="1"/>
          <w:color w:val="auto"/>
        </w:rPr>
        <w:t>Debt</w:t>
      </w:r>
      <w:r>
        <w:rPr>
          <w:rFonts w:ascii="Arial" w:cs="Arial" w:eastAsia="Arial" w:hAnsi="Arial"/>
          <w:sz w:val="18"/>
          <w:szCs w:val="18"/>
          <w:color w:val="auto"/>
        </w:rPr>
        <w:t>. Accordingly, the Loan is reflected as a liability on its Consolidated Balance Sheet as of December 31, 2020, $311,604 as a current liability and $1,097,946 and as a noncurrent liability. The Company will record a gain if the Loan is forgiven in whole or in part.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Security Agreements</w:t>
      </w:r>
    </w:p>
    <w:p>
      <w:pPr>
        <w:spacing w:after="0" w:line="19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On July 1, 2020, the Company entered into a Commercial Insurance Premium Finance and Security Agreement (“the Agreement”). The Agreement provides for a single borrowing by the Company of $1.2 million, with a seven-month term and an annual interest rate of 2.18%. The proceeds from this transaction were used to partially fund the premiums due under some of the Company’s insurance policies. The amounts payable are secured by the Company’s rights under such policies. The Company began to pay monthly installments of approximately $164,800 beginning in July 2020. As of December 31, 2020, the remaining balance under the Agreement was $164,832 and during the year ended December 31, 2020, the Company recognized $8,339 in interest expense.</w:t>
      </w:r>
    </w:p>
    <w:p>
      <w:pPr>
        <w:spacing w:after="0" w:line="1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July 1, 2019, the Company entered into a separate Commercial Insurance Premium Finance and Security Agreement (“the 2019 Agreement”). The 2019 Agreement provided for a single borrowing by the Company of $807,347, with a seven-month term, and an annual interest rate of 2.99%. The proceeds from this transaction were used to partially fund the premiums due under some of the Company’s insurance policies. As of December 31, 2020, the balance was fully paid. During the years ended December 31, 2020 and 2019, the Company recognized $341 and $3,457 in interest expense,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March 27, 2020, the Company and Lincoln Park entered into an equity facility purchase agreement ("Purchase Agreement") pursuant to which the Company has the right to sell to Lincoln Park shares of common stock having an aggregate value of up to $25,000,000, subject to certain limitations and conditions set forth in the purchase agreement.</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entering into the Purchase Agreement with Lincoln Park, the Company issued an aggregate of 461,676 shares of common stock to Lincoln Park as a commitment fee. The fair value of these shares on the date of issuance was approximately $186,300. During 2020, the Company issued to an additional 230,838 shares of common stock to Lincoln Park as a further commitment fee based on the first $5,000,000 of shares of common stock issued to Lincoln Park under the Purchase Agreement as Purchase Shares (as such term is defined in the Purchase Agreement). The Company did not receive any cash proceeds from the issuance of any of the foregoing commitment shares. No further commitment fee shares remain issuable under the Purchase Agreement. The net proceeds under the Purchase Agreement to the Company will depend on the frequency and prices at which shares of common stock are sold to Lincoln Park. Actual sales of shares of common stock to Lincoln Park under the Purchase Agreement and the amount of such net proceeds will depend on a variety of factors, including market conditions, the trading price of the common stock and determinations by the Company as to other available and appropriate sources of funding for the Company. The Company has and expects to continue to use the proceeds from this agreement for general corporate purposes and working capital.</w:t>
      </w:r>
    </w:p>
    <w:p>
      <w:pPr>
        <w:spacing w:after="0" w:line="11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During 2020, the Company sold 10,179,676 shares of common stock under the Purchase Agreement, resulting in aggregate proceeds of approximately $15.5 million to the Company. As of December 31, 2020, the Company had the right to sell under the Purchase Agreement approximately $9.5 million of additional shares of common stock. See Note. 20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further discussion of the Purchase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Securities Purchase Agreements</w:t>
      </w:r>
    </w:p>
    <w:p>
      <w:pPr>
        <w:spacing w:after="0" w:line="1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April 14, 2020, the Company entered into a Securities Purchase Agreement (“First SPA”) with certain accredited investors pursuant to which the Company agreed to sell an aggregate of 2,058,822 shares of common stock at a purchase price of $0.85 per share for aggregate proceeds to the Company of approximately $1.75 million. Each of the purchasers was an affiliate and/or existing shareholder of the Company, including some members of the Company’s board of directors. In addition, the purchasers were granted customary registration rights as further described in the First SPA.</w:t>
      </w:r>
    </w:p>
    <w:p>
      <w:pPr>
        <w:spacing w:after="0" w:line="9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May 14, 2020, the Company entered into a Securities Purchase Agreement (“Second SPA”) with its legal counsel pursuant to which the Company agreed to issue 1,564,345 shares of common stock, at a purchase price of $0.99 per share. Upon issuance of the shares, certain outstanding financial obligations of the Company owed to its legal counsel were deemed paid and satisfied in full. In addition, the Company’s legal counsel was granted customary registration rights as further described in the Second SPA. During 2020, the Company recorded a non-cash charge of $156,434 in connection with this transaction.</w:t>
      </w:r>
    </w:p>
    <w:p>
      <w:pPr>
        <w:spacing w:after="0" w:line="10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May 18, 2020, the Company entered into a third Securities Purchase Agreement (“Third SPA”) with certain accredited investors pursuant to which the Company agreed to sell an aggregate of 505,205 shares of common stock at a purchase price of $0.9178 per share, for aggregate proceeds to the Company of approximately $0.45 million. In addition, the purchasers were granted customary registration rights as further described in the Third SPA.</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period. Diluted loss per share is computed by dividing net loss by the weighted-average number of shares of common stock outstanding adjusted to give effect to potentially dilutive securities. Restricted stock and unit awards, and stock options have not been included in the diluted loss per share calculation as their inclusion would have had an anti-dilutive effect.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potential common stock equivalents that have been excluded from the computation of diluted loss per share consist of the following:</w:t>
      </w: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030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23"/>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3,815,585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3,131,266</w:t>
            </w:r>
          </w:p>
        </w:tc>
        <w:tc>
          <w:tcPr>
            <w:tcW w:w="60" w:type="dxa"/>
            <w:vAlign w:val="bottom"/>
            <w:shd w:val="clear" w:color="auto" w:fill="CCEEFF"/>
          </w:tcPr>
          <w:p>
            <w:pPr>
              <w:spacing w:after="0"/>
              <w:rPr>
                <w:sz w:val="19"/>
                <w:szCs w:val="19"/>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18"/>
                <w:szCs w:val="18"/>
                <w:color w:val="auto"/>
              </w:rPr>
              <w:t>Nonvested restricted stock and unit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1,039,768</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1,368,998</w:t>
            </w:r>
          </w:p>
        </w:tc>
        <w:tc>
          <w:tcPr>
            <w:tcW w:w="60" w:type="dxa"/>
            <w:vAlign w:val="bottom"/>
          </w:tcPr>
          <w:p>
            <w:pPr>
              <w:spacing w:after="0"/>
              <w:rPr>
                <w:sz w:val="19"/>
                <w:szCs w:val="19"/>
                <w:color w:val="auto"/>
              </w:rPr>
            </w:pPr>
          </w:p>
        </w:tc>
      </w:tr>
      <w:tr>
        <w:trPr>
          <w:trHeight w:val="23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715,199</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715,199</w:t>
            </w:r>
          </w:p>
        </w:tc>
        <w:tc>
          <w:tcPr>
            <w:tcW w:w="60" w:type="dxa"/>
            <w:vAlign w:val="bottom"/>
            <w:shd w:val="clear" w:color="auto" w:fill="CCEEFF"/>
          </w:tcPr>
          <w:p>
            <w:pPr>
              <w:spacing w:after="0"/>
              <w:rPr>
                <w:sz w:val="19"/>
                <w:szCs w:val="19"/>
                <w:color w:val="auto"/>
              </w:rPr>
            </w:pPr>
          </w:p>
        </w:tc>
      </w:tr>
      <w:tr>
        <w:trPr>
          <w:trHeight w:val="223"/>
        </w:trPr>
        <w:tc>
          <w:tcPr>
            <w:tcW w:w="9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5,570,552</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5,215,463</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10"/>
          </w:tcPr>
          <w:p>
            <w:pPr>
              <w:spacing w:after="0"/>
              <w:rPr>
                <w:sz w:val="20"/>
                <w:szCs w:val="20"/>
                <w:color w:val="auto"/>
              </w:rPr>
            </w:pPr>
            <w:r>
              <w:rPr>
                <w:rFonts w:ascii="Arial" w:cs="Arial" w:eastAsia="Arial" w:hAnsi="Arial"/>
                <w:sz w:val="18"/>
                <w:szCs w:val="18"/>
                <w:color w:val="auto"/>
                <w:w w:val="95"/>
              </w:rPr>
              <w:t>The following table summarizes the stock purchase warrants outstanding as of December 31, 2020 and 2019: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b w:val="1"/>
                <w:bCs w:val="1"/>
                <w:color w:val="auto"/>
              </w:rPr>
              <w:t># of Warrants</w:t>
            </w:r>
          </w:p>
        </w:tc>
        <w:tc>
          <w:tcPr>
            <w:tcW w:w="20" w:type="dxa"/>
            <w:vAlign w:val="bottom"/>
            <w:vMerge w:val="continue"/>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35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b w:val="1"/>
                <w:bCs w:val="1"/>
                <w:color w:val="auto"/>
              </w:rPr>
              <w:t>Exercise Price</w:t>
            </w:r>
          </w:p>
        </w:tc>
        <w:tc>
          <w:tcPr>
            <w:tcW w:w="40" w:type="dxa"/>
            <w:vAlign w:val="bottom"/>
            <w:vMerge w:val="continue"/>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54"/>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88"/>
              </w:rPr>
              <w:t>8,576</w:t>
            </w:r>
          </w:p>
        </w:tc>
        <w:tc>
          <w:tcPr>
            <w:tcW w:w="3700" w:type="dxa"/>
            <w:vAlign w:val="bottom"/>
            <w:gridSpan w:val="4"/>
          </w:tcPr>
          <w:p>
            <w:pPr>
              <w:jc w:val="center"/>
              <w:ind w:left="90"/>
              <w:spacing w:after="0"/>
              <w:rPr>
                <w:sz w:val="20"/>
                <w:szCs w:val="20"/>
                <w:color w:val="auto"/>
              </w:rPr>
            </w:pPr>
            <w:r>
              <w:rPr>
                <w:rFonts w:ascii="Arial" w:cs="Arial" w:eastAsia="Arial" w:hAnsi="Arial"/>
                <w:sz w:val="18"/>
                <w:szCs w:val="18"/>
                <w:color w:val="auto"/>
                <w:w w:val="88"/>
              </w:rPr>
              <w:t>$8.86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jc w:val="center"/>
              <w:ind w:right="650"/>
              <w:spacing w:after="0"/>
              <w:rPr>
                <w:sz w:val="20"/>
                <w:szCs w:val="20"/>
                <w:color w:val="auto"/>
              </w:rPr>
            </w:pPr>
            <w:r>
              <w:rPr>
                <w:rFonts w:ascii="Arial" w:cs="Arial" w:eastAsia="Arial" w:hAnsi="Arial"/>
                <w:sz w:val="18"/>
                <w:szCs w:val="18"/>
                <w:color w:val="auto"/>
                <w:w w:val="91"/>
              </w:rPr>
              <w:t>4/1/2021</w:t>
            </w:r>
          </w:p>
        </w:tc>
        <w:tc>
          <w:tcPr>
            <w:tcW w:w="0" w:type="dxa"/>
            <w:vAlign w:val="bottom"/>
          </w:tcPr>
          <w:p>
            <w:pPr>
              <w:spacing w:after="0"/>
              <w:rPr>
                <w:sz w:val="1"/>
                <w:szCs w:val="1"/>
                <w:color w:val="auto"/>
              </w:rPr>
            </w:pPr>
          </w:p>
        </w:tc>
      </w:tr>
      <w:tr>
        <w:trPr>
          <w:trHeight w:val="40"/>
        </w:trPr>
        <w:tc>
          <w:tcPr>
            <w:tcW w:w="40" w:type="dxa"/>
            <w:vAlign w:val="bottom"/>
            <w:vMerge w:val="restart"/>
          </w:tcPr>
          <w:p>
            <w:pPr>
              <w:spacing w:after="0"/>
              <w:rPr>
                <w:sz w:val="3"/>
                <w:szCs w:val="3"/>
                <w:color w:val="auto"/>
              </w:rPr>
            </w:pPr>
          </w:p>
        </w:tc>
        <w:tc>
          <w:tcPr>
            <w:tcW w:w="3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vMerge w:val="continue"/>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429,948</w:t>
            </w:r>
          </w:p>
        </w:tc>
        <w:tc>
          <w:tcPr>
            <w:tcW w:w="20" w:type="dxa"/>
            <w:vAlign w:val="bottom"/>
            <w:vMerge w:val="continue"/>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$12.60</w:t>
            </w:r>
          </w:p>
        </w:tc>
        <w:tc>
          <w:tcPr>
            <w:tcW w:w="4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90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2"/>
              </w:rPr>
              <w:t>6/24/2021</w:t>
            </w:r>
          </w:p>
        </w:tc>
        <w:tc>
          <w:tcPr>
            <w:tcW w:w="0" w:type="dxa"/>
            <w:vAlign w:val="bottom"/>
          </w:tcPr>
          <w:p>
            <w:pPr>
              <w:spacing w:after="0"/>
              <w:rPr>
                <w:sz w:val="1"/>
                <w:szCs w:val="1"/>
                <w:color w:val="auto"/>
              </w:rPr>
            </w:pPr>
          </w:p>
        </w:tc>
      </w:tr>
      <w:tr>
        <w:trPr>
          <w:trHeight w:val="25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0"/>
              </w:rPr>
              <w:t>59,731</w:t>
            </w:r>
          </w:p>
        </w:tc>
        <w:tc>
          <w:tcPr>
            <w:tcW w:w="3700" w:type="dxa"/>
            <w:vAlign w:val="bottom"/>
            <w:gridSpan w:val="4"/>
          </w:tcPr>
          <w:p>
            <w:pPr>
              <w:jc w:val="center"/>
              <w:ind w:left="90"/>
              <w:spacing w:after="0"/>
              <w:rPr>
                <w:sz w:val="20"/>
                <w:szCs w:val="20"/>
                <w:color w:val="auto"/>
              </w:rPr>
            </w:pPr>
            <w:r>
              <w:rPr>
                <w:rFonts w:ascii="Arial" w:cs="Arial" w:eastAsia="Arial" w:hAnsi="Arial"/>
                <w:sz w:val="18"/>
                <w:szCs w:val="18"/>
                <w:color w:val="auto"/>
                <w:w w:val="87"/>
              </w:rPr>
              <w:t>$12.60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jc w:val="center"/>
              <w:ind w:right="670"/>
              <w:spacing w:after="0"/>
              <w:rPr>
                <w:sz w:val="20"/>
                <w:szCs w:val="20"/>
                <w:color w:val="auto"/>
              </w:rPr>
            </w:pPr>
            <w:r>
              <w:rPr>
                <w:rFonts w:ascii="Arial" w:cs="Arial" w:eastAsia="Arial" w:hAnsi="Arial"/>
                <w:sz w:val="18"/>
                <w:szCs w:val="18"/>
                <w:color w:val="auto"/>
                <w:w w:val="92"/>
              </w:rPr>
              <w:t>6/24/2021</w:t>
            </w:r>
          </w:p>
        </w:tc>
        <w:tc>
          <w:tcPr>
            <w:tcW w:w="0" w:type="dxa"/>
            <w:vAlign w:val="bottom"/>
          </w:tcPr>
          <w:p>
            <w:pPr>
              <w:spacing w:after="0"/>
              <w:rPr>
                <w:sz w:val="1"/>
                <w:szCs w:val="1"/>
                <w:color w:val="auto"/>
              </w:rPr>
            </w:pPr>
          </w:p>
        </w:tc>
      </w:tr>
      <w:tr>
        <w:trPr>
          <w:trHeight w:val="40"/>
        </w:trPr>
        <w:tc>
          <w:tcPr>
            <w:tcW w:w="40" w:type="dxa"/>
            <w:vAlign w:val="bottom"/>
            <w:vMerge w:val="restart"/>
          </w:tcPr>
          <w:p>
            <w:pPr>
              <w:spacing w:after="0"/>
              <w:rPr>
                <w:sz w:val="3"/>
                <w:szCs w:val="3"/>
                <w:color w:val="auto"/>
              </w:rPr>
            </w:pPr>
          </w:p>
        </w:tc>
        <w:tc>
          <w:tcPr>
            <w:tcW w:w="3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vMerge w:val="continue"/>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22,253</w:t>
            </w:r>
          </w:p>
        </w:tc>
        <w:tc>
          <w:tcPr>
            <w:tcW w:w="20" w:type="dxa"/>
            <w:vAlign w:val="bottom"/>
            <w:vMerge w:val="continue"/>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$5.68</w:t>
            </w:r>
          </w:p>
        </w:tc>
        <w:tc>
          <w:tcPr>
            <w:tcW w:w="4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90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2"/>
              </w:rPr>
              <w:t>3/30/2022</w:t>
            </w:r>
          </w:p>
        </w:tc>
        <w:tc>
          <w:tcPr>
            <w:tcW w:w="0" w:type="dxa"/>
            <w:vAlign w:val="bottom"/>
          </w:tcPr>
          <w:p>
            <w:pPr>
              <w:spacing w:after="0"/>
              <w:rPr>
                <w:sz w:val="1"/>
                <w:szCs w:val="1"/>
                <w:color w:val="auto"/>
              </w:rPr>
            </w:pPr>
          </w:p>
        </w:tc>
      </w:tr>
      <w:tr>
        <w:trPr>
          <w:trHeight w:val="25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0"/>
              </w:rPr>
              <w:t>17,066</w:t>
            </w:r>
          </w:p>
        </w:tc>
        <w:tc>
          <w:tcPr>
            <w:tcW w:w="3700" w:type="dxa"/>
            <w:vAlign w:val="bottom"/>
            <w:gridSpan w:val="4"/>
          </w:tcPr>
          <w:p>
            <w:pPr>
              <w:jc w:val="center"/>
              <w:ind w:left="90"/>
              <w:spacing w:after="0"/>
              <w:rPr>
                <w:sz w:val="20"/>
                <w:szCs w:val="20"/>
                <w:color w:val="auto"/>
              </w:rPr>
            </w:pPr>
            <w:r>
              <w:rPr>
                <w:rFonts w:ascii="Arial" w:cs="Arial" w:eastAsia="Arial" w:hAnsi="Arial"/>
                <w:sz w:val="18"/>
                <w:szCs w:val="18"/>
                <w:color w:val="auto"/>
                <w:w w:val="87"/>
              </w:rPr>
              <w:t>$12.60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jc w:val="center"/>
              <w:ind w:right="670"/>
              <w:spacing w:after="0"/>
              <w:rPr>
                <w:sz w:val="20"/>
                <w:szCs w:val="20"/>
                <w:color w:val="auto"/>
              </w:rPr>
            </w:pPr>
            <w:r>
              <w:rPr>
                <w:rFonts w:ascii="Arial" w:cs="Arial" w:eastAsia="Arial" w:hAnsi="Arial"/>
                <w:sz w:val="18"/>
                <w:szCs w:val="18"/>
                <w:color w:val="auto"/>
                <w:w w:val="92"/>
              </w:rPr>
              <w:t>6/30/2022</w:t>
            </w:r>
          </w:p>
        </w:tc>
        <w:tc>
          <w:tcPr>
            <w:tcW w:w="0" w:type="dxa"/>
            <w:vAlign w:val="bottom"/>
          </w:tcPr>
          <w:p>
            <w:pPr>
              <w:spacing w:after="0"/>
              <w:rPr>
                <w:sz w:val="1"/>
                <w:szCs w:val="1"/>
                <w:color w:val="auto"/>
              </w:rPr>
            </w:pPr>
          </w:p>
        </w:tc>
      </w:tr>
      <w:tr>
        <w:trPr>
          <w:trHeight w:val="40"/>
        </w:trPr>
        <w:tc>
          <w:tcPr>
            <w:tcW w:w="40" w:type="dxa"/>
            <w:vAlign w:val="bottom"/>
            <w:vMerge w:val="restart"/>
          </w:tcPr>
          <w:p>
            <w:pPr>
              <w:spacing w:after="0"/>
              <w:rPr>
                <w:sz w:val="3"/>
                <w:szCs w:val="3"/>
                <w:color w:val="auto"/>
              </w:rPr>
            </w:pPr>
          </w:p>
        </w:tc>
        <w:tc>
          <w:tcPr>
            <w:tcW w:w="3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vMerge w:val="continue"/>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151,364</w:t>
            </w:r>
          </w:p>
        </w:tc>
        <w:tc>
          <w:tcPr>
            <w:tcW w:w="20" w:type="dxa"/>
            <w:vAlign w:val="bottom"/>
            <w:vMerge w:val="continue"/>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$12.60</w:t>
            </w:r>
          </w:p>
        </w:tc>
        <w:tc>
          <w:tcPr>
            <w:tcW w:w="4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90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2"/>
              </w:rPr>
              <w:t>8/18/2022</w:t>
            </w:r>
          </w:p>
        </w:tc>
        <w:tc>
          <w:tcPr>
            <w:tcW w:w="0" w:type="dxa"/>
            <w:vAlign w:val="bottom"/>
          </w:tcPr>
          <w:p>
            <w:pPr>
              <w:spacing w:after="0"/>
              <w:rPr>
                <w:sz w:val="1"/>
                <w:szCs w:val="1"/>
                <w:color w:val="auto"/>
              </w:rPr>
            </w:pPr>
          </w:p>
        </w:tc>
      </w:tr>
      <w:tr>
        <w:trPr>
          <w:trHeight w:val="25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0"/>
              </w:rPr>
              <w:t>14,286</w:t>
            </w:r>
          </w:p>
        </w:tc>
        <w:tc>
          <w:tcPr>
            <w:tcW w:w="3700" w:type="dxa"/>
            <w:vAlign w:val="bottom"/>
            <w:gridSpan w:val="4"/>
          </w:tcPr>
          <w:p>
            <w:pPr>
              <w:jc w:val="center"/>
              <w:ind w:left="90"/>
              <w:spacing w:after="0"/>
              <w:rPr>
                <w:sz w:val="20"/>
                <w:szCs w:val="20"/>
                <w:color w:val="auto"/>
              </w:rPr>
            </w:pPr>
            <w:r>
              <w:rPr>
                <w:rFonts w:ascii="Arial" w:cs="Arial" w:eastAsia="Arial" w:hAnsi="Arial"/>
                <w:sz w:val="18"/>
                <w:szCs w:val="18"/>
                <w:color w:val="auto"/>
                <w:w w:val="87"/>
              </w:rPr>
              <w:t>$12.60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jc w:val="center"/>
              <w:ind w:right="670"/>
              <w:spacing w:after="0"/>
              <w:rPr>
                <w:sz w:val="20"/>
                <w:szCs w:val="20"/>
                <w:color w:val="auto"/>
              </w:rPr>
            </w:pPr>
            <w:r>
              <w:rPr>
                <w:rFonts w:ascii="Arial" w:cs="Arial" w:eastAsia="Arial" w:hAnsi="Arial"/>
                <w:sz w:val="18"/>
                <w:szCs w:val="18"/>
                <w:color w:val="auto"/>
                <w:w w:val="92"/>
              </w:rPr>
              <w:t>8/31/2022</w:t>
            </w:r>
          </w:p>
        </w:tc>
        <w:tc>
          <w:tcPr>
            <w:tcW w:w="0" w:type="dxa"/>
            <w:vAlign w:val="bottom"/>
          </w:tcPr>
          <w:p>
            <w:pPr>
              <w:spacing w:after="0"/>
              <w:rPr>
                <w:sz w:val="1"/>
                <w:szCs w:val="1"/>
                <w:color w:val="auto"/>
              </w:rPr>
            </w:pPr>
          </w:p>
        </w:tc>
      </w:tr>
      <w:tr>
        <w:trPr>
          <w:trHeight w:val="40"/>
        </w:trPr>
        <w:tc>
          <w:tcPr>
            <w:tcW w:w="40" w:type="dxa"/>
            <w:vAlign w:val="bottom"/>
            <w:vMerge w:val="restart"/>
          </w:tcPr>
          <w:p>
            <w:pPr>
              <w:spacing w:after="0"/>
              <w:rPr>
                <w:sz w:val="3"/>
                <w:szCs w:val="3"/>
                <w:color w:val="auto"/>
              </w:rPr>
            </w:pPr>
          </w:p>
        </w:tc>
        <w:tc>
          <w:tcPr>
            <w:tcW w:w="3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 w:type="dxa"/>
            <w:vAlign w:val="bottom"/>
            <w:vMerge w:val="continue"/>
          </w:tcPr>
          <w:p>
            <w:pPr>
              <w:spacing w:after="0"/>
              <w:rPr>
                <w:sz w:val="20"/>
                <w:szCs w:val="20"/>
                <w:color w:val="auto"/>
              </w:rPr>
            </w:pPr>
          </w:p>
        </w:tc>
        <w:tc>
          <w:tcPr>
            <w:tcW w:w="3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11,975</w:t>
            </w:r>
          </w:p>
        </w:tc>
        <w:tc>
          <w:tcPr>
            <w:tcW w:w="20" w:type="dxa"/>
            <w:vAlign w:val="bottom"/>
            <w:vMerge w:val="continue"/>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$15.30</w:t>
            </w:r>
          </w:p>
        </w:tc>
        <w:tc>
          <w:tcPr>
            <w:tcW w:w="4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90"/>
              </w:rPr>
              <w:t>12/22/2025</w:t>
            </w:r>
          </w:p>
        </w:tc>
        <w:tc>
          <w:tcPr>
            <w:tcW w:w="0" w:type="dxa"/>
            <w:vAlign w:val="bottom"/>
          </w:tcPr>
          <w:p>
            <w:pPr>
              <w:spacing w:after="0"/>
              <w:rPr>
                <w:sz w:val="1"/>
                <w:szCs w:val="1"/>
                <w:color w:val="auto"/>
              </w:rPr>
            </w:pPr>
          </w:p>
        </w:tc>
      </w:tr>
      <w:tr>
        <w:trPr>
          <w:trHeight w:val="263"/>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89"/>
              </w:rPr>
              <w:t>715,199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Variable Interest Entity</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discussed in Note 1, electroCore is the primary beneficiary of electroCore (Aust) Pty Limited. electroCore has contributed certain intellectual property rights, all rights to distribute, market and sell specified products in Australia and New Zealand, and other rights outlined in the shareholders’ deed of electroCore (Aust) Pty Limited in return for 50% of the shares of such entity. In addition, electroCore can also appoint two of the four directors and can exercise significant influence. This along with the fact that electroCore is electroCore (Aust) Pty Limited’s only supplier causes electroCore, for accounting purposes, to be the primary beneficiary of electroCore (Aust) Pty Limited. The activities related to electroCore (Aust) Pty Limited are not material to the consolidated financial statements. Effective May 2017, the VIE ceased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provision for income taxes for the years ended December 31, 2020 and 2019 related to foreign taxes, state minimum tax and a benefit from the sale of state net operating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components of the loss before provision for income taxes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(23,706,566)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(43,661,897)</w:t>
            </w:r>
          </w:p>
        </w:tc>
        <w:tc>
          <w:tcPr>
            <w:tcW w:w="20" w:type="dxa"/>
            <w:vAlign w:val="bottom"/>
            <w:shd w:val="clear" w:color="auto" w:fill="CCEEFF"/>
          </w:tcPr>
          <w:p>
            <w:pPr>
              <w:spacing w:after="0"/>
              <w:rPr>
                <w:sz w:val="19"/>
                <w:szCs w:val="19"/>
                <w:color w:val="auto"/>
              </w:rPr>
            </w:pP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(975,373)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(1,468,287)</w:t>
            </w:r>
          </w:p>
        </w:tc>
        <w:tc>
          <w:tcPr>
            <w:tcW w:w="20" w:type="dxa"/>
            <w:vAlign w:val="bottom"/>
          </w:tcPr>
          <w:p>
            <w:pPr>
              <w:spacing w:after="0"/>
              <w:rPr>
                <w:sz w:val="19"/>
                <w:szCs w:val="19"/>
                <w:color w:val="auto"/>
              </w:rPr>
            </w:pPr>
          </w:p>
        </w:tc>
      </w:tr>
      <w:tr>
        <w:trPr>
          <w:trHeight w:val="223"/>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 (24,681,940)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(45,130,184)</w:t>
            </w:r>
          </w:p>
        </w:tc>
        <w:tc>
          <w:tcPr>
            <w:tcW w:w="20" w:type="dxa"/>
            <w:vAlign w:val="bottom"/>
            <w:tcBorders>
              <w:top w:val="single" w:sz="8" w:color="CCEEFF"/>
            </w:tcBorders>
            <w:shd w:val="clear" w:color="auto" w:fill="CCEEFF"/>
          </w:tcPr>
          <w:p>
            <w:pPr>
              <w:spacing w:after="0"/>
              <w:rPr>
                <w:sz w:val="19"/>
                <w:szCs w:val="19"/>
                <w:color w:val="auto"/>
              </w:rPr>
            </w:pPr>
          </w:p>
        </w:tc>
      </w:tr>
      <w:tr>
        <w:trPr>
          <w:trHeight w:val="459"/>
        </w:trPr>
        <w:tc>
          <w:tcPr>
            <w:tcW w:w="9000" w:type="dxa"/>
            <w:vAlign w:val="bottom"/>
          </w:tcPr>
          <w:p>
            <w:pPr>
              <w:spacing w:after="0"/>
              <w:rPr>
                <w:sz w:val="20"/>
                <w:szCs w:val="20"/>
                <w:color w:val="auto"/>
              </w:rPr>
            </w:pPr>
            <w:r>
              <w:rPr>
                <w:rFonts w:ascii="Arial" w:cs="Arial" w:eastAsia="Arial" w:hAnsi="Arial"/>
                <w:sz w:val="18"/>
                <w:szCs w:val="18"/>
                <w:color w:val="auto"/>
              </w:rPr>
              <w:t>The income tax provision from continuing operations contains the following components: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9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93"/>
        </w:trPr>
        <w:tc>
          <w:tcPr>
            <w:tcW w:w="9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BBBBBB"/>
            </w:tcBorders>
          </w:tcPr>
          <w:p>
            <w:pPr>
              <w:spacing w:after="0"/>
              <w:rPr>
                <w:sz w:val="16"/>
                <w:szCs w:val="16"/>
                <w:color w:val="auto"/>
              </w:rPr>
            </w:pPr>
          </w:p>
        </w:tc>
      </w:tr>
      <w:tr>
        <w:trPr>
          <w:trHeight w:val="20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BBBBBB"/>
            </w:tcBorders>
          </w:tcPr>
          <w:p>
            <w:pPr>
              <w:spacing w:after="0"/>
              <w:rPr>
                <w:sz w:val="17"/>
                <w:szCs w:val="17"/>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(1,170,890)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7,712</w:t>
            </w:r>
          </w:p>
        </w:tc>
        <w:tc>
          <w:tcPr>
            <w:tcW w:w="20" w:type="dxa"/>
            <w:vAlign w:val="bottom"/>
          </w:tcPr>
          <w:p>
            <w:pPr>
              <w:spacing w:after="0"/>
              <w:rPr>
                <w:sz w:val="21"/>
                <w:szCs w:val="21"/>
                <w:color w:val="auto"/>
              </w:rPr>
            </w:pPr>
          </w:p>
        </w:tc>
      </w:tr>
      <w:tr>
        <w:trPr>
          <w:trHeight w:val="280"/>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0" w:type="dxa"/>
            <w:vAlign w:val="bottom"/>
            <w:tcBorders>
              <w:bottom w:val="single" w:sz="8" w:color="BBBBBB"/>
            </w:tcBorders>
          </w:tcPr>
          <w:p>
            <w:pPr>
              <w:spacing w:after="0"/>
              <w:rPr>
                <w:sz w:val="24"/>
                <w:szCs w:val="24"/>
                <w:color w:val="auto"/>
              </w:rPr>
            </w:pPr>
          </w:p>
        </w:tc>
      </w:tr>
      <w:tr>
        <w:trPr>
          <w:trHeight w:val="186"/>
        </w:trPr>
        <w:tc>
          <w:tcPr>
            <w:tcW w:w="9000" w:type="dxa"/>
            <w:vAlign w:val="bottom"/>
          </w:tcPr>
          <w:p>
            <w:pPr>
              <w:spacing w:after="0" w:line="186" w:lineRule="exact"/>
              <w:rPr>
                <w:sz w:val="20"/>
                <w:szCs w:val="20"/>
                <w:color w:val="auto"/>
              </w:rPr>
            </w:pPr>
            <w:r>
              <w:rPr>
                <w:rFonts w:ascii="Arial" w:cs="Arial" w:eastAsia="Arial" w:hAnsi="Arial"/>
                <w:sz w:val="18"/>
                <w:szCs w:val="18"/>
                <w:color w:val="auto"/>
              </w:rPr>
              <w:t>Total current</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8"/>
                <w:szCs w:val="18"/>
                <w:color w:val="auto"/>
                <w:w w:val="89"/>
              </w:rPr>
              <w:t>(1,170,890)</w:t>
            </w:r>
          </w:p>
        </w:tc>
        <w:tc>
          <w:tcPr>
            <w:tcW w:w="1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8"/>
                <w:szCs w:val="18"/>
                <w:color w:val="auto"/>
              </w:rPr>
              <w:t>17,699</w:t>
            </w:r>
          </w:p>
        </w:tc>
        <w:tc>
          <w:tcPr>
            <w:tcW w:w="20" w:type="dxa"/>
            <w:vAlign w:val="bottom"/>
            <w:tcBorders>
              <w:top w:val="single" w:sz="8" w:color="BBBBBB"/>
            </w:tcBorders>
          </w:tcPr>
          <w:p>
            <w:pPr>
              <w:spacing w:after="0"/>
              <w:rPr>
                <w:sz w:val="16"/>
                <w:szCs w:val="16"/>
                <w:color w:val="auto"/>
              </w:rPr>
            </w:pPr>
          </w:p>
        </w:tc>
      </w:tr>
      <w:tr>
        <w:trPr>
          <w:trHeight w:val="280"/>
        </w:trPr>
        <w:tc>
          <w:tcPr>
            <w:tcW w:w="9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9000" w:type="dxa"/>
            <w:vAlign w:val="bottom"/>
            <w:tcBorders>
              <w:top w:val="single" w:sz="8" w:color="CCEEFF"/>
              <w:bottom w:val="single" w:sz="8" w:color="CCEEFF"/>
            </w:tcBorders>
          </w:tcPr>
          <w:p>
            <w:pPr>
              <w:spacing w:after="0" w:line="183" w:lineRule="exact"/>
              <w:rPr>
                <w:sz w:val="20"/>
                <w:szCs w:val="20"/>
                <w:color w:val="auto"/>
              </w:rPr>
            </w:pPr>
            <w:r>
              <w:rPr>
                <w:rFonts w:ascii="Arial" w:cs="Arial" w:eastAsia="Arial" w:hAnsi="Arial"/>
                <w:sz w:val="18"/>
                <w:szCs w:val="18"/>
                <w:color w:val="auto"/>
              </w:rPr>
              <w:t>Total deferred</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BBBBBB"/>
              <w:bottom w:val="single" w:sz="8" w:color="BBBBBB"/>
            </w:tcBorders>
          </w:tcPr>
          <w:p>
            <w:pPr>
              <w:spacing w:after="0"/>
              <w:rPr>
                <w:sz w:val="17"/>
                <w:szCs w:val="17"/>
                <w:color w:val="auto"/>
              </w:rPr>
            </w:pPr>
          </w:p>
        </w:tc>
      </w:tr>
      <w:tr>
        <w:trPr>
          <w:trHeight w:val="223"/>
        </w:trPr>
        <w:tc>
          <w:tcPr>
            <w:tcW w:w="9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income tax (benefit) expense</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(1,170,890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bottom w:val="single" w:sz="8" w:color="CCEEFF"/>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17,699</w:t>
            </w:r>
          </w:p>
        </w:tc>
        <w:tc>
          <w:tcPr>
            <w:tcW w:w="20" w:type="dxa"/>
            <w:vAlign w:val="bottom"/>
            <w:tcBorders>
              <w:top w:val="single" w:sz="8" w:color="BBBBBB"/>
              <w:bottom w:val="single" w:sz="8" w:color="BBBBBB"/>
            </w:tcBorders>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right w:val="single" w:sz="8" w:color="BBBBBB"/>
            </w:tcBorders>
          </w:tcPr>
          <w:p>
            <w:pPr>
              <w:spacing w:after="0" w:line="20" w:lineRule="exact"/>
              <w:rPr>
                <w:sz w:val="1"/>
                <w:szCs w:val="1"/>
                <w:color w:val="auto"/>
              </w:rPr>
            </w:pPr>
          </w:p>
        </w:tc>
        <w:tc>
          <w:tcPr>
            <w:tcW w:w="20" w:type="dxa"/>
            <w:vAlign w:val="bottom"/>
            <w:tcBorders>
              <w:top w:val="single" w:sz="8" w:color="BBBBBB"/>
            </w:tcBorders>
            <w:shd w:val="clear" w:color="auto" w:fill="BBBBB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-1287145</wp:posOffset>
            </wp:positionV>
            <wp:extent cx="59690" cy="128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9690" cy="128587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106680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 The net change in the valuation allowance was an increase of $7.8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the Company’s deferred income tax assets and liabilities after applying enacted corporate tax rates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58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2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24,319,202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18,883,686</w:t>
            </w:r>
          </w:p>
        </w:tc>
      </w:tr>
      <w:tr>
        <w:trPr>
          <w:trHeight w:val="229"/>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540,072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796,849</w:t>
            </w:r>
          </w:p>
        </w:tc>
        <w:tc>
          <w:tcPr>
            <w:tcW w:w="60" w:type="dxa"/>
            <w:vAlign w:val="bottom"/>
            <w:shd w:val="clear" w:color="auto" w:fill="CCEEFF"/>
          </w:tcPr>
          <w:p>
            <w:pPr>
              <w:spacing w:after="0"/>
              <w:rPr>
                <w:sz w:val="19"/>
                <w:szCs w:val="19"/>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Intangibles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429,783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355,288</w:t>
            </w:r>
          </w:p>
        </w:tc>
        <w:tc>
          <w:tcPr>
            <w:tcW w:w="60" w:type="dxa"/>
            <w:vAlign w:val="bottom"/>
          </w:tcPr>
          <w:p>
            <w:pPr>
              <w:spacing w:after="0"/>
              <w:rPr>
                <w:sz w:val="19"/>
                <w:szCs w:val="19"/>
                <w:color w:val="auto"/>
              </w:rPr>
            </w:pPr>
          </w:p>
        </w:tc>
      </w:tr>
      <w:tr>
        <w:trPr>
          <w:trHeight w:val="230"/>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78,206</w:t>
            </w: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Charitable contributions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19,028</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R&amp;D credit</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438,117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394,981</w:t>
            </w:r>
          </w:p>
        </w:tc>
        <w:tc>
          <w:tcPr>
            <w:tcW w:w="60" w:type="dxa"/>
            <w:vAlign w:val="bottom"/>
          </w:tcPr>
          <w:p>
            <w:pPr>
              <w:spacing w:after="0"/>
              <w:rPr>
                <w:sz w:val="19"/>
                <w:szCs w:val="19"/>
                <w:color w:val="auto"/>
              </w:rPr>
            </w:pPr>
          </w:p>
        </w:tc>
      </w:tr>
      <w:tr>
        <w:trPr>
          <w:trHeight w:val="229"/>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liabilities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398,689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518,480</w:t>
            </w:r>
          </w:p>
        </w:tc>
        <w:tc>
          <w:tcPr>
            <w:tcW w:w="60" w:type="dxa"/>
            <w:vAlign w:val="bottom"/>
            <w:shd w:val="clear" w:color="auto" w:fill="CCEEFF"/>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Stock compensation</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3,069,124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750,449</w:t>
            </w:r>
          </w:p>
        </w:tc>
        <w:tc>
          <w:tcPr>
            <w:tcW w:w="60" w:type="dxa"/>
            <w:vAlign w:val="bottom"/>
          </w:tcPr>
          <w:p>
            <w:pPr>
              <w:spacing w:after="0"/>
              <w:rPr>
                <w:sz w:val="19"/>
                <w:szCs w:val="19"/>
                <w:color w:val="auto"/>
              </w:rPr>
            </w:pP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29,435,863</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21,796,967</w:t>
            </w:r>
          </w:p>
        </w:tc>
        <w:tc>
          <w:tcPr>
            <w:tcW w:w="80" w:type="dxa"/>
            <w:vAlign w:val="bottom"/>
            <w:tcBorders>
              <w:top w:val="single" w:sz="8" w:color="CCEEFF"/>
            </w:tcBorders>
            <w:gridSpan w:val="2"/>
            <w:shd w:val="clear" w:color="auto" w:fill="CCEEFF"/>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(28,974,378)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(21,171,967)</w:t>
            </w: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461,485</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Fixed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(15,222)</w:t>
            </w:r>
          </w:p>
        </w:tc>
        <w:tc>
          <w:tcPr>
            <w:tcW w:w="80" w:type="dxa"/>
            <w:vAlign w:val="bottom"/>
            <w:gridSpan w:val="2"/>
          </w:tcPr>
          <w:p>
            <w:pPr>
              <w:spacing w:after="0"/>
              <w:rPr>
                <w:sz w:val="19"/>
                <w:szCs w:val="19"/>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(220,673)</w:t>
            </w: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Right of use asset</w:t>
            </w:r>
          </w:p>
        </w:tc>
        <w:tc>
          <w:tcPr>
            <w:tcW w:w="3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(145,241)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(389,105)</w:t>
            </w:r>
          </w:p>
        </w:tc>
        <w:tc>
          <w:tcPr>
            <w:tcW w:w="80" w:type="dxa"/>
            <w:vAlign w:val="bottom"/>
            <w:tcBorders>
              <w:bottom w:val="single" w:sz="8" w:color="CCEEFF"/>
            </w:tcBorders>
            <w:gridSpan w:val="2"/>
          </w:tcPr>
          <w:p>
            <w:pPr>
              <w:spacing w:after="0"/>
              <w:rPr>
                <w:sz w:val="19"/>
                <w:szCs w:val="19"/>
                <w:color w:val="auto"/>
              </w:rPr>
            </w:pPr>
          </w:p>
        </w:tc>
      </w:tr>
      <w:tr>
        <w:trPr>
          <w:trHeight w:val="22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80" w:type="dxa"/>
            <w:vAlign w:val="bottom"/>
            <w:gridSpan w:val="2"/>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income tax provision computed at statutory rates to the reported income tax provision for the years ended December 31, 2020 and 2019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r>
      <w:tr>
        <w:trPr>
          <w:trHeight w:val="237"/>
        </w:trPr>
        <w:tc>
          <w:tcPr>
            <w:tcW w:w="4660" w:type="dxa"/>
            <w:vAlign w:val="bottom"/>
          </w:tcPr>
          <w:p>
            <w:pPr>
              <w:spacing w:after="0"/>
              <w:rPr>
                <w:sz w:val="20"/>
                <w:szCs w:val="20"/>
                <w:color w:val="auto"/>
              </w:rPr>
            </w:pPr>
          </w:p>
        </w:tc>
        <w:tc>
          <w:tcPr>
            <w:tcW w:w="5360" w:type="dxa"/>
            <w:vAlign w:val="bottom"/>
            <w:gridSpan w:val="2"/>
          </w:tcPr>
          <w:p>
            <w:pPr>
              <w:jc w:val="center"/>
              <w:ind w:left="437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0"/>
                <w:szCs w:val="20"/>
                <w:color w:val="auto"/>
              </w:rPr>
            </w:pPr>
          </w:p>
        </w:tc>
      </w:tr>
      <w:tr>
        <w:trPr>
          <w:trHeight w:val="223"/>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44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w:t>
            </w:r>
          </w:p>
        </w:tc>
        <w:tc>
          <w:tcPr>
            <w:tcW w:w="2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State tax expected (recovery), net of federal benefit</w:t>
            </w:r>
          </w:p>
        </w:tc>
        <w:tc>
          <w:tcPr>
            <w:tcW w:w="5360" w:type="dxa"/>
            <w:vAlign w:val="bottom"/>
            <w:gridSpan w:val="2"/>
          </w:tcPr>
          <w:p>
            <w:pPr>
              <w:jc w:val="center"/>
              <w:ind w:left="4392"/>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6.7%</w:t>
            </w:r>
          </w:p>
        </w:tc>
        <w:tc>
          <w:tcPr>
            <w:tcW w:w="60" w:type="dxa"/>
            <w:vAlign w:val="bottom"/>
          </w:tcPr>
          <w:p>
            <w:pPr>
              <w:spacing w:after="0"/>
              <w:rPr>
                <w:sz w:val="19"/>
                <w:szCs w:val="19"/>
                <w:color w:val="auto"/>
              </w:rPr>
            </w:pP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5360" w:type="dxa"/>
            <w:vAlign w:val="bottom"/>
            <w:gridSpan w:val="2"/>
            <w:shd w:val="clear" w:color="auto" w:fill="CCEEFF"/>
          </w:tcPr>
          <w:p>
            <w:pPr>
              <w:jc w:val="center"/>
              <w:ind w:left="4392"/>
              <w:spacing w:after="0"/>
              <w:rPr>
                <w:sz w:val="20"/>
                <w:szCs w:val="20"/>
                <w:color w:val="auto"/>
              </w:rPr>
            </w:pPr>
            <w:r>
              <w:rPr>
                <w:rFonts w:ascii="Arial" w:cs="Arial" w:eastAsia="Arial" w:hAnsi="Arial"/>
                <w:sz w:val="18"/>
                <w:szCs w:val="18"/>
                <w:color w:val="auto"/>
                <w:w w:val="87"/>
              </w:rPr>
              <w:t>6.8%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State tax NOL sale</w:t>
            </w:r>
          </w:p>
        </w:tc>
        <w:tc>
          <w:tcPr>
            <w:tcW w:w="5360" w:type="dxa"/>
            <w:vAlign w:val="bottom"/>
            <w:gridSpan w:val="2"/>
          </w:tcPr>
          <w:p>
            <w:pPr>
              <w:jc w:val="center"/>
              <w:ind w:left="4392"/>
              <w:spacing w:after="0"/>
              <w:rPr>
                <w:sz w:val="20"/>
                <w:szCs w:val="20"/>
                <w:color w:val="auto"/>
              </w:rPr>
            </w:pPr>
            <w:r>
              <w:rPr>
                <w:rFonts w:ascii="Arial" w:cs="Arial" w:eastAsia="Arial" w:hAnsi="Arial"/>
                <w:sz w:val="18"/>
                <w:szCs w:val="18"/>
                <w:color w:val="auto"/>
                <w:w w:val="87"/>
              </w:rPr>
              <w:t>3.7%</w:t>
            </w:r>
          </w:p>
        </w:tc>
        <w:tc>
          <w:tcPr>
            <w:tcW w:w="260" w:type="dxa"/>
            <w:vAlign w:val="bottom"/>
          </w:tcPr>
          <w:p>
            <w:pPr>
              <w:spacing w:after="0"/>
              <w:rPr>
                <w:sz w:val="19"/>
                <w:szCs w:val="19"/>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5360" w:type="dxa"/>
            <w:vAlign w:val="bottom"/>
            <w:gridSpan w:val="2"/>
            <w:shd w:val="clear" w:color="auto" w:fill="CCEEFF"/>
          </w:tcPr>
          <w:p>
            <w:pPr>
              <w:jc w:val="center"/>
              <w:ind w:left="4392"/>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60" w:type="dxa"/>
            <w:vAlign w:val="bottom"/>
            <w:shd w:val="clear" w:color="auto" w:fill="CCEEFF"/>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Loss incurred as pass-through</w:t>
            </w:r>
          </w:p>
        </w:tc>
        <w:tc>
          <w:tcPr>
            <w:tcW w:w="44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w:t>
            </w: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360" w:type="dxa"/>
            <w:vAlign w:val="bottom"/>
            <w:gridSpan w:val="2"/>
            <w:shd w:val="clear" w:color="auto" w:fill="CCEEFF"/>
          </w:tcPr>
          <w:p>
            <w:pPr>
              <w:jc w:val="center"/>
              <w:ind w:left="4392"/>
              <w:spacing w:after="0"/>
              <w:rPr>
                <w:sz w:val="20"/>
                <w:szCs w:val="20"/>
                <w:color w:val="auto"/>
              </w:rPr>
            </w:pPr>
            <w:r>
              <w:rPr>
                <w:rFonts w:ascii="Arial" w:cs="Arial" w:eastAsia="Arial" w:hAnsi="Arial"/>
                <w:sz w:val="18"/>
                <w:szCs w:val="18"/>
                <w:color w:val="auto"/>
                <w:w w:val="95"/>
              </w:rPr>
              <w:t>0.1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Change in valuation allowance for deferred tax assets</w:t>
            </w:r>
          </w:p>
        </w:tc>
        <w:tc>
          <w:tcPr>
            <w:tcW w:w="5360" w:type="dxa"/>
            <w:vAlign w:val="bottom"/>
            <w:gridSpan w:val="2"/>
          </w:tcPr>
          <w:p>
            <w:pPr>
              <w:jc w:val="center"/>
              <w:ind w:left="4392"/>
              <w:spacing w:after="0"/>
              <w:rPr>
                <w:sz w:val="20"/>
                <w:szCs w:val="20"/>
                <w:color w:val="auto"/>
              </w:rPr>
            </w:pPr>
            <w:r>
              <w:rPr>
                <w:rFonts w:ascii="Arial" w:cs="Arial" w:eastAsia="Arial" w:hAnsi="Arial"/>
                <w:sz w:val="18"/>
                <w:szCs w:val="18"/>
                <w:color w:val="auto"/>
                <w:w w:val="95"/>
              </w:rPr>
              <w:t>(31.6)%</w:t>
            </w:r>
          </w:p>
        </w:tc>
        <w:tc>
          <w:tcPr>
            <w:tcW w:w="2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(27.6)%</w:t>
            </w:r>
          </w:p>
        </w:tc>
        <w:tc>
          <w:tcPr>
            <w:tcW w:w="60" w:type="dxa"/>
            <w:vAlign w:val="bottom"/>
          </w:tcPr>
          <w:p>
            <w:pPr>
              <w:spacing w:after="0"/>
              <w:rPr>
                <w:sz w:val="19"/>
                <w:szCs w:val="19"/>
                <w:color w:val="auto"/>
              </w:rPr>
            </w:pP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4660" w:type="dxa"/>
            <w:vAlign w:val="bottom"/>
          </w:tcPr>
          <w:p>
            <w:pPr>
              <w:spacing w:after="0"/>
              <w:rPr>
                <w:sz w:val="24"/>
                <w:szCs w:val="24"/>
                <w:color w:val="auto"/>
              </w:rPr>
            </w:pPr>
          </w:p>
        </w:tc>
        <w:tc>
          <w:tcPr>
            <w:tcW w:w="5620" w:type="dxa"/>
            <w:vAlign w:val="bottom"/>
            <w:gridSpan w:val="3"/>
          </w:tcPr>
          <w:p>
            <w:pPr>
              <w:ind w:left="800"/>
              <w:spacing w:after="0"/>
              <w:rPr>
                <w:sz w:val="20"/>
                <w:szCs w:val="20"/>
                <w:color w:val="auto"/>
              </w:rPr>
            </w:pPr>
            <w:r>
              <w:rPr>
                <w:rFonts w:ascii="Arial" w:cs="Arial" w:eastAsia="Arial" w:hAnsi="Arial"/>
                <w:sz w:val="18"/>
                <w:szCs w:val="18"/>
                <w:color w:val="auto"/>
              </w:rPr>
              <w:t>F-23</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466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2020 and 2019, the Company had accumulated net operating losses totaling $87.2 million and $65.7 million, respectively, in the U.S. (federal and state), which may be available to carry forward and offset future years' taxable income. U.S. federal losses can be carried forward indefinitely, and state losses expire in various amounts beginning in 2026. The Company also had accumulated losses totaling $3.9 million and $3.5 million in Germany which can be carried forward indefinitely.</w:t>
      </w:r>
    </w:p>
    <w:p>
      <w:pPr>
        <w:spacing w:after="0" w:line="18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w:t>
      </w:r>
      <w:r>
        <w:rPr>
          <w:rFonts w:ascii="Arial" w:cs="Arial" w:eastAsia="Arial" w:hAnsi="Arial"/>
          <w:sz w:val="16"/>
          <w:szCs w:val="16"/>
          <w:color w:val="222222"/>
        </w:rPr>
        <w:t>The amount of the annual limitation, if any, will be determined based on the value of the Company immediately prior to an ownership</w:t>
      </w:r>
      <w:r>
        <w:rPr>
          <w:rFonts w:ascii="Arial" w:cs="Arial" w:eastAsia="Arial" w:hAnsi="Arial"/>
          <w:sz w:val="16"/>
          <w:szCs w:val="16"/>
          <w:color w:val="auto"/>
        </w:rPr>
        <w:t xml:space="preserve"> </w:t>
      </w:r>
      <w:r>
        <w:rPr>
          <w:rFonts w:ascii="Arial" w:cs="Arial" w:eastAsia="Arial" w:hAnsi="Arial"/>
          <w:sz w:val="16"/>
          <w:szCs w:val="16"/>
          <w:color w:val="222222"/>
        </w:rPr>
        <w:t>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Arial" w:cs="Arial" w:eastAsia="Arial" w:hAnsi="Arial"/>
          <w:sz w:val="17"/>
          <w:szCs w:val="17"/>
          <w:color w:val="222222"/>
        </w:rPr>
        <w:t>.</w:t>
      </w:r>
    </w:p>
    <w:p>
      <w:pPr>
        <w:spacing w:after="0" w:line="14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December 31, 2020, the Company had Federal and NJ research and development credits of $282,801 and $191,863 respectively. The Federal R&amp;D credits can be carried forward 20 years and will begin to expire in 2038. The New Jersey R&amp;D credits can be carried forward seven years and will begin to expire in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2020,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or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The Company has evaluated the impact of the CARES Act, and does not expect that any provision of the CARES Act would result in a material cash benefit to the Company or have a material impact on its financial statements or internal controls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 Based Compensation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21, 2018, the Company adopted the 2018 Omnibus Equity Incentive Plan (“Plan”). This plan reserved 6.2 million shares with an increase to be added annually beginning in 2019 through 2028 up to 4% of the total number of shares of common stock issued and outstanding on a fully diluted basis as of the end of the immediately preceding fiscal year, providing that the aggregate number of additional shares shall not exceed a total of 45 million shares, and a maximum of 40 million shares pursuant to the exercise of stock options. Effective January 1, 2021, the number of shares reserved under the Plan was increased by 2.0 million to approximately 8.9 million. The Company’s policy is to issue new shares of its common stock upon the exercise of stock options, new grants of restricted stock awards, and settlement of restricted stock units. Stock options issued under the plan have a contractual life of 10 years and are generally forfeited upon separation from the Company.</w:t>
      </w:r>
    </w:p>
    <w:p>
      <w:pPr>
        <w:spacing w:after="0" w:line="177" w:lineRule="exact"/>
        <w:rPr>
          <w:sz w:val="20"/>
          <w:szCs w:val="20"/>
          <w:color w:val="auto"/>
        </w:rPr>
      </w:pPr>
    </w:p>
    <w:p>
      <w:pPr>
        <w:jc w:val="both"/>
        <w:ind w:right="920"/>
        <w:spacing w:after="0" w:line="263" w:lineRule="auto"/>
        <w:rPr>
          <w:sz w:val="20"/>
          <w:szCs w:val="20"/>
          <w:color w:val="auto"/>
        </w:rPr>
      </w:pPr>
      <w:r>
        <w:rPr>
          <w:rFonts w:ascii="Arial" w:cs="Arial" w:eastAsia="Arial" w:hAnsi="Arial"/>
          <w:sz w:val="18"/>
          <w:szCs w:val="18"/>
          <w:color w:val="auto"/>
        </w:rPr>
        <w:t>The following table presents stock compensation expense recognized by the Company for the years ended December 31, 2020 and 2019. Total unrecognized compensation cost related to equity awards as of December 31, 2020 was $5.0 million and is expected to be recognized over the next 2.3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398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r>
      <w:tr>
        <w:trPr>
          <w:trHeight w:val="22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2,360,629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2,703,578</w:t>
            </w:r>
          </w:p>
        </w:tc>
        <w:tc>
          <w:tcPr>
            <w:tcW w:w="80" w:type="dxa"/>
            <w:vAlign w:val="bottom"/>
            <w:shd w:val="clear" w:color="auto" w:fill="CCEEFF"/>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831,944</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1,146,268</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73,738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45,935</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expense</w:t>
            </w:r>
          </w:p>
        </w:tc>
        <w:tc>
          <w:tcPr>
            <w:tcW w:w="50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3,266,311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3,895,781</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980" w:type="dxa"/>
            <w:vAlign w:val="bottom"/>
          </w:tcPr>
          <w:p>
            <w:pPr>
              <w:spacing w:after="0"/>
              <w:rPr>
                <w:sz w:val="24"/>
                <w:szCs w:val="24"/>
                <w:color w:val="auto"/>
              </w:rPr>
            </w:pPr>
          </w:p>
        </w:tc>
        <w:tc>
          <w:tcPr>
            <w:tcW w:w="5220" w:type="dxa"/>
            <w:vAlign w:val="bottom"/>
            <w:gridSpan w:val="2"/>
          </w:tcPr>
          <w:p>
            <w:pPr>
              <w:jc w:val="right"/>
              <w:ind w:right="3310"/>
              <w:spacing w:after="0"/>
              <w:rPr>
                <w:sz w:val="20"/>
                <w:szCs w:val="20"/>
                <w:color w:val="auto"/>
              </w:rPr>
            </w:pPr>
            <w:r>
              <w:rPr>
                <w:rFonts w:ascii="Arial" w:cs="Arial" w:eastAsia="Arial" w:hAnsi="Arial"/>
                <w:sz w:val="18"/>
                <w:szCs w:val="18"/>
                <w:color w:val="auto"/>
              </w:rPr>
              <w:t>F-24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149"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option award activity during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Exercise Price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Term (Years)</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3,131,266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2,019,298</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(1,334,979)</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3,815,585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Exercisable, December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1,339,372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ind w:right="119"/>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i w:val="1"/>
          <w:iCs w:val="1"/>
          <w:color w:val="auto"/>
        </w:rPr>
        <w:t>* de minimis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is calculated as the difference between the fair market value at December 31, 2020 and the exercise price per share of the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 awards granted to employees generally vest over a four-year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stock options that are outstanding and exercisable at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Exercise Price</w:t>
            </w:r>
          </w:p>
        </w:tc>
        <w:tc>
          <w:tcPr>
            <w:tcW w:w="28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 Outstanding (number)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 Weighted Average</w:t>
            </w:r>
          </w:p>
        </w:tc>
        <w:tc>
          <w:tcPr>
            <w:tcW w:w="27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Options Exercisable (number)</w:t>
            </w:r>
          </w:p>
        </w:tc>
        <w:tc>
          <w:tcPr>
            <w:tcW w:w="0" w:type="dxa"/>
            <w:vAlign w:val="bottom"/>
          </w:tcPr>
          <w:p>
            <w:pPr>
              <w:spacing w:after="0"/>
              <w:rPr>
                <w:sz w:val="1"/>
                <w:szCs w:val="1"/>
                <w:color w:val="auto"/>
              </w:rPr>
            </w:pPr>
          </w:p>
        </w:tc>
      </w:tr>
      <w:tr>
        <w:trPr>
          <w:trHeight w:val="171"/>
        </w:trPr>
        <w:tc>
          <w:tcPr>
            <w:tcW w:w="2780" w:type="dxa"/>
            <w:vAlign w:val="bottom"/>
            <w:gridSpan w:val="2"/>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 Contractual Life (Years)</w:t>
            </w:r>
          </w:p>
        </w:tc>
        <w:tc>
          <w:tcPr>
            <w:tcW w:w="2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$1.40 - $2.50</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2,423,235</w:t>
            </w:r>
          </w:p>
        </w:tc>
        <w:tc>
          <w:tcPr>
            <w:tcW w:w="12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7"/>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468,750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$2.51 - $7.52</w:t>
            </w:r>
          </w:p>
        </w:tc>
        <w:tc>
          <w:tcPr>
            <w:tcW w:w="80" w:type="dxa"/>
            <w:vAlign w:val="bottom"/>
          </w:tcPr>
          <w:p>
            <w:pPr>
              <w:spacing w:after="0"/>
              <w:rPr>
                <w:sz w:val="19"/>
                <w:szCs w:val="19"/>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347,731</w:t>
            </w:r>
          </w:p>
        </w:tc>
        <w:tc>
          <w:tcPr>
            <w:tcW w:w="2740" w:type="dxa"/>
            <w:vAlign w:val="bottom"/>
          </w:tcPr>
          <w:p>
            <w:pPr>
              <w:jc w:val="right"/>
              <w:ind w:right="1157"/>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159,801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$7.53 - $15.00</w:t>
            </w:r>
          </w:p>
        </w:tc>
        <w:tc>
          <w:tcPr>
            <w:tcW w:w="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1,044,619</w:t>
            </w:r>
          </w:p>
        </w:tc>
        <w:tc>
          <w:tcPr>
            <w:tcW w:w="274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710,821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restricted stock award ("RSA" or "RSAs") activity during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90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(79,960)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(21,900)</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3"/>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general, RSAs granted to employees vest over a four-year period.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restricted and deferred stock unit (“Unit” or "Units") activity during the year ended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5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1,241,493</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6260" w:type="dxa"/>
            <w:vAlign w:val="bottom"/>
            <w:gridSpan w:val="3"/>
          </w:tcPr>
          <w:p>
            <w:pPr>
              <w:jc w:val="right"/>
              <w:ind w:right="100"/>
              <w:spacing w:after="0"/>
              <w:rPr>
                <w:sz w:val="20"/>
                <w:szCs w:val="20"/>
                <w:color w:val="auto"/>
              </w:rPr>
            </w:pPr>
            <w:r>
              <w:rPr>
                <w:rFonts w:ascii="Arial" w:cs="Arial" w:eastAsia="Arial" w:hAnsi="Arial"/>
                <w:sz w:val="18"/>
                <w:szCs w:val="18"/>
                <w:color w:val="auto"/>
              </w:rPr>
              <w:t>732,140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(690,869)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6260" w:type="dxa"/>
            <w:vAlign w:val="bottom"/>
            <w:gridSpan w:val="3"/>
          </w:tcPr>
          <w:p>
            <w:pPr>
              <w:jc w:val="right"/>
              <w:ind w:right="40"/>
              <w:spacing w:after="0"/>
              <w:rPr>
                <w:sz w:val="20"/>
                <w:szCs w:val="20"/>
                <w:color w:val="auto"/>
              </w:rPr>
            </w:pPr>
            <w:r>
              <w:rPr>
                <w:rFonts w:ascii="Arial" w:cs="Arial" w:eastAsia="Arial" w:hAnsi="Arial"/>
                <w:sz w:val="18"/>
                <w:szCs w:val="18"/>
                <w:color w:val="auto"/>
              </w:rPr>
              <w:t>(268,641)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5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60" w:type="dxa"/>
            <w:vAlign w:val="bottom"/>
          </w:tcPr>
          <w:p>
            <w:pPr>
              <w:spacing w:after="0"/>
              <w:rPr>
                <w:sz w:val="24"/>
                <w:szCs w:val="24"/>
                <w:color w:val="auto"/>
              </w:rPr>
            </w:pPr>
          </w:p>
        </w:tc>
        <w:tc>
          <w:tcPr>
            <w:tcW w:w="6260" w:type="dxa"/>
            <w:vAlign w:val="bottom"/>
            <w:gridSpan w:val="3"/>
          </w:tcPr>
          <w:p>
            <w:pPr>
              <w:jc w:val="right"/>
              <w:ind w:right="4320"/>
              <w:spacing w:after="0"/>
              <w:rPr>
                <w:sz w:val="20"/>
                <w:szCs w:val="20"/>
                <w:color w:val="auto"/>
              </w:rPr>
            </w:pPr>
            <w:r>
              <w:rPr>
                <w:rFonts w:ascii="Arial" w:cs="Arial" w:eastAsia="Arial" w:hAnsi="Arial"/>
                <w:sz w:val="18"/>
                <w:szCs w:val="18"/>
                <w:color w:val="auto"/>
              </w:rPr>
              <w:t>F-25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auto"/>
            </w:tcBorders>
          </w:tcPr>
          <w:p>
            <w:pPr>
              <w:spacing w:after="0"/>
              <w:rPr>
                <w:sz w:val="11"/>
                <w:szCs w:val="11"/>
                <w:color w:val="auto"/>
              </w:rPr>
            </w:pPr>
          </w:p>
        </w:tc>
        <w:tc>
          <w:tcPr>
            <w:tcW w:w="5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general, Units granted to employees vest over two to four years.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as determined by the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 of each stock option award granted was estimated on the date of grant using the Black-Scholes model. Expected volatility was based on historical common stock volatility of the Company’s peers. Prior to 2020, expected volatility was based on historical volatility of the Company’s common stock. The risk-free interest rate was based on the average U.S. Treasury rate that most closely resembles the expected life of the related award. The expected term of the award was calculated using the simplified method. No dividend was assumed as the Company does not pay regular dividends on its common stock and does not anticipate paying any dividends in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in the Black-Scholes option pricing model in valuing stock options granted in the periods presented were: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23"/>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3.39</w:t>
            </w:r>
          </w:p>
        </w:tc>
        <w:tc>
          <w:tcPr>
            <w:tcW w:w="60" w:type="dxa"/>
            <w:vAlign w:val="bottom"/>
            <w:shd w:val="clear" w:color="auto" w:fill="CCEEFF"/>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840" w:type="dxa"/>
            <w:vAlign w:val="bottom"/>
          </w:tcPr>
          <w:p>
            <w:pPr>
              <w:jc w:val="center"/>
              <w:ind w:right="93"/>
              <w:spacing w:after="0"/>
              <w:rPr>
                <w:sz w:val="20"/>
                <w:szCs w:val="20"/>
                <w:color w:val="auto"/>
              </w:rPr>
            </w:pPr>
            <w:r>
              <w:rPr>
                <w:rFonts w:ascii="Arial" w:cs="Arial" w:eastAsia="Arial" w:hAnsi="Arial"/>
                <w:sz w:val="18"/>
                <w:szCs w:val="18"/>
                <w:color w:val="auto"/>
                <w:w w:val="88"/>
              </w:rPr>
              <w:t>134.2%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93"/>
              <w:spacing w:after="0"/>
              <w:rPr>
                <w:sz w:val="20"/>
                <w:szCs w:val="20"/>
                <w:color w:val="auto"/>
              </w:rPr>
            </w:pPr>
            <w:r>
              <w:rPr>
                <w:rFonts w:ascii="Arial" w:cs="Arial" w:eastAsia="Arial" w:hAnsi="Arial"/>
                <w:sz w:val="18"/>
                <w:szCs w:val="18"/>
                <w:color w:val="auto"/>
                <w:w w:val="90"/>
              </w:rPr>
              <w:t>95.9%</w:t>
            </w:r>
          </w:p>
        </w:tc>
        <w:tc>
          <w:tcPr>
            <w:tcW w:w="60" w:type="dxa"/>
            <w:vAlign w:val="bottom"/>
          </w:tcPr>
          <w:p>
            <w:pPr>
              <w:spacing w:after="0"/>
              <w:rPr>
                <w:sz w:val="19"/>
                <w:szCs w:val="19"/>
                <w:color w:val="auto"/>
              </w:rPr>
            </w:pP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2.1%</w:t>
            </w:r>
          </w:p>
        </w:tc>
        <w:tc>
          <w:tcPr>
            <w:tcW w:w="60" w:type="dxa"/>
            <w:vAlign w:val="bottom"/>
            <w:shd w:val="clear" w:color="auto" w:fill="CCEEFF"/>
          </w:tcPr>
          <w:p>
            <w:pPr>
              <w:spacing w:after="0"/>
              <w:rPr>
                <w:sz w:val="19"/>
                <w:szCs w:val="19"/>
                <w:color w:val="auto"/>
              </w:rPr>
            </w:pP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Expected holding period, in years</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5.9</w:t>
            </w:r>
          </w:p>
        </w:tc>
        <w:tc>
          <w:tcPr>
            <w:tcW w:w="60" w:type="dxa"/>
            <w:vAlign w:val="bottom"/>
          </w:tcPr>
          <w:p>
            <w:pPr>
              <w:spacing w:after="0"/>
              <w:rPr>
                <w:sz w:val="19"/>
                <w:szCs w:val="19"/>
                <w:color w:val="auto"/>
              </w:rPr>
            </w:pPr>
          </w:p>
        </w:tc>
      </w:tr>
      <w:tr>
        <w:trPr>
          <w:trHeight w:val="23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300"/>
        <w:spacing w:after="0" w:line="438" w:lineRule="auto"/>
        <w:rPr>
          <w:sz w:val="20"/>
          <w:szCs w:val="20"/>
          <w:color w:val="auto"/>
        </w:rPr>
      </w:pPr>
      <w:r>
        <w:rPr>
          <w:rFonts w:ascii="Arial" w:cs="Arial" w:eastAsia="Arial" w:hAnsi="Arial"/>
          <w:sz w:val="18"/>
          <w:szCs w:val="18"/>
          <w:color w:val="auto"/>
        </w:rPr>
        <w:t xml:space="preserve">The fair value of RSAs and Units is the market close price of the Company’s common stock on the trading day immediately preceding the date of grant. </w:t>
      </w:r>
      <w:r>
        <w:rPr>
          <w:rFonts w:ascii="Arial" w:cs="Arial" w:eastAsia="Arial" w:hAnsi="Arial"/>
          <w:sz w:val="18"/>
          <w:szCs w:val="18"/>
          <w:b w:val="1"/>
          <w:bCs w:val="1"/>
          <w:color w:val="auto"/>
        </w:rPr>
        <w:t>Note 17. Employee 401(K) Plan</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a defined contribution 401(k) plan which covers all employees. Employees are eligible upon date of hire. Employee contributions are voluntary and are based on specific percentages of compensation, which may not exceed maximum amounts established by Internal Revenue Code. Employer contributions are discretionary. The maximum Company matching contribution is $0.25 per dollar subject to a limit of 3% of eligible employee compensation. The Company's expense for contributions to its defined contribution plan totaled $15,600 for 2020. There were no employer contributions for the year ended December 31,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Litigation</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On July 8, 2019 and August 1, 2019, purported stockholders of the Company served putative class action lawsuits in the Superior Court of New Jersey for Somerset County, captioned </w:t>
      </w:r>
      <w:r>
        <w:rPr>
          <w:rFonts w:ascii="Arial" w:cs="Arial" w:eastAsia="Arial" w:hAnsi="Arial"/>
          <w:sz w:val="16"/>
          <w:szCs w:val="16"/>
          <w:i w:val="1"/>
          <w:iCs w:val="1"/>
          <w:color w:val="auto"/>
        </w:rPr>
        <w:t>Paul Kuehl vs. electroCore, Inc., et al.</w:t>
      </w:r>
      <w:r>
        <w:rPr>
          <w:rFonts w:ascii="Arial" w:cs="Arial" w:eastAsia="Arial" w:hAnsi="Arial"/>
          <w:sz w:val="16"/>
          <w:szCs w:val="16"/>
          <w:color w:val="auto"/>
        </w:rPr>
        <w:t xml:space="preserve">, Docket No. SOM-L 000876-19 and </w:t>
      </w:r>
      <w:r>
        <w:rPr>
          <w:rFonts w:ascii="Arial" w:cs="Arial" w:eastAsia="Arial" w:hAnsi="Arial"/>
          <w:sz w:val="16"/>
          <w:szCs w:val="16"/>
          <w:i w:val="1"/>
          <w:iCs w:val="1"/>
          <w:color w:val="auto"/>
        </w:rPr>
        <w:t>Shirley Stone vs. electroCore, Inc., et al.</w:t>
      </w:r>
      <w:r>
        <w:rPr>
          <w:rFonts w:ascii="Arial" w:cs="Arial" w:eastAsia="Arial" w:hAnsi="Arial"/>
          <w:sz w:val="16"/>
          <w:szCs w:val="16"/>
          <w:color w:val="auto"/>
        </w:rPr>
        <w:t xml:space="preserve">, Docket No. SOM-L 001007-19, respectively. In addition to the Company, the defendants included present and past directors and officers, Evercore Group L.L.C., Cantor Fitzgerald &amp; Co., JMP Securities LLC and BTIG, LLC, the underwriters for its IPO; and two of the Company’s stockholders. On August 15, 2019, the Superior Court entered an order consolidating the </w:t>
      </w:r>
      <w:r>
        <w:rPr>
          <w:rFonts w:ascii="Arial" w:cs="Arial" w:eastAsia="Arial" w:hAnsi="Arial"/>
          <w:sz w:val="16"/>
          <w:szCs w:val="16"/>
          <w:i w:val="1"/>
          <w:iCs w:val="1"/>
          <w:color w:val="auto"/>
        </w:rPr>
        <w:t>Kuehl</w:t>
      </w:r>
      <w:r>
        <w:rPr>
          <w:rFonts w:ascii="Arial" w:cs="Arial" w:eastAsia="Arial" w:hAnsi="Arial"/>
          <w:sz w:val="16"/>
          <w:szCs w:val="16"/>
          <w:color w:val="auto"/>
        </w:rPr>
        <w:t xml:space="preserve"> and </w:t>
      </w:r>
      <w:r>
        <w:rPr>
          <w:rFonts w:ascii="Arial" w:cs="Arial" w:eastAsia="Arial" w:hAnsi="Arial"/>
          <w:sz w:val="16"/>
          <w:szCs w:val="16"/>
          <w:i w:val="1"/>
          <w:iCs w:val="1"/>
          <w:color w:val="auto"/>
        </w:rPr>
        <w:t>Stone</w:t>
      </w:r>
      <w:r>
        <w:rPr>
          <w:rFonts w:ascii="Arial" w:cs="Arial" w:eastAsia="Arial" w:hAnsi="Arial"/>
          <w:sz w:val="16"/>
          <w:szCs w:val="16"/>
          <w:color w:val="auto"/>
        </w:rPr>
        <w:t xml:space="preserve"> actions, which proceeded under Docket No. SOM-L 000876-19. Each plaintiff was appointed a co-lead plaintiff. The plaintiffs filed a consolidated amended complaint, which sought certification of a class of stockholders who purchased common stock in the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and the other defendants filed a motion to dismiss the complaint or in the alternative to stay the action in favor of the pending federal action (discussed below).</w:t>
      </w:r>
    </w:p>
    <w:p>
      <w:pPr>
        <w:spacing w:after="0" w:line="16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fully briefed as of July 17, 2020. The date for argument of the appeal has not yet been set.</w:t>
      </w:r>
    </w:p>
    <w:p>
      <w:pPr>
        <w:spacing w:after="0" w:line="1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On September 26, 2019 and October 31, 2019, purported stockholders of the Company served putative class action lawsuits in the United States District Court for the District of New Jersey captioned </w:t>
      </w:r>
      <w:r>
        <w:rPr>
          <w:rFonts w:ascii="Arial" w:cs="Arial" w:eastAsia="Arial" w:hAnsi="Arial"/>
          <w:sz w:val="16"/>
          <w:szCs w:val="16"/>
          <w:i w:val="1"/>
          <w:iCs w:val="1"/>
          <w:color w:val="auto"/>
        </w:rPr>
        <w:t>Allyn Turnofsky vs. electroCore, Inc., et al.</w:t>
      </w:r>
      <w:r>
        <w:rPr>
          <w:rFonts w:ascii="Arial" w:cs="Arial" w:eastAsia="Arial" w:hAnsi="Arial"/>
          <w:sz w:val="16"/>
          <w:szCs w:val="16"/>
          <w:color w:val="auto"/>
        </w:rPr>
        <w:t xml:space="preserve">, Case 3:19-cv-18400, and </w:t>
      </w:r>
      <w:r>
        <w:rPr>
          <w:rFonts w:ascii="Arial" w:cs="Arial" w:eastAsia="Arial" w:hAnsi="Arial"/>
          <w:sz w:val="16"/>
          <w:szCs w:val="16"/>
          <w:i w:val="1"/>
          <w:iCs w:val="1"/>
          <w:color w:val="auto"/>
        </w:rPr>
        <w:t>Priewe vs. electroCore, Inc., et al.</w:t>
      </w:r>
      <w:r>
        <w:rPr>
          <w:rFonts w:ascii="Arial" w:cs="Arial" w:eastAsia="Arial" w:hAnsi="Arial"/>
          <w:sz w:val="16"/>
          <w:szCs w:val="16"/>
          <w:color w:val="auto"/>
        </w:rPr>
        <w:t>,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i w:val="1"/>
          <w:iCs w:val="1"/>
          <w:color w:val="auto"/>
        </w:rPr>
        <w:t>Turnofsky</w:t>
      </w:r>
      <w:r>
        <w:rPr>
          <w:rFonts w:ascii="Arial" w:cs="Arial" w:eastAsia="Arial" w:hAnsi="Arial"/>
          <w:sz w:val="16"/>
          <w:szCs w:val="16"/>
          <w:color w:val="auto"/>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Arial" w:cs="Arial" w:eastAsia="Arial" w:hAnsi="Arial"/>
          <w:sz w:val="16"/>
          <w:szCs w:val="16"/>
          <w:i w:val="1"/>
          <w:iCs w:val="1"/>
          <w:color w:val="auto"/>
        </w:rPr>
        <w:t>Turnofsky</w:t>
      </w:r>
      <w:r>
        <w:rPr>
          <w:rFonts w:ascii="Arial" w:cs="Arial" w:eastAsia="Arial" w:hAnsi="Arial"/>
          <w:sz w:val="16"/>
          <w:szCs w:val="16"/>
          <w:color w:val="auto"/>
        </w:rPr>
        <w:t>. In addition to the prior claims, the amended complaint added an additional director defendant and two investors as defendants and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on the motion to dismiss has not yet been scheduled. The parties have agreed to a non-binding mediation with JAMS, which will occur on March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Priewe</w:t>
      </w:r>
      <w:r>
        <w:rPr>
          <w:rFonts w:ascii="Arial" w:cs="Arial" w:eastAsia="Arial" w:hAnsi="Arial"/>
          <w:sz w:val="18"/>
          <w:szCs w:val="18"/>
          <w:color w:val="auto"/>
        </w:rPr>
        <w:t xml:space="preserve"> case was voluntarily dismissed on February 19, 2020.</w:t>
      </w:r>
    </w:p>
    <w:p>
      <w:pPr>
        <w:spacing w:after="0" w:line="33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March 4, 2021, purported stockholder Richard Martz brought a purported stockholder derivative action in the United States District Court for the District of New Jersey. The action is captioned Richard Maltz, derivatively on behalf of electroCore, Inc., vs. Francis R. Amato,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Turnofsky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 On March 8, 2021, purported stockholder Erin Yuson brought a purported stockholder derivative action in the United States District Court for the District of New Jersey. The action is captioned Erwin Yuson, derivatively on behalf of electroCore, Inc., vs. Francis R. Amato,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associated legal fees in the period they are incurred.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Agreement</w:t>
      </w:r>
    </w:p>
    <w:p>
      <w:pPr>
        <w:spacing w:after="0" w:line="21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January 2019, the Company settled a dispute with one of its former advisors, Madison Global Partners ("Madison Global"), which had filed a complaint against the Company in the Supreme Court of the State of New York, County of New York (Index No. 652329/2018). As part of that settlement, the Company paid Madison Global $325,000 and issued to Madison Global and its representatives warrants to purchase in the aggregate 62,181 shares of its common stock at prices ranging from $5.68 per share to $12.60 per share. In January 2019, 5,192 warrants with an exercise price of $5.68 were issued and the expense was recognized. All other amounts were accrued in prior accounting periods. The warrants issued are shown in the following table: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 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Exercise Price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Expiration Dates</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8,576</w:t>
            </w:r>
          </w:p>
        </w:tc>
        <w:tc>
          <w:tcPr>
            <w:tcW w:w="20" w:type="dxa"/>
            <w:vAlign w:val="bottom"/>
            <w:vMerge w:val="continue"/>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vMerge w:val="continue"/>
          </w:tcPr>
          <w:p>
            <w:pPr>
              <w:spacing w:after="0"/>
              <w:rPr>
                <w:sz w:val="21"/>
                <w:szCs w:val="21"/>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8.86</w:t>
            </w:r>
          </w:p>
        </w:tc>
        <w:tc>
          <w:tcPr>
            <w:tcW w:w="80" w:type="dxa"/>
            <w:vAlign w:val="bottom"/>
            <w:tcBorders>
              <w:right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1, 2021</w:t>
            </w: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Arial" w:cs="Arial" w:eastAsia="Arial" w:hAnsi="Arial"/>
                <w:sz w:val="18"/>
                <w:szCs w:val="18"/>
                <w:color w:val="auto"/>
                <w:w w:val="90"/>
              </w:rPr>
              <w:t>22,253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5.68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c>
          <w:tcPr>
            <w:tcW w:w="0" w:type="dxa"/>
            <w:vAlign w:val="bottom"/>
          </w:tcPr>
          <w:p>
            <w:pPr>
              <w:spacing w:after="0"/>
              <w:rPr>
                <w:sz w:val="1"/>
                <w:szCs w:val="1"/>
                <w:color w:val="auto"/>
              </w:rPr>
            </w:pPr>
          </w:p>
        </w:tc>
      </w:tr>
      <w:tr>
        <w:trPr>
          <w:trHeight w:val="41"/>
        </w:trPr>
        <w:tc>
          <w:tcPr>
            <w:tcW w:w="36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17,066</w:t>
            </w:r>
          </w:p>
        </w:tc>
        <w:tc>
          <w:tcPr>
            <w:tcW w:w="20" w:type="dxa"/>
            <w:vAlign w:val="bottom"/>
            <w:vMerge w:val="continue"/>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12.60</w:t>
            </w:r>
          </w:p>
        </w:tc>
        <w:tc>
          <w:tcPr>
            <w:tcW w:w="80" w:type="dxa"/>
            <w:vAlign w:val="bottom"/>
            <w:tcBorders>
              <w:right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2022</w:t>
            </w: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Arial" w:cs="Arial" w:eastAsia="Arial" w:hAnsi="Arial"/>
                <w:sz w:val="18"/>
                <w:szCs w:val="18"/>
                <w:color w:val="auto"/>
                <w:w w:val="90"/>
              </w:rPr>
              <w:t>14,286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12.60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August 31, 2022</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purchase obligations of approximately $2.3 million as of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Charges and Other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22222"/>
        </w:rPr>
        <w:t>The following table provides a summary of the Company’s restructuring and other related charges for the years end December 31, 2020 and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6"/>
          </w:tcPr>
          <w:p>
            <w:pPr>
              <w:ind w:left="40"/>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556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19"/>
                <w:szCs w:val="19"/>
                <w:color w:val="auto"/>
              </w:rPr>
            </w:pP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Employee separation costs</w:t>
            </w:r>
          </w:p>
        </w:tc>
        <w:tc>
          <w:tcPr>
            <w:tcW w:w="3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271,164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1,997,292</w:t>
            </w:r>
          </w:p>
        </w:tc>
        <w:tc>
          <w:tcPr>
            <w:tcW w:w="60" w:type="dxa"/>
            <w:vAlign w:val="bottom"/>
            <w:shd w:val="clear" w:color="auto" w:fill="CCEEFF"/>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Payment in lieu of severance</w:t>
            </w: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restructuring costs</w:t>
            </w:r>
          </w:p>
        </w:tc>
        <w:tc>
          <w:tcPr>
            <w:tcW w:w="3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464,606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1,997,292</w:t>
            </w:r>
          </w:p>
        </w:tc>
        <w:tc>
          <w:tcPr>
            <w:tcW w:w="6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22222"/>
          <w:highlight w:val="yellow"/>
        </w:rPr>
        <w:t>As of December 31, 2020, $25,000 is payable by the Company in connection with the above described charges. This amount is included under the caption Accrued expenses and other current liabilities in the Company’s Consolidated Balance Sheet as of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May 29, 2019, the Company announced significant adjustments to the deployment of personnel and resources across the organization. The effort was intended to focus the Company on currently available and near-term revenue opportunities and on clinical programs specifically designed to expand the gammaCore product labeling. To achieve this goal, the Company reduced the size of its organizational structure, including its field sales force and clinical operations.</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costs associated with this initiative primarily represent severance and other costs associated with employee terminations, the majority of which have been settled in cash, and totaled approximately $1,050,000. In June 2019, as part of this process, the Company formally communicated the termination of employment to 32 employees, and as of September 30, 2019, the Company had terminated all of these employees.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Severance Related Charges</w:t>
      </w:r>
    </w:p>
    <w:p>
      <w:pPr>
        <w:spacing w:after="0" w:line="117"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In January 2020, the Company entered into a separation agreement with a former officer which agreement required an aggregate severance payment of $190,000 over a six-month period. In January 2020, the Company also entered into an agreement with a new employee that requires the unconditional payment of $175,000, in lieu of future severance to be paid in equal monthly installments over a fourteen-month period.</w:t>
      </w:r>
    </w:p>
    <w:p>
      <w:pPr>
        <w:spacing w:after="0" w:line="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10, 2019, Frank Amato, the Company’s former Chief Executive Officer, offered his resignation. The Company entered into a Separation Agreement with Mr. Amato, pursuant to which he remained as Chief Executive Officer and a member of the board until September 30, 2019 (the “Separation Date”). Pursuant to the Separation Agreement, Mr. Amato was paid $800,000 on October 1, 2019. In addition, all options to purchase Company common stock held by Mr. Amato continued to vest through the Separation Date and remain exercisable until the one-year anniversary of the Separation Date. All restricted stock units held by Mr. Amato continued to vest through the Separation Date. Since Mr. Amato provided substantial services to the Company, the Company recognized all costs related to the Separation Agreement over the period from June 10, 2019 to September 30, 2019. In connection with the Separation Agreement, the Company recorded a cash charge of $800,000 during the year ended December 31, 2020.</w:t>
      </w:r>
    </w:p>
    <w:p>
      <w:pPr>
        <w:spacing w:after="0" w:line="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Effective July 31, 2019, the Company entered into a Separation Agreement with a former officer. Pursuant to the agreement, a severance payment of $147,500 was recognized and is to be paid evenly over the subsequent six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 and Termination of Purchase Agreement</w:t>
      </w:r>
    </w:p>
    <w:p>
      <w:pPr>
        <w:spacing w:after="0" w:line="10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 January 2021, the Company sold 2,750,000 shares of the Company’s common stock under its purchase agreement with Lincoln Park ("Purchase Agreement"), resulting in aggregate proceeds of approximately $6.9 million to the Company. On March 11, 2021, the Company terminated its Purchase Agreement with Lincoln Park.</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following description summarizes important terms of our capital stock. For a complete description, you should refer to our certificate of incorporation and bylaws, which are incorporated by reference as exhibits to the Annual Report on Form 10-K of which this exhibit is a part, as well as the relevant portions of the DGCL.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the date of this Annual Report on Form 10-K, the Company has authorized 500 million shares of common stock, par value $0.001 per share. As of December 31, 2020, there were 45,559,765 shares of common stock outstanding.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certificate of incorporation and our bylaws, our stockholders do not have cumulative voting rights. Because of this, the holders of a majority of the shares of common stock entitled to vote in any election of directors are able to elect all of the directors standing for election, if they should so choose.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not entitled to receive ratably those dividends, if any, as may be declared from time to time by the Board out of legally available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Certain of our stockholders have the right to require us to register their shares under the Securities Act so that those shares may be publicly resold,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on Form S-3 – Selling Stockholders</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holders of approximately 4.1 million shares of our common stock have the right to require us to register their shares under the Securities Act so that those shares may be publicly resold, and the Company is obligated to use commercially reasonable efforts to keep such registration statement continuously effective under the Securities Act. We will pay all expenses relating to such Form S-3 registration, subject to specified conditions and limitations.</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registration rights will terminate, with respect to a particular holder, at the earlier of: (i) the time that such holder has sold of its registrable securities covered by the registration statement, and (ii) the date that all registrable securities covered by such registration statement may be sold by non-affiliates without volume or manner-of-sale restrictions pursuant to Rule 144, without the requirement for the Company to be in compliance with the current public information requirement under Rule 144 as determined in good faith by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on Form S-3 – Lincoln Park</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obligated to use our reasonable best efforts to keep a Form S-3 registration statement and related prospectus effective and current for all shares of common stock issuable by the Company to Lincoln Park Capital Fund, LLC (“Lincoln Park”) pursuant to the Purchase Agreement, dated March 27, 2020, between the Company and Lincoln Park. These registration rights will terminate on September 7,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provisions of Delaware law, and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32" w:lineRule="exact"/>
        <w:rPr>
          <w:sz w:val="20"/>
          <w:szCs w:val="20"/>
          <w:color w:val="auto"/>
        </w:rPr>
      </w:pPr>
    </w:p>
    <w:p>
      <w:pPr>
        <w:ind w:left="1000" w:right="380" w:hanging="430"/>
        <w:spacing w:after="0" w:line="258"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1000" w:right="20" w:hanging="430"/>
        <w:spacing w:after="0" w:line="265"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ind w:left="1000" w:right="160" w:hanging="430"/>
        <w:spacing w:after="0" w:line="255"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ectPr>
          <w:pgSz w:w="11900" w:h="16838" w:orient="portrait"/>
          <w:cols w:equalWidth="0" w:num="1">
            <w:col w:w="11240"/>
          </w:cols>
          <w:pgMar w:left="320" w:top="111" w:right="339" w:bottom="119" w:gutter="0" w:footer="0" w:header="0"/>
        </w:sectPr>
      </w:pPr>
    </w:p>
    <w:bookmarkStart w:id="136" w:name="page137"/>
    <w:bookmarkEnd w:id="136"/>
    <w:p>
      <w:pPr>
        <w:ind w:left="1000" w:hanging="430"/>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0" w:lineRule="exact"/>
        <w:rPr>
          <w:rFonts w:ascii="Arial" w:cs="Arial" w:eastAsia="Arial" w:hAnsi="Arial"/>
          <w:sz w:val="17"/>
          <w:szCs w:val="17"/>
          <w:color w:val="auto"/>
        </w:rPr>
      </w:pPr>
    </w:p>
    <w:p>
      <w:pPr>
        <w:ind w:left="1000" w:right="6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ind w:left="1000" w:right="38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1000" w:hanging="430"/>
        <w:spacing w:after="0" w:line="26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Certificate of Incorporation and Bylaws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certificate of incorporation and bylaws include a number of provisions that could deter hostile takeovers or delay or prevent changes in control of our company, including the following:</w:t>
      </w:r>
    </w:p>
    <w:p>
      <w:pPr>
        <w:spacing w:after="0" w:line="278" w:lineRule="exact"/>
        <w:rPr>
          <w:sz w:val="20"/>
          <w:szCs w:val="20"/>
          <w:color w:val="auto"/>
        </w:rPr>
      </w:pPr>
    </w:p>
    <w:p>
      <w:pPr>
        <w:ind w:left="1000" w:right="20" w:hanging="430"/>
        <w:spacing w:after="0" w:line="267"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certificate of incorporation provides for our Board to be divided into three classes with staggered three-year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 w:lineRule="exact"/>
        <w:rPr>
          <w:rFonts w:ascii="Arial" w:cs="Arial" w:eastAsia="Arial" w:hAnsi="Arial"/>
          <w:sz w:val="17"/>
          <w:szCs w:val="17"/>
          <w:color w:val="auto"/>
        </w:rPr>
      </w:pPr>
    </w:p>
    <w:p>
      <w:pPr>
        <w:ind w:left="1000" w:right="20" w:hanging="430"/>
        <w:spacing w:after="0" w:line="265"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certificate of incorporation provides for our Board to be divided into three classes with staggered three-year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 w:lineRule="exact"/>
        <w:rPr>
          <w:rFonts w:ascii="Arial" w:cs="Arial" w:eastAsia="Arial" w:hAnsi="Arial"/>
          <w:sz w:val="17"/>
          <w:szCs w:val="17"/>
          <w:color w:val="auto"/>
        </w:rPr>
      </w:pPr>
    </w:p>
    <w:p>
      <w:pPr>
        <w:ind w:left="1000" w:right="60" w:hanging="430"/>
        <w:spacing w:after="0" w:line="250"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Meetings of Stockholders and Stockholder Action by Written Consent. </w:t>
      </w:r>
      <w:r>
        <w:rPr>
          <w:rFonts w:ascii="Arial" w:cs="Arial" w:eastAsia="Arial" w:hAnsi="Arial"/>
          <w:sz w:val="18"/>
          <w:szCs w:val="18"/>
          <w:color w:val="auto"/>
        </w:rPr>
        <w:t>Our certificate of incorporation and bylaws provide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actions must be effected at a duly called meeting of stockholders and eliminate the right of stockholders to act by written consent without a meeting. Our bylaws also provide that only our chairman of the board, Chief Executive Officer (or if there is no Chief Executive Officer, the President) or the board of directors pursuant to a resolution adopted by a majority of the total number of authorized directors may call a special meeting of stockholders.</w:t>
      </w:r>
    </w:p>
    <w:p>
      <w:pPr>
        <w:spacing w:after="0" w:line="1" w:lineRule="exact"/>
        <w:rPr>
          <w:rFonts w:ascii="Arial" w:cs="Arial" w:eastAsia="Arial" w:hAnsi="Arial"/>
          <w:sz w:val="18"/>
          <w:szCs w:val="18"/>
          <w:color w:val="auto"/>
        </w:rPr>
      </w:pPr>
    </w:p>
    <w:p>
      <w:pPr>
        <w:jc w:val="both"/>
        <w:ind w:left="1000" w:right="520" w:hanging="430"/>
        <w:spacing w:after="0" w:line="250"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Advance Notice Requirements for Stockholder Proposals</w:t>
      </w:r>
      <w:r>
        <w:rPr>
          <w:rFonts w:ascii="Arial" w:cs="Arial" w:eastAsia="Arial" w:hAnsi="Arial"/>
          <w:sz w:val="18"/>
          <w:szCs w:val="18"/>
          <w:color w:val="auto"/>
        </w:rPr>
        <w:t>. Our bylaws provide that stockholders seeking to present proposals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of stockholders, including the nomination of director candidates, must provide timely advance notice in writing, and specifies requirements as to the form and content of a stockholder’s notice.</w:t>
      </w:r>
    </w:p>
    <w:p>
      <w:pPr>
        <w:spacing w:after="0" w:line="1" w:lineRule="exact"/>
        <w:rPr>
          <w:rFonts w:ascii="Arial" w:cs="Arial" w:eastAsia="Arial" w:hAnsi="Arial"/>
          <w:sz w:val="18"/>
          <w:szCs w:val="18"/>
          <w:color w:val="auto"/>
        </w:rPr>
      </w:pPr>
    </w:p>
    <w:p>
      <w:pPr>
        <w:ind w:left="1000" w:right="300" w:hanging="430"/>
        <w:spacing w:after="0" w:line="290"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Amendment to Certificate of Incorporation and Bylaws. </w:t>
      </w:r>
      <w:r>
        <w:rPr>
          <w:rFonts w:ascii="Arial" w:cs="Arial" w:eastAsia="Arial" w:hAnsi="Arial"/>
          <w:sz w:val="17"/>
          <w:szCs w:val="17"/>
          <w:color w:val="auto"/>
        </w:rPr>
        <w:t>Our certificate of incorporation and bylaws provide that the stockholders cannot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 the provisions described above except by a vote of 66 2/3% or more of our outstanding common stock.</w:t>
      </w:r>
    </w:p>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combination of these provisions makes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any attempt to effect a change of control of our company.</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certificate of incorporation provides that the Court of Chancery of the state of Delaware (the “Chancery Court”) is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in each case provided that the Chancery Court has subject matter jurisdiction. If the Chancery Court does not have subject matter jurisdiction, then such actions may be brought in any state court located in the state of Delaware (the “State Courts”) or, if and only if the State Courts lack subject matter jurisdiction, in the federal district court for the District of Delaware.</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ectPr>
          <w:pgSz w:w="11900" w:h="16838" w:orient="portrait"/>
          <w:cols w:equalWidth="0" w:num="1">
            <w:col w:w="11240"/>
          </w:cols>
          <w:pgMar w:left="320" w:top="125" w:right="339" w:bottom="0" w:gutter="0" w:footer="0" w:header="0"/>
        </w:sectPr>
      </w:pPr>
    </w:p>
    <w:bookmarkStart w:id="137" w:name="page138"/>
    <w:bookmarkEnd w:id="137"/>
    <w:p>
      <w:pPr>
        <w:jc w:val="both"/>
        <w:ind w:right="80"/>
        <w:spacing w:after="0" w:line="259" w:lineRule="auto"/>
        <w:rPr>
          <w:sz w:val="20"/>
          <w:szCs w:val="20"/>
          <w:color w:val="auto"/>
        </w:rPr>
      </w:pPr>
      <w:r>
        <w:rPr>
          <w:rFonts w:ascii="Arial" w:cs="Arial" w:eastAsia="Arial" w:hAnsi="Arial"/>
          <w:sz w:val="18"/>
          <w:szCs w:val="18"/>
          <w:color w:val="auto"/>
        </w:rPr>
        <w:t xml:space="preserve">In March 2020, the Delaware Supreme Court issued a decision in </w:t>
      </w:r>
      <w:r>
        <w:rPr>
          <w:rFonts w:ascii="Arial" w:cs="Arial" w:eastAsia="Arial" w:hAnsi="Arial"/>
          <w:sz w:val="18"/>
          <w:szCs w:val="18"/>
          <w:i w:val="1"/>
          <w:iCs w:val="1"/>
          <w:color w:val="auto"/>
        </w:rPr>
        <w:t>Salzburg et al. v. Sciabacucchi</w:t>
      </w:r>
      <w:r>
        <w:rPr>
          <w:rFonts w:ascii="Arial" w:cs="Arial" w:eastAsia="Arial" w:hAnsi="Arial"/>
          <w:sz w:val="18"/>
          <w:szCs w:val="18"/>
          <w:color w:val="auto"/>
        </w:rPr>
        <w:t xml:space="preserve">, which found that an exclusive forum provision similar to the one in our certificate of incorporation providing for claims under the Securities Act to be brought in federal court is facially valid under Delaware law. We intend to enforce the federal forum selection provision in our certificate of incorporation, but we do not know whether courts in other jurisdictions will agree with the </w:t>
      </w:r>
      <w:r>
        <w:rPr>
          <w:rFonts w:ascii="Arial" w:cs="Arial" w:eastAsia="Arial" w:hAnsi="Arial"/>
          <w:sz w:val="18"/>
          <w:szCs w:val="18"/>
          <w:i w:val="1"/>
          <w:iCs w:val="1"/>
          <w:color w:val="auto"/>
        </w:rPr>
        <w:t>Sciabacucchi</w:t>
      </w:r>
      <w:r>
        <w:rPr>
          <w:rFonts w:ascii="Arial" w:cs="Arial" w:eastAsia="Arial" w:hAnsi="Arial"/>
          <w:sz w:val="18"/>
          <w:szCs w:val="18"/>
          <w:color w:val="auto"/>
        </w:rPr>
        <w:t xml:space="preserve"> decision or enforce 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certificate of incorporation provides that no director will be personally liable for monetary damages for breach of any fiduciary duty as a director, except with respect to liability:</w:t>
      </w:r>
    </w:p>
    <w:p>
      <w:pPr>
        <w:spacing w:after="0" w:line="278" w:lineRule="exact"/>
        <w:rPr>
          <w:sz w:val="20"/>
          <w:szCs w:val="20"/>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transfer agent and registrar for our common stock is Broadridge Corporate Issuer Solutions, Inc. 1717 Arch Street, Suite 1300, Philadelphia, Pennsylvania 19103.</w:t>
      </w:r>
    </w:p>
    <w:p>
      <w:pPr>
        <w:sectPr>
          <w:pgSz w:w="11900" w:h="16838" w:orient="portrait"/>
          <w:cols w:equalWidth="0" w:num="1">
            <w:col w:w="11220"/>
          </w:cols>
          <w:pgMar w:left="320" w:top="125" w:right="359" w:bottom="1440" w:gutter="0" w:footer="0" w:header="0"/>
        </w:sectPr>
      </w:pPr>
    </w:p>
    <w:bookmarkStart w:id="138" w:name="page139"/>
    <w:bookmarkEnd w:id="138"/>
    <w:p>
      <w:pPr>
        <w:ind w:left="8920"/>
        <w:spacing w:after="0"/>
        <w:rPr>
          <w:sz w:val="20"/>
          <w:szCs w:val="20"/>
          <w:color w:val="auto"/>
        </w:rPr>
      </w:pPr>
      <w:r>
        <w:rPr>
          <w:rFonts w:ascii="Arial" w:cs="Arial" w:eastAsia="Arial" w:hAnsi="Arial"/>
          <w:sz w:val="18"/>
          <w:szCs w:val="18"/>
          <w:b w:val="1"/>
          <w:bCs w:val="1"/>
          <w:color w:val="auto"/>
        </w:rPr>
        <w:t>Exhibit 10.14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 AMENDED COMPENSATION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Policy (the “</w:t>
      </w:r>
      <w:r>
        <w:rPr>
          <w:rFonts w:ascii="Arial" w:cs="Arial" w:eastAsia="Arial" w:hAnsi="Arial"/>
          <w:sz w:val="18"/>
          <w:szCs w:val="18"/>
          <w:u w:val="single" w:color="auto"/>
          <w:color w:val="auto"/>
        </w:rPr>
        <w:t>Policy</w:t>
      </w:r>
      <w:r>
        <w:rPr>
          <w:rFonts w:ascii="Arial" w:cs="Arial" w:eastAsia="Arial" w:hAnsi="Arial"/>
          <w:sz w:val="18"/>
          <w:szCs w:val="18"/>
          <w:color w:val="auto"/>
        </w:rPr>
        <w:t>”) has been adopted by the Board of Directors (“</w:t>
      </w:r>
      <w:r>
        <w:rPr>
          <w:rFonts w:ascii="Arial" w:cs="Arial" w:eastAsia="Arial" w:hAnsi="Arial"/>
          <w:sz w:val="18"/>
          <w:szCs w:val="18"/>
          <w:u w:val="single" w:color="auto"/>
          <w:color w:val="auto"/>
        </w:rPr>
        <w:t>Board</w:t>
      </w:r>
      <w:r>
        <w:rPr>
          <w:rFonts w:ascii="Arial" w:cs="Arial" w:eastAsia="Arial" w:hAnsi="Arial"/>
          <w:sz w:val="18"/>
          <w:szCs w:val="18"/>
          <w:color w:val="auto"/>
        </w:rPr>
        <w:t>”) of electroCore,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to document and memorialize the amount, timing and form of remuneration payable by the Corporation to its non-employee directors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 in consideration for their services to the Corporation. As hereby amended and restated, this Policy was adopted as of December 4, 2020 and shall become effective as of January 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Policy will remain in effect until this Policy is modified, replaced or terminated by the Board. The terms and conditions of any grant agreements entered into with Non-Employee Directors prior to the Effective Date shall remain in full force and effect without any change, including as to vesting and exercisability, and irrespective of the resumption of payment of cash compensation for Board service by Non-Employee Directors as set forth herein.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used in this Policy and not otherwise defined shall have the respective meanings given such terms in the Corporation’s 2018 Omnibus Equity Compensation Plan.</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Section 1.</w:t>
      </w:r>
      <w:r>
        <w:rPr>
          <w:sz w:val="20"/>
          <w:szCs w:val="20"/>
          <w:color w:val="auto"/>
        </w:rPr>
        <w:tab/>
      </w:r>
      <w:r>
        <w:rPr>
          <w:rFonts w:ascii="Arial" w:cs="Arial" w:eastAsia="Arial" w:hAnsi="Arial"/>
          <w:sz w:val="16"/>
          <w:szCs w:val="16"/>
          <w:b w:val="1"/>
          <w:bCs w:val="1"/>
          <w:u w:val="single" w:color="auto"/>
          <w:color w:val="auto"/>
        </w:rPr>
        <w:t>Compensation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Non-Employee Directors remuneration will include each of the following:</w:t>
      </w:r>
    </w:p>
    <w:p>
      <w:pPr>
        <w:spacing w:after="0" w:line="225"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w:t>
      </w:r>
    </w:p>
    <w:p>
      <w:pPr>
        <w:spacing w:after="0" w:line="229"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Annual Retainer</w:t>
      </w:r>
      <w:r>
        <w:rPr>
          <w:rFonts w:ascii="Arial" w:cs="Arial" w:eastAsia="Arial" w:hAnsi="Arial"/>
          <w:sz w:val="17"/>
          <w:szCs w:val="17"/>
          <w:color w:val="auto"/>
        </w:rPr>
        <w:t>. Each Non-Employee Director will receive an annual retainer in an amount equal to $45,000 ($65,000 for the Board chair),</w:t>
      </w:r>
    </w:p>
    <w:p>
      <w:pPr>
        <w:spacing w:after="0" w:line="35"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payable in cash in equal quarterly installments on the 15</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day of the second month of each calendar quarter (or the next business day if such day is not a business day, and each such date, a “</w:t>
      </w:r>
      <w:r>
        <w:rPr>
          <w:rFonts w:ascii="Arial" w:cs="Arial" w:eastAsia="Arial" w:hAnsi="Arial"/>
          <w:sz w:val="18"/>
          <w:szCs w:val="18"/>
          <w:u w:val="single" w:color="auto"/>
          <w:color w:val="auto"/>
        </w:rPr>
        <w:t>Payment Date</w:t>
      </w:r>
      <w:r>
        <w:rPr>
          <w:rFonts w:ascii="Arial" w:cs="Arial" w:eastAsia="Arial" w:hAnsi="Arial"/>
          <w:sz w:val="18"/>
          <w:szCs w:val="18"/>
          <w:color w:val="auto"/>
        </w:rPr>
        <w:t>”), provided that the Non-Employee Director must continue to serve as a member of the Board through the applicable Payment Date to receive such quarterly installment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both"/>
        <w:ind w:left="660" w:hanging="652"/>
        <w:spacing w:after="0" w:line="301" w:lineRule="auto"/>
        <w:tabs>
          <w:tab w:leader="none" w:pos="61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Annual Committee Chair Retainer</w:t>
      </w:r>
      <w:r>
        <w:rPr>
          <w:rFonts w:ascii="Arial" w:cs="Arial" w:eastAsia="Arial" w:hAnsi="Arial"/>
          <w:sz w:val="16"/>
          <w:szCs w:val="16"/>
          <w:color w:val="auto"/>
        </w:rPr>
        <w:t>. The chair of each Board committee identified in the table below shall receive the annual committee chair retainer in the amount set forth opposite the name of such committee, payable in cash in equal quarterly installments on the Payment Dates commencing on or after the date such Non-Employee Director was appointed as the chair of such committee, provided that the Non-Employee Director must continue to serve as chair of such committee through the applicable Payment Date to receive such quarterly installment payment.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Committee:</w:t>
            </w:r>
          </w:p>
        </w:tc>
        <w:tc>
          <w:tcPr>
            <w:tcW w:w="506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b w:val="1"/>
                <w:bCs w:val="1"/>
                <w:color w:val="auto"/>
                <w:w w:val="93"/>
              </w:rPr>
              <w:t>Annual Committee Chair Retainer:</w:t>
            </w:r>
          </w:p>
        </w:tc>
      </w:tr>
      <w:tr>
        <w:trPr>
          <w:trHeight w:val="195"/>
        </w:trPr>
        <w:tc>
          <w:tcPr>
            <w:tcW w:w="3920" w:type="dxa"/>
            <w:vAlign w:val="bottom"/>
          </w:tcPr>
          <w:p>
            <w:pPr>
              <w:ind w:left="100"/>
              <w:spacing w:after="0" w:line="195" w:lineRule="exact"/>
              <w:rPr>
                <w:sz w:val="20"/>
                <w:szCs w:val="20"/>
                <w:color w:val="auto"/>
              </w:rPr>
            </w:pPr>
            <w:r>
              <w:rPr>
                <w:rFonts w:ascii="Arial" w:cs="Arial" w:eastAsia="Arial" w:hAnsi="Arial"/>
                <w:sz w:val="18"/>
                <w:szCs w:val="18"/>
                <w:color w:val="auto"/>
              </w:rPr>
              <w:t>Audit:</w:t>
            </w:r>
          </w:p>
        </w:tc>
        <w:tc>
          <w:tcPr>
            <w:tcW w:w="5060" w:type="dxa"/>
            <w:vAlign w:val="bottom"/>
          </w:tcPr>
          <w:p>
            <w:pPr>
              <w:jc w:val="center"/>
              <w:ind w:left="1230"/>
              <w:spacing w:after="0" w:line="195" w:lineRule="exact"/>
              <w:rPr>
                <w:sz w:val="20"/>
                <w:szCs w:val="20"/>
                <w:color w:val="auto"/>
              </w:rPr>
            </w:pPr>
            <w:r>
              <w:rPr>
                <w:rFonts w:ascii="Arial" w:cs="Arial" w:eastAsia="Arial" w:hAnsi="Arial"/>
                <w:sz w:val="18"/>
                <w:szCs w:val="18"/>
                <w:color w:val="auto"/>
                <w:w w:val="89"/>
              </w:rPr>
              <w:t>$16,000</w:t>
            </w: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89"/>
              </w:rPr>
              <w:t>$10,000</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Nominating &amp; Governance:</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96"/>
              </w:rPr>
              <w:t>$ 7,500</w:t>
            </w:r>
          </w:p>
        </w:tc>
      </w:tr>
    </w:tbl>
    <w:p>
      <w:pPr>
        <w:spacing w:after="0" w:line="198" w:lineRule="exact"/>
        <w:rPr>
          <w:sz w:val="20"/>
          <w:szCs w:val="20"/>
          <w:color w:val="auto"/>
        </w:rPr>
      </w:pPr>
    </w:p>
    <w:p>
      <w:pPr>
        <w:jc w:val="both"/>
        <w:ind w:left="660" w:hanging="652"/>
        <w:spacing w:after="0" w:line="287" w:lineRule="auto"/>
        <w:tabs>
          <w:tab w:leader="none" w:pos="618"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Equity Awards</w:t>
      </w:r>
      <w:r>
        <w:rPr>
          <w:rFonts w:ascii="Arial" w:cs="Arial" w:eastAsia="Arial" w:hAnsi="Arial"/>
          <w:sz w:val="16"/>
          <w:szCs w:val="16"/>
          <w:color w:val="auto"/>
        </w:rPr>
        <w:t>. Immediately following each year’s annual meeting of the Corporation’s stockholders, the Corporation will grant each</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an annual equity award valued at $75,000 ($112,500 for the Board chair) (an “</w:t>
      </w:r>
      <w:r>
        <w:rPr>
          <w:rFonts w:ascii="Arial" w:cs="Arial" w:eastAsia="Arial" w:hAnsi="Arial"/>
          <w:sz w:val="16"/>
          <w:szCs w:val="16"/>
          <w:u w:val="single" w:color="auto"/>
          <w:color w:val="auto"/>
        </w:rPr>
        <w:t>Annual Equity Award</w:t>
      </w:r>
      <w:r>
        <w:rPr>
          <w:rFonts w:ascii="Arial" w:cs="Arial" w:eastAsia="Arial" w:hAnsi="Arial"/>
          <w:sz w:val="16"/>
          <w:szCs w:val="16"/>
          <w:color w:val="auto"/>
        </w:rPr>
        <w:t>”) based on the closing price of the Corporation's common stock on the business day immediately preceding the grant date for such Annual Equity Award, provided that (i) each Annual Equity Award shall not exceed more than 75,000 shares (or 112,500 shares with respect to the Board chair), and (ii) in any calendar year, the Board shall have the discretion not to grant an Annual Equity Award to a Non-Employee Director who has joined the Board in such year and been awarded an Inaugural Equity Award (as defined below). Each Non-Employee Director may elect to receive his or her Annual Equity Award in the form of stock options, deferred stock units or restricted stock units. The Non-Employee Director must file his or her initial election with respect to the form of equity award with the Corporation before the later of the Effective Date or the date he or she becomes a Non-Employee Director. Thereafter, a Non-Employee Director may elect to change the form of equity award with respect to future Annual Equity Awards by filing a new election with the Corporation, which will become effective for calendar years following the year in which the Corporation receives such election. The Annual Equity Awards granted pursuant to this Section 1(b) will be subject to the terms and conditions (including vesting and settlement by issuance of shares of the Corporation’s common stock) as shall be determined by the Board in its sole discretion.</w:t>
      </w:r>
    </w:p>
    <w:p>
      <w:pPr>
        <w:spacing w:after="0" w:line="167" w:lineRule="exact"/>
        <w:rPr>
          <w:rFonts w:ascii="Arial" w:cs="Arial" w:eastAsia="Arial" w:hAnsi="Arial"/>
          <w:sz w:val="16"/>
          <w:szCs w:val="16"/>
          <w:color w:val="auto"/>
        </w:rPr>
      </w:pPr>
    </w:p>
    <w:p>
      <w:pPr>
        <w:jc w:val="both"/>
        <w:ind w:left="660" w:hanging="652"/>
        <w:spacing w:after="0" w:line="261"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One-Time Inaugural Equity Award</w:t>
      </w:r>
      <w:r>
        <w:rPr>
          <w:rFonts w:ascii="Arial" w:cs="Arial" w:eastAsia="Arial" w:hAnsi="Arial"/>
          <w:sz w:val="18"/>
          <w:szCs w:val="18"/>
          <w:color w:val="auto"/>
        </w:rPr>
        <w:t>. Upon a Non-Employee Director’s initial appointment or election to the Board after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grant such Non-Employee Director an inaugural equity award (an “</w:t>
      </w:r>
      <w:r>
        <w:rPr>
          <w:rFonts w:ascii="Arial" w:cs="Arial" w:eastAsia="Arial" w:hAnsi="Arial"/>
          <w:sz w:val="18"/>
          <w:szCs w:val="18"/>
          <w:u w:val="single" w:color="auto"/>
          <w:color w:val="auto"/>
        </w:rPr>
        <w:t>Inaugural Equity Award</w:t>
      </w:r>
      <w:r>
        <w:rPr>
          <w:rFonts w:ascii="Arial" w:cs="Arial" w:eastAsia="Arial" w:hAnsi="Arial"/>
          <w:sz w:val="18"/>
          <w:szCs w:val="18"/>
          <w:color w:val="auto"/>
        </w:rPr>
        <w:t>”) valued at $150,000 based on the closing price of the Corporation's common stock on the business day immediately preceding the date such equity award is granted provided that each Inaugural Equity Award shall not exceed 150,000 shares.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Each Non-Employee Director may elect to receive his or her Inaugural Equity Award in the form of stock options, deferred stock units or restricted stock units. The Non-Employee Director must file his or her election with respect to the form of equity award with the Corporation before the later of the Effective Date or the date he or she becomes a Non-Employee Director, as applicable. The Inaugural Equity Awards granted pursuant to this Section 1(c) will be subject to the terms and conditions (including vesting and settlement by issuance of shares of the Corporation’s common stock) as shall be determined by the Board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provided by the Board, each Inaugural Equity Award will vest over a period of three years from the applicable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right="20" w:firstLine="8"/>
        <w:spacing w:after="0" w:line="347" w:lineRule="auto"/>
        <w:tabs>
          <w:tab w:leader="none" w:pos="606"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 after a Termination of Affiliation</w:t>
      </w:r>
      <w:r>
        <w:rPr>
          <w:rFonts w:ascii="Arial" w:cs="Arial" w:eastAsia="Arial" w:hAnsi="Arial"/>
          <w:sz w:val="16"/>
          <w:szCs w:val="16"/>
          <w:color w:val="auto"/>
        </w:rPr>
        <w:t>. Annual Equity Awards and Inaugural Equity Awards granted to a Non-Employee Director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of options to purchase shares of the Corporation’s common stock shall be exercisable from and after a Termination of Affiliation as follows:</w:t>
      </w:r>
    </w:p>
    <w:p>
      <w:pPr>
        <w:spacing w:after="0" w:line="119" w:lineRule="exact"/>
        <w:rPr>
          <w:rFonts w:ascii="Arial" w:cs="Arial" w:eastAsia="Arial" w:hAnsi="Arial"/>
          <w:sz w:val="16"/>
          <w:szCs w:val="16"/>
          <w:color w:val="auto"/>
        </w:rPr>
      </w:pPr>
    </w:p>
    <w:p>
      <w:pPr>
        <w:jc w:val="both"/>
        <w:ind w:left="660" w:hanging="4"/>
        <w:spacing w:after="0" w:line="259" w:lineRule="auto"/>
        <w:tabs>
          <w:tab w:leader="none" w:pos="8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a Termination of Affiliation occurs by reason of death or Disability of such Non-Employee Director, such options may be exercised, to the extent exercisable on the date of such termination, by the Non-Employee Director or their legal representative or legatee for a period of 12 months from the date of such Termination of Affiliation or until the applicable expiration date of the Annual Equity Award or Inaugural Equity Award, if earlier.</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9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a Termination of Affiliation occurs for any reason other than death or Disability of such Non-Employee Director, such options may be exercised, to the extent exercisable on the date of such termination, until the later of (x) 90 days after the date of such Termination of Affiliation and (y) the third anniversary of the applicable grant date; provided, however, that in no event shall such options be exercisable after the applicable expiration date of the Annual Equity Award or Inaugural Equity Award.</w:t>
      </w:r>
    </w:p>
    <w:p>
      <w:pPr>
        <w:spacing w:after="0" w:line="182" w:lineRule="exact"/>
        <w:rPr>
          <w:rFonts w:ascii="Arial" w:cs="Arial" w:eastAsia="Arial" w:hAnsi="Arial"/>
          <w:sz w:val="18"/>
          <w:szCs w:val="18"/>
          <w:color w:val="auto"/>
        </w:rPr>
      </w:pPr>
    </w:p>
    <w:p>
      <w:pPr>
        <w:jc w:val="both"/>
        <w:ind w:firstLine="8"/>
        <w:spacing w:after="0" w:line="258" w:lineRule="auto"/>
        <w:tabs>
          <w:tab w:leader="none" w:pos="608"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In the event of a Change in Control, (i) all cash compensation payable to each Non-Employee Director pursuant to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and all such fees that would become due and payable during a calendar quarter in which the Change in Control occurs (as if the Non-Employee Director’s service to the Corporation as a director had continued until the end of such quarter), shall be promptly paid to each Non-Employee Director no later than five days following the Change in Control and (ii) each unvested Annual Equity Award and Inaugural Equity Award then outstanding shall become fully vested upon the Change in Control.</w:t>
      </w:r>
    </w:p>
    <w:p>
      <w:pPr>
        <w:spacing w:after="0" w:line="399" w:lineRule="exact"/>
        <w:rPr>
          <w:rFonts w:ascii="Arial" w:cs="Arial" w:eastAsia="Arial" w:hAnsi="Arial"/>
          <w:sz w:val="18"/>
          <w:szCs w:val="18"/>
          <w:color w:val="auto"/>
        </w:rPr>
      </w:pPr>
    </w:p>
    <w:p>
      <w:pPr>
        <w:jc w:val="both"/>
        <w:ind w:firstLine="8"/>
        <w:spacing w:after="0" w:line="255" w:lineRule="auto"/>
        <w:tabs>
          <w:tab w:leader="none" w:pos="612"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Optional Deferred Settlement for Black-out Periods</w:t>
      </w:r>
      <w:r>
        <w:rPr>
          <w:rFonts w:ascii="Arial" w:cs="Arial" w:eastAsia="Arial" w:hAnsi="Arial"/>
          <w:sz w:val="18"/>
          <w:szCs w:val="18"/>
          <w:color w:val="auto"/>
        </w:rPr>
        <w:t>. Notwithstanding anything to the contrary in this Policy, if the settlement date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Award or Inaugural Equity Award made in the form of deferred stock units or restricted stock units would occur within any Black-out Period (as defined in the Corporation’s Insider Trading Policy) applicable to the Non-Employee Director, then, upon the written election of the Non-Employee Director received by the Corporation prior to the original settlement date for such deferred stock units or restricted stock units, such shares will be issued in settlement of such units on the first business day following the expiration of such Black-out Period but not later than March 15 of the calendar year following the calendar year in which the restricted stock units become fully vested or December 31 of the calendar year in which the deferred stock units otherwise settle.</w:t>
      </w:r>
    </w:p>
    <w:p>
      <w:pPr>
        <w:spacing w:after="0" w:line="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Section 2.</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u w:val="single" w:color="auto"/>
          <w:color w:val="auto"/>
        </w:rPr>
        <w:t>.</w:t>
      </w:r>
    </w:p>
    <w:p>
      <w:pPr>
        <w:spacing w:after="0" w:line="225" w:lineRule="exact"/>
        <w:rPr>
          <w:sz w:val="20"/>
          <w:szCs w:val="20"/>
          <w:color w:val="auto"/>
        </w:rPr>
      </w:pPr>
    </w:p>
    <w:p>
      <w:pPr>
        <w:ind w:firstLine="8"/>
        <w:spacing w:after="0" w:line="312"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 to Continue as a Director</w:t>
      </w:r>
      <w:r>
        <w:rPr>
          <w:rFonts w:ascii="Arial" w:cs="Arial" w:eastAsia="Arial" w:hAnsi="Arial"/>
          <w:sz w:val="17"/>
          <w:szCs w:val="17"/>
          <w:color w:val="auto"/>
        </w:rPr>
        <w:t>. Neither this Policy, nor the payment of any compensation hereunder, shall constitute or be evidence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understanding, express or implied, that the Corporation will retain any participant as a member of the Board for any period of time.</w:t>
      </w:r>
    </w:p>
    <w:p>
      <w:pPr>
        <w:spacing w:after="0" w:line="99" w:lineRule="exact"/>
        <w:rPr>
          <w:rFonts w:ascii="Arial" w:cs="Arial" w:eastAsia="Arial" w:hAnsi="Arial"/>
          <w:sz w:val="17"/>
          <w:szCs w:val="17"/>
          <w:color w:val="auto"/>
        </w:rPr>
      </w:pPr>
    </w:p>
    <w:p>
      <w:pPr>
        <w:ind w:firstLine="8"/>
        <w:spacing w:after="0" w:line="282" w:lineRule="auto"/>
        <w:tabs>
          <w:tab w:leader="none" w:pos="606"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Amendment and Termination</w:t>
      </w:r>
      <w:r>
        <w:rPr>
          <w:rFonts w:ascii="Arial" w:cs="Arial" w:eastAsia="Arial" w:hAnsi="Arial"/>
          <w:sz w:val="18"/>
          <w:szCs w:val="18"/>
          <w:color w:val="auto"/>
        </w:rPr>
        <w:t>. This Policy shall be administered by the Board, whose construction and determinations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final. This Policy may be amended, modified or terminated by the Board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20" w:type="dxa"/>
            <w:vAlign w:val="bottom"/>
            <w:gridSpan w:val="2"/>
          </w:tcPr>
          <w:p>
            <w:pPr>
              <w:ind w:left="3280"/>
              <w:spacing w:after="0"/>
              <w:rPr>
                <w:sz w:val="20"/>
                <w:szCs w:val="20"/>
                <w:color w:val="auto"/>
              </w:rPr>
            </w:pPr>
            <w:r>
              <w:rPr>
                <w:rFonts w:ascii="Arial" w:cs="Arial" w:eastAsia="Arial" w:hAnsi="Arial"/>
                <w:sz w:val="18"/>
                <w:szCs w:val="18"/>
                <w:b w:val="1"/>
                <w:bCs w:val="1"/>
                <w:color w:val="auto"/>
                <w:w w:val="91"/>
              </w:rPr>
              <w:t>Exhibit 21.1</w:t>
            </w:r>
          </w:p>
        </w:tc>
      </w:tr>
      <w:tr>
        <w:trPr>
          <w:trHeight w:val="540"/>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60" w:type="dxa"/>
            <w:vAlign w:val="bottom"/>
            <w:gridSpan w:val="4"/>
          </w:tcPr>
          <w:p>
            <w:pPr>
              <w:ind w:left="520"/>
              <w:spacing w:after="0"/>
              <w:rPr>
                <w:sz w:val="20"/>
                <w:szCs w:val="20"/>
                <w:color w:val="auto"/>
              </w:rPr>
            </w:pPr>
            <w:r>
              <w:rPr>
                <w:rFonts w:ascii="Arial" w:cs="Arial" w:eastAsia="Arial" w:hAnsi="Arial"/>
                <w:sz w:val="18"/>
                <w:szCs w:val="18"/>
                <w:b w:val="1"/>
                <w:bCs w:val="1"/>
                <w:color w:val="auto"/>
              </w:rPr>
              <w:t>List of Subsidiaries of electroCore, Inc.</w:t>
            </w:r>
          </w:p>
        </w:tc>
      </w:tr>
      <w:tr>
        <w:trPr>
          <w:trHeight w:val="938"/>
        </w:trPr>
        <w:tc>
          <w:tcPr>
            <w:tcW w:w="92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Subsidiary</w:t>
            </w: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Jurisdiction of Incorporation or Organization</w:t>
            </w:r>
          </w:p>
        </w:tc>
      </w:tr>
      <w:tr>
        <w:trPr>
          <w:trHeight w:val="202"/>
        </w:trPr>
        <w:tc>
          <w:tcPr>
            <w:tcW w:w="920" w:type="dxa"/>
            <w:vAlign w:val="bottom"/>
          </w:tcPr>
          <w:p>
            <w:pPr>
              <w:spacing w:after="0"/>
              <w:rPr>
                <w:sz w:val="17"/>
                <w:szCs w:val="17"/>
                <w:color w:val="auto"/>
              </w:rPr>
            </w:pPr>
          </w:p>
        </w:tc>
        <w:tc>
          <w:tcPr>
            <w:tcW w:w="26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electroCore Germany GmbH</w:t>
            </w:r>
          </w:p>
        </w:tc>
        <w:tc>
          <w:tcPr>
            <w:tcW w:w="76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4200" w:type="dxa"/>
            <w:vAlign w:val="bottom"/>
            <w:tcBorders>
              <w:top w:val="single" w:sz="8" w:color="auto"/>
            </w:tcBorders>
          </w:tcPr>
          <w:p>
            <w:pPr>
              <w:ind w:left="480"/>
              <w:spacing w:after="0" w:line="201" w:lineRule="exact"/>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electroCore UK Ltd.</w:t>
            </w:r>
          </w:p>
        </w:tc>
        <w:tc>
          <w:tcPr>
            <w:tcW w:w="7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220" w:type="dxa"/>
            <w:vAlign w:val="bottom"/>
            <w:gridSpan w:val="2"/>
          </w:tcPr>
          <w:p>
            <w:pPr>
              <w:ind w:left="480"/>
              <w:spacing w:after="0"/>
              <w:rPr>
                <w:sz w:val="20"/>
                <w:szCs w:val="20"/>
                <w:color w:val="auto"/>
              </w:rPr>
            </w:pPr>
            <w:r>
              <w:rPr>
                <w:rFonts w:ascii="Arial" w:cs="Arial" w:eastAsia="Arial" w:hAnsi="Arial"/>
                <w:sz w:val="18"/>
                <w:szCs w:val="18"/>
                <w:color w:val="auto"/>
              </w:rPr>
              <w:t>United Kingdom</w:t>
            </w:r>
          </w:p>
        </w:tc>
      </w:tr>
      <w:tr>
        <w:trPr>
          <w:trHeight w:val="331"/>
        </w:trPr>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Independent Registered Public Accounting Firm's Consent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of electroCore, Inc. on Forms S-3 (No. 333-232655) and (333-238721) and Forms S-8 (No. 333-225864) and (333-237498) of our report dated March 11, 2021, which includes an explanatory paragraph as to the Company’s ability to continue as a going concern, with respect to our audit of the consolidated financial statements of electroCore, Inc., Subsidiaries and Affiliate as of December 31, 2020 and for the year ended December 31, 2020, which report is included in this Annual Report on Form 10-K of electroCore, Inc. for the year ended December 31,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23.2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333-232655 and 333-238721) on Form S-3 and (Nos. 333-225864 and 333-237498) on Form S-8 of electroCore Inc. Subsidiaries and Affiliate of our report dated March 30, 2020, with respect to the consolidated balance sheet of electroCore Inc. Subsidiaries and Affiliate as of December 31, 2019, the related consolidated statements of operations, comprehensive loss, equity, and cash flows for the year ended December 31, 2019, and the related notes, which report appears in the December 31, 2020 annual report on Form 10-K of electroCore Inc.</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report dated March 30, 2020 contains an explanatory paragraph that states that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117" w:lineRule="exact"/>
        <w:rPr>
          <w:sz w:val="20"/>
          <w:szCs w:val="20"/>
          <w:color w:val="auto"/>
        </w:rPr>
      </w:pPr>
    </w:p>
    <w:p>
      <w:pPr>
        <w:ind w:left="1000" w:hanging="991"/>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42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117" w:lineRule="exact"/>
        <w:rPr>
          <w:sz w:val="20"/>
          <w:szCs w:val="20"/>
          <w:color w:val="auto"/>
        </w:rPr>
      </w:pPr>
    </w:p>
    <w:p>
      <w:pPr>
        <w:ind w:left="1000" w:hanging="991"/>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Brian M. Posner</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42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Brian M. Posner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lvl w:ilvl="1">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lowerRoman"/>
      <w:start w:val="3"/>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lvl w:ilvl="1">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lvl w:ilvl="1">
      <w:lvlJc w:val="left"/>
      <w:lvlText w:val="•"/>
      <w:numFmt w:val="bullet"/>
      <w:start w:val="1"/>
    </w:lvl>
  </w:abstractNum>
  <w:abstractNum w:abstractNumId="38">
    <w:nsid w:val="374A3F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Roman"/>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3"/>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1)"/>
      <w:numFmt w:val="lowerRoman"/>
      <w:start w:val="2"/>
    </w:lvl>
  </w:abstractNum>
  <w:abstractNum w:abstractNumId="62">
    <w:nsid w:val="1DBABF00"/>
    <w:multiLevelType w:val="hybridMultilevel"/>
    <w:lvl w:ilvl="0">
      <w:lvlJc w:val="left"/>
      <w:lvlText w:val="(%1)"/>
      <w:numFmt w:val="lowerLetter"/>
      <w:start w:val="2"/>
    </w:lvl>
  </w:abstractNum>
  <w:abstractNum w:abstractNumId="63">
    <w:nsid w:val="4AD084E9"/>
    <w:multiLevelType w:val="hybridMultilevel"/>
    <w:lvl w:ilvl="0">
      <w:lvlJc w:val="left"/>
      <w:lvlText w:val="(%1)"/>
      <w:numFmt w:val="lowerLetter"/>
      <w:start w:val="4"/>
    </w:lvl>
    <w:lvl w:ilvl="1">
      <w:lvlJc w:val="left"/>
      <w:lvlText w:val="(%2)"/>
      <w:numFmt w:val="lowerRoman"/>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12" Type="http://schemas.openxmlformats.org/officeDocument/2006/relationships/hyperlink" Target="http://www.sec.gov/Archives/edgar/data/1560258/000156459018021717/ecor-ex31_161.htm" TargetMode="External"/><Relationship Id="rId113" Type="http://schemas.openxmlformats.org/officeDocument/2006/relationships/hyperlink" Target="http://www.sec.gov/Archives/edgar/data/1560258/000156459018021717/ecor-ex32_160.htm" TargetMode="External"/><Relationship Id="rId114" Type="http://schemas.openxmlformats.org/officeDocument/2006/relationships/hyperlink" Target="http://www.sec.gov/Archives/edgar/data/0001560258/000119312520087966/d904639dex102.htm" TargetMode="External"/><Relationship Id="rId115" Type="http://schemas.openxmlformats.org/officeDocument/2006/relationships/hyperlink" Target="http://www.sec.gov/Archives/edgar/data/1560258/000119312518169701/d472601dex104.htm" TargetMode="External"/><Relationship Id="rId116" Type="http://schemas.openxmlformats.org/officeDocument/2006/relationships/hyperlink" Target="http://www.sec.gov/Archives/edgar/data/1560258/000119312518169701/d472601dex105.htm" TargetMode="External"/><Relationship Id="rId117" Type="http://schemas.openxmlformats.org/officeDocument/2006/relationships/hyperlink" Target="http://www.sec.gov/Archives/edgar/data/1560258/000119312518169701/d472601dex106.htm" TargetMode="External"/><Relationship Id="rId118" Type="http://schemas.openxmlformats.org/officeDocument/2006/relationships/hyperlink" Target="http://www.sec.gov/Archives/edgar/data/1560258/000119312518169701/d472601dex107.htm" TargetMode="External"/><Relationship Id="rId119" Type="http://schemas.openxmlformats.org/officeDocument/2006/relationships/hyperlink" Target="http://www.sec.gov/Archives/edgar/data/1560258/000119312518169701/d472601dex108.htm" TargetMode="External"/><Relationship Id="rId120" Type="http://schemas.openxmlformats.org/officeDocument/2006/relationships/hyperlink" Target="http://www.sec.gov/Archives/edgar/data/1560258/000119312518169701/d472601dex109.htm" TargetMode="External"/><Relationship Id="rId121" Type="http://schemas.openxmlformats.org/officeDocument/2006/relationships/hyperlink" Target="http://www.sec.gov/Archives/edgar/data/1560258/000119312518169701/d472601dex1010.htm" TargetMode="External"/><Relationship Id="rId122" Type="http://schemas.openxmlformats.org/officeDocument/2006/relationships/hyperlink" Target="http://www.sec.gov/Archives/edgar/data/1560258/000119312518169701/d472601dex1011.htm" TargetMode="External"/><Relationship Id="rId123" Type="http://schemas.openxmlformats.org/officeDocument/2006/relationships/hyperlink" Target="http://www.sec.gov/Archives/edgar/data/1560258/000119312518169701/d472601dex1012.htm" TargetMode="External"/><Relationship Id="rId124" Type="http://schemas.openxmlformats.org/officeDocument/2006/relationships/hyperlink" Target="http://www.sec.gov/Archives/edgar/data/1560258/000119312518169701/d472601dex1013.htm" TargetMode="External"/><Relationship Id="rId125" Type="http://schemas.openxmlformats.org/officeDocument/2006/relationships/hyperlink" Target="http://www.sec.gov/Archives/edgar/data/1560258/000119312518169701/d472601dex1014.htm" TargetMode="External"/><Relationship Id="rId126" Type="http://schemas.openxmlformats.org/officeDocument/2006/relationships/hyperlink" Target="http://www.sec.gov/Archives/edgar/data/1560258/000119312518169701/d472601dex1015.htm" TargetMode="External"/><Relationship Id="rId127" Type="http://schemas.openxmlformats.org/officeDocument/2006/relationships/hyperlink" Target="http://www.sec.gov/Archives/edgar/data/0001560258/000156459019009725/ecor-ex1019_930.htm" TargetMode="External"/><Relationship Id="rId128" Type="http://schemas.openxmlformats.org/officeDocument/2006/relationships/hyperlink" Target="http://www.sec.gov/Archives/edgar/data/1560258/000119312518169701/d472601dex1021.htm" TargetMode="External"/><Relationship Id="rId129" Type="http://schemas.openxmlformats.org/officeDocument/2006/relationships/hyperlink" Target="http://www.sec.gov/Archives/edgar/data/1560258/000119312518169701/d472601dex1022.htm" TargetMode="External"/><Relationship Id="rId130" Type="http://schemas.openxmlformats.org/officeDocument/2006/relationships/hyperlink" Target="http://www.sec.gov/Archives/edgar/data/1560258/000119312518169701/d472601dex1023.htm" TargetMode="External"/><Relationship Id="rId131" Type="http://schemas.openxmlformats.org/officeDocument/2006/relationships/hyperlink" Target="http://www.sec.gov/Archives/edgar/data/1560258/000119312518169701/d472601dex1024.htm" TargetMode="External"/><Relationship Id="rId134" Type="http://schemas.openxmlformats.org/officeDocument/2006/relationships/hyperlink" Target="http://www.sec.gov/Archives/edgar/data/1560258/000119312519260837/d812563d8k.htm" TargetMode="External"/><Relationship Id="rId135" Type="http://schemas.openxmlformats.org/officeDocument/2006/relationships/hyperlink" Target="http://www.sec.gov/Archives/edgar/data/0001560258/000119312519072042/d719272dex101.htm" TargetMode="External"/><Relationship Id="rId136" Type="http://schemas.openxmlformats.org/officeDocument/2006/relationships/hyperlink" Target="http://www.sec.gov/Archives/edgar/data/0001560258/000156459019032167/ecor-ex102_1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2021-03-11T16:07:29Z</dcterms:created>
  <dcterms:modified xsi:type="dcterms:W3CDTF">2021-03-11T16:07:29Z</dcterms:modified>
</cp:coreProperties>
</file>