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Lev Joshua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FORGE 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ROCKAWAY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07866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electroCore, Inc.</w:t>
              </w:r>
            </w:hyperlink>
            <w:r>
              <w:rPr/>
              <w:t xml:space="preserve"> [ </w:t>
            </w:r>
            <w:r>
              <w:rPr>
                <w:rFonts w:ascii="Times;serif" w:hAnsi="Times;serif"/>
                <w:color w:val="0000FF"/>
                <w:sz w:val="24"/>
                <w:shd w:fill="FFFFFF" w:val="clear"/>
              </w:rPr>
              <w:t>ECOR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55,000</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139,889</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vest one-third on the first anniversary of the grant date, and the remainder vest in equal increments on each successive one-year anniversary thereafter for the next two years, provided that (x) the Reporting Person remains in continuous service with the Issuer or an affiliate through the applicable vesting date, and (y) if and to the extent not already vested, in the case of termination of the Reporting Person without "cause" or resignation for "good reason" within two years after a "change in control" as such terms are defined in the Issuer's Executive Severance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2,889 shares of Common Stock, and 82,000 shares of Common Stock issuable pursuant to previously issued RSUs, comprised of: (i) 6,667 shares, of which (a) 3,334 shares will vest on January 15, 2027 and (b) 3,333 shares will vest on January 15, 2028; (ii) 5,333 shares, which will vest on January 12, 2027; (iii) 25,000 shares, of which (a) 8,333 shares will vest on January 26, 2027 and January 26, 2029, and (b) 8,334 shares will vest on January 26, 2028; and (iv) 45,000 shares, which vests in full on December 31, 2026; provided that (x) the Reporting Person remains in continuous service with the Issuer or an affiliate through the applicable vesting date, and (y) if and to the extent not already vested, in the case of termination of the Reporting Person without "cause" or resignation for "good reason" within two years after a "change in control" as such terms are defined in the Issuer's Executive Severance Policy.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Co-Chief Executive Officer, President and Chief Financial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 Cleary,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6609" TargetMode="External"/><Relationship Id="rId5" Type="http://schemas.openxmlformats.org/officeDocument/2006/relationships/hyperlink" Target="http://www.sec.gov/cgi-bin/browse-edgar?action=getcompany&amp;CIK=0001560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834</Words>
  <Characters>4422</Characters>
  <CharactersWithSpaces>5185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