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 Joshua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FORGE WAY</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electroCore,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ECOR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CFO and Interim 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ROCKAWAY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07866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3,000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91,556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RP sold 3,000 shares of the Issuer's common stock in the reported transaction upon the vesting and settlement of previously issued Restricted Stock Units (RSUs), all of which were previously reported by the RP on a Form 4 pursuant to Section 16 of the Exchange Act, solely to satisfy tax withholding obligations incurred upon vesting and settlement.</w:t>
      </w:r>
    </w:p>
    <w:p>
      <w:pPr>
        <w:spacing w:after="0" w:line="7" w:lineRule="exact"/>
        <w:rPr>
          <w:rFonts w:ascii="Times New Roman" w:cs="Times New Roman" w:eastAsia="Times New Roman" w:hAnsi="Times New Roman"/>
          <w:sz w:val="13"/>
          <w:szCs w:val="13"/>
          <w:color w:val="008000"/>
        </w:rPr>
      </w:pPr>
    </w:p>
    <w:p>
      <w:pPr>
        <w:ind w:left="40" w:right="140" w:firstLine="7"/>
        <w:spacing w:after="0" w:line="24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9,556 shares of Common Stock, and 82,000 shares of Common Stock issuable pursuant to previously issued RSUs, comprised of: (i) 6,667 shares, of which (a) 3,333 shares will vest on January 15, 2027 and (b) 3,334 shares will vest on January 15, 2028; (ii) 5,333 shares, which will vest on January 12, 2027; (iii) 25,000 shares, of which (a) 8,333 shares will vest on January 26, 2027 and January 26, 2028, and (b) 8,334 shares will vest on January 26, 2029; and (iv) 45,000 shares, which vests in full on December 31, 2026; provided that (x) the Reporting Person remains in continuous service with the Issuer or an affiliate through the applicable vesting date, and (y) if and to the extent not already vested, in the case of termination of the Reporting Person without "cause" or resignation for "good reason" within two years after a "change in control" as such terms are defined in the Issuer's Executive Severance Policy.</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John L. Cleary, II, attorney-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6609" TargetMode="External"/><Relationship Id="rId14" Type="http://schemas.openxmlformats.org/officeDocument/2006/relationships/hyperlink" Target="http://www.sec.gov/cgi-bin/browse-edgar?action=getcompany&amp;CIK=0001560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2026-05-22T17:12:32Z</dcterms:created>
  <dcterms:modified xsi:type="dcterms:W3CDTF">2026-05-22T17:12:32Z</dcterms:modified>
</cp:coreProperties>
</file>