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Fox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9.8007</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130,000</w:t>
            </w:r>
            <w:r>
              <w:rPr>
                <w:rFonts w:ascii="Times;serif" w:hAnsi="Times;serif"/>
                <w:color w:val="008000"/>
                <w:position w:val="7"/>
                <w:sz w:val="16"/>
                <w:sz w:val="20"/>
                <w:shd w:fill="FFFFFF" w:val="clear"/>
              </w:rPr>
              <w:t>(1)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125,000 shares of Common Stock issuable pursuant to previously issued restricted stock units (RSUs), consisting of (i) 23,333 RSUs that will vest on April 13, 2027, (ii) 23,334 RSUs that will vest on April 13, 2028, (iii) 23,333 RSUs that will vest on April 13, 2029, (iv) 18,333 RSUs that will vest on September 8, 2027, (v) 18,334 RSUs that will vest on September 8, 2028, and (vi) 18,333 RSUs that will vest on September 8, 2029; provided that the Reporting Person remains in continuous service with the Issuer or an affiliate through the applicable vesting date; provided further, however, that all such RSUs shall vest, if and to the extent not already vested, in the case of termination of the Reporting Person without "cause" or the Reporting Person's resignation for "good reason" within two years after a "change in control" as such terms are defined in the Issuer's Executive Severance Policy.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Co-Chief Executive Officer, 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241"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726</Words>
  <Characters>3891</Characters>
  <CharactersWithSpaces>4547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