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Fox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09/14/2026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42"/>
        <w:gridCol w:w="452"/>
        <w:gridCol w:w="838"/>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9.8007</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130,000</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amended Form 4 amends the original filing made on September 14, 2026 to report the transaction code in Column 3 as 'P'. The original filing inadvertently reported the transaction code in Column 3 as 'A'.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125,000 shares of Common Stock issuable pursuant to previously issued restricted stock units (RSUs), consisting of (i) 23,333 RSUs that will vest on April 13, 2027, (ii) 23,334 RSUs that will vest on April 13, 2028, (iii) 23,333 RSUs that will vest on April 13, 2029, (iv) 18,333 RSUs that will vest on September 8, 2027, (v) 18,334 RSUs that will vest on September 8, 2028, and (vi) 18,333 RSUs that will vest on September 8, 2029; provided that the Reporting Person remains in continuous service with the Issuer or an affiliate through the applicable vesting date; provided further, however, that all such RSUs shall vest, if and to the extent not already vested, in the case of termination of the Reporting Person without "cause" or the Reporting Person's resignation for "good reason" within two years after a "change in control" as such terms are defined in the Issuer's Executive Severance Policy.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Co-Chief Executive Officer, 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 Cleary,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7241"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4079</Characters>
  <CharactersWithSpaces>4772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