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Lev Joshua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 FORGE WAY</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electroCore,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ECOR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45"/>
        <w:spacing w:after="0"/>
        <w:rPr>
          <w:sz w:val="20"/>
          <w:szCs w:val="20"/>
          <w:color w:val="auto"/>
        </w:rPr>
      </w:pPr>
      <w:r>
        <w:rPr>
          <w:rFonts w:ascii="Times New Roman" w:cs="Times New Roman" w:eastAsia="Times New Roman" w:hAnsi="Times New Roman"/>
          <w:sz w:val="17"/>
          <w:szCs w:val="17"/>
          <w:color w:val="0000FF"/>
        </w:rPr>
        <w:t>CFO and Interim President</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20" w:type="dxa"/>
            <w:vAlign w:val="bottom"/>
            <w:tcBorders>
              <w:bottom w:val="single" w:sz="8" w:color="9A9A9A"/>
            </w:tcBorders>
          </w:tcPr>
          <w:p>
            <w:pPr>
              <w:spacing w:after="0"/>
              <w:rPr>
                <w:sz w:val="14"/>
                <w:szCs w:val="14"/>
                <w:color w:val="auto"/>
              </w:rPr>
            </w:pPr>
          </w:p>
        </w:tc>
        <w:tc>
          <w:tcPr>
            <w:tcW w:w="172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19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7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1960" w:type="dxa"/>
            <w:vAlign w:val="bottom"/>
            <w:gridSpan w:val="2"/>
            <w:vMerge w:val="continue"/>
          </w:tcPr>
          <w:p>
            <w:pPr>
              <w:spacing w:after="0"/>
              <w:rPr>
                <w:sz w:val="8"/>
                <w:szCs w:val="8"/>
                <w:color w:val="auto"/>
              </w:rPr>
            </w:pPr>
          </w:p>
        </w:tc>
        <w:tc>
          <w:tcPr>
            <w:tcW w:w="172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ROCKAWAY   NJ</w:t>
            </w:r>
          </w:p>
        </w:tc>
        <w:tc>
          <w:tcPr>
            <w:tcW w:w="172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07866</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2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20" w:type="dxa"/>
            <w:vAlign w:val="bottom"/>
            <w:tcBorders>
              <w:bottom w:val="single" w:sz="8" w:color="9A9A9A"/>
            </w:tcBorders>
          </w:tcPr>
          <w:p>
            <w:pPr>
              <w:spacing w:after="0"/>
              <w:rPr>
                <w:sz w:val="6"/>
                <w:szCs w:val="6"/>
                <w:color w:val="auto"/>
              </w:rPr>
            </w:pPr>
          </w:p>
        </w:tc>
        <w:tc>
          <w:tcPr>
            <w:tcW w:w="172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72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05/28/2026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6,667</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9</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84,889</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of shares sold at prices ranging from $8.95 to $9.09. The Reporting Person (RP) undertakes to provide to the Issuer, any securityholder of the Issuer, or the SEC staff, upon request, information regarding the number of shares purchased at each price.</w:t>
      </w:r>
    </w:p>
    <w:p>
      <w:pPr>
        <w:spacing w:after="0" w:line="7" w:lineRule="exact"/>
        <w:rPr>
          <w:rFonts w:ascii="Times New Roman" w:cs="Times New Roman" w:eastAsia="Times New Roman" w:hAnsi="Times New Roman"/>
          <w:sz w:val="13"/>
          <w:szCs w:val="13"/>
          <w:color w:val="008000"/>
        </w:rPr>
      </w:pPr>
    </w:p>
    <w:p>
      <w:pPr>
        <w:ind w:left="40" w:right="140" w:firstLine="7"/>
        <w:spacing w:after="0" w:line="24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2,889 shares of Common Stock, and 82,000 shares of Common Stock issuable pursuant to previously issued RSUs, comprised of: (i) 6,667 shares, of which (a) 3,333 shares will vest on January 15, 2027 and (b) 3,334 shares will vest on January 15, 2028; (ii) 5,333 shares, which will vest on January 12, 2027; (iii) 25,000 shares, of which (a) 8,333 shares will vest on January 26, 2027 and January 26, 2028, and (b) 8,334 shares will vest on January 26, 2029; and (iv) 45,000 shares, which vests in full on December 31, 2026; provided that (x) the Reporting Person remains in continuous service with the Issuer or an affiliate through the applicable vesting date, and (y) if and to the extent not already vested, in the case of termination of the Reporting Person without "cause" or resignation for "good reason" within two years after a "change in control" as such terms are defined in the Issuer's Executive Severance Policy.</w:t>
      </w:r>
    </w:p>
    <w:p>
      <w:pPr>
        <w:ind w:left="6580"/>
        <w:spacing w:after="0" w:line="181" w:lineRule="auto"/>
        <w:rPr>
          <w:sz w:val="20"/>
          <w:szCs w:val="20"/>
          <w:color w:val="auto"/>
        </w:rPr>
      </w:pPr>
      <w:r>
        <w:rPr>
          <w:rFonts w:ascii="Times New Roman" w:cs="Times New Roman" w:eastAsia="Times New Roman" w:hAnsi="Times New Roman"/>
          <w:sz w:val="17"/>
          <w:szCs w:val="17"/>
          <w:color w:val="0000FF"/>
        </w:rPr>
        <w:t xml:space="preserve">/s/ John L. Cleary, II, attorney- </w:t>
      </w:r>
      <w:r>
        <w:rPr>
          <w:rFonts w:ascii="Times New Roman" w:cs="Times New Roman" w:eastAsia="Times New Roman" w:hAnsi="Times New Roman"/>
          <w:sz w:val="33"/>
          <w:szCs w:val="33"/>
          <w:color w:val="0000FF"/>
          <w:vertAlign w:val="subscript"/>
        </w:rPr>
        <w:t>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5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6609" TargetMode="External"/><Relationship Id="rId14" Type="http://schemas.openxmlformats.org/officeDocument/2006/relationships/hyperlink" Target="http://www.sec.gov/cgi-bin/browse-edgar?action=getcompany&amp;CIK=00015602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2026-05-29T16:54:55Z</dcterms:created>
  <dcterms:modified xsi:type="dcterms:W3CDTF">2026-05-29T16:54:55Z</dcterms:modified>
</cp:coreProperties>
</file>