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Errico Thomas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FORGE WAY, SUITE 205</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ROCKAWAY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07866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electroCore, Inc.</w:t>
              </w:r>
            </w:hyperlink>
            <w:r>
              <w:rPr/>
              <w:t xml:space="preserve"> [ </w:t>
            </w:r>
            <w:r>
              <w:rPr>
                <w:rFonts w:ascii="Times;serif" w:hAnsi="Times;serif"/>
                <w:color w:val="0000FF"/>
                <w:sz w:val="24"/>
                <w:shd w:fill="FFFFFF" w:val="clear"/>
              </w:rPr>
              <w:t>ECOR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39"/>
        <w:gridCol w:w="449"/>
        <w:gridCol w:w="881"/>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9.8544</w:t>
            </w:r>
            <w:r>
              <w:rPr>
                <w:rFonts w:ascii="Times;serif" w:hAnsi="Times;serif"/>
                <w:color w:val="008000"/>
                <w:position w:val="7"/>
                <w:sz w:val="16"/>
                <w:sz w:val="20"/>
                <w:shd w:fill="FFFFFF" w:val="clear"/>
              </w:rPr>
              <w:t>(1)</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343,332</w:t>
            </w:r>
            <w:r>
              <w:rPr>
                <w:rFonts w:ascii="Times;serif" w:hAnsi="Times;serif"/>
                <w:color w:val="008000"/>
                <w:position w:val="7"/>
                <w:sz w:val="16"/>
                <w:sz w:val="20"/>
                <w:shd w:fill="FFFFFF" w:val="clear"/>
              </w:rPr>
              <w:t>(2)</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in Column 4 is a weighted average of shares purchased at prices ranging from $9.83 to $9.95. The Reporting Person (RP) undertakes to provide to the Issuer, any securityholder of the Issuer, or the SEC staff, upon request, information regarding the number of shares purchased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269,106 shares owned directly by the RP; 1,296 shares owned by a trust for the benefit of the RP's family; 11,000 shares owned by a trust for the benefit of the RP; 2,218 unvested shares underlying deferred stock units ("DSUs"); and 54,712 shares that have vested pursuant to previously issued DSUs. All such vested shares were previously reported on Form 4 filings at the time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L. Cleary, 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7633" TargetMode="External"/><Relationship Id="rId5" Type="http://schemas.openxmlformats.org/officeDocument/2006/relationships/hyperlink" Target="http://www.sec.gov/cgi-bin/browse-edgar?action=getcompany&amp;CIK=0001560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3643</Characters>
  <CharactersWithSpaces>4258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