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Lev Joshua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FORGE 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ROCKAWAY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07866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electroCore, Inc.</w:t>
              </w:r>
            </w:hyperlink>
            <w:r>
              <w:rPr/>
              <w:t xml:space="preserve"> [ </w:t>
            </w:r>
            <w:r>
              <w:rPr>
                <w:rFonts w:ascii="Times;serif" w:hAnsi="Times;serif"/>
                <w:color w:val="0000FF"/>
                <w:sz w:val="24"/>
                <w:shd w:fill="FFFFFF" w:val="clear"/>
              </w:rPr>
              <w:t>ECOR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and Interim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96,889</w:t>
            </w:r>
            <w:r>
              <w:rPr>
                <w:rFonts w:ascii="Times;serif" w:hAnsi="Times;serif"/>
                <w:color w:val="008000"/>
                <w:position w:val="7"/>
                <w:sz w:val="16"/>
                <w:sz w:val="20"/>
                <w:shd w:fill="FFFFFF" w:val="clear"/>
              </w:rPr>
              <w:t>(1)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10.22</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84,889</w:t>
            </w:r>
            <w:r>
              <w:rPr>
                <w:rFonts w:ascii="Times;serif" w:hAnsi="Times;serif"/>
                <w:color w:val="008000"/>
                <w:position w:val="7"/>
                <w:sz w:val="16"/>
                <w:sz w:val="20"/>
                <w:shd w:fill="FFFFFF" w:val="clear"/>
              </w:rPr>
              <w:t>(1)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89,889</w:t>
            </w:r>
            <w:r>
              <w:rPr>
                <w:rFonts w:ascii="Times;serif" w:hAnsi="Times;serif"/>
                <w:color w:val="008000"/>
                <w:position w:val="7"/>
                <w:sz w:val="16"/>
                <w:sz w:val="20"/>
                <w:shd w:fill="FFFFFF" w:val="clear"/>
              </w:rPr>
              <w:t>(1)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9.88</w:t>
            </w:r>
            <w:r>
              <w:rPr>
                <w:rFonts w:ascii="Times;serif" w:hAnsi="Times;serif"/>
                <w:color w:val="008000"/>
                <w:position w:val="7"/>
                <w:sz w:val="16"/>
                <w:sz w:val="20"/>
                <w:shd w:fill="FFFFFF" w:val="clear"/>
              </w:rPr>
              <w:t>(3)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84,889</w:t>
            </w:r>
            <w:r>
              <w:rPr>
                <w:rFonts w:ascii="Times;serif" w:hAnsi="Times;serif"/>
                <w:color w:val="008000"/>
                <w:position w:val="7"/>
                <w:sz w:val="16"/>
                <w:sz w:val="20"/>
                <w:shd w:fill="FFFFFF" w:val="clear"/>
              </w:rPr>
              <w:t>(1)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87,889</w:t>
            </w:r>
            <w:r>
              <w:rPr>
                <w:rFonts w:ascii="Times;serif" w:hAnsi="Times;serif"/>
                <w:color w:val="008000"/>
                <w:position w:val="7"/>
                <w:sz w:val="16"/>
                <w:sz w:val="20"/>
                <w:shd w:fill="FFFFFF" w:val="clear"/>
              </w:rPr>
              <w:t>(1)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9.36</w:t>
            </w:r>
            <w:r>
              <w:rPr>
                <w:rFonts w:ascii="Times;serif" w:hAnsi="Times;serif"/>
                <w:color w:val="008000"/>
                <w:position w:val="7"/>
                <w:sz w:val="16"/>
                <w:sz w:val="20"/>
                <w:shd w:fill="FFFFFF" w:val="clear"/>
              </w:rPr>
              <w:t>(4)</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84,889</w:t>
            </w:r>
            <w:r>
              <w:rPr>
                <w:rFonts w:ascii="Times;serif" w:hAnsi="Times;serif"/>
                <w:color w:val="008000"/>
                <w:position w:val="7"/>
                <w:sz w:val="16"/>
                <w:sz w:val="20"/>
                <w:shd w:fill="FFFFFF" w:val="clear"/>
              </w:rPr>
              <w:t>(1)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1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2,889 shares of Common Stock, and 82,000 shares of Common Stock issuable pursuant to previously issued RSUs, comprised of: (i) 6,667 shares, of which (a) 3,334 shares will vest on January 15, 2027 and (b) 3,333 shares will vest on January 15, 2028; (ii) 5,333 shares, which will vest on January 12, 2027; (iii) 25,000 shares, of which (a) 8,333 shares will vest on January 26, 2027 and January 26, 2029, and (b) 8,334 shares will vest on January 26, 2028; and (iv) 45,000 shares, which vests in full on December 31, 2026; provided that (x) the Reporting Person remains in continuous service with the Issuer or an affiliate through the applicable vesting date, and (y) if and to the extent not already vested, in the case of termination of the Reporting Person without "cause" or resignation for "good reason" within two years after a "change in control" as such terms are defined in the Issuer's Executive Severance Policy.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in Column 4 is a weighted average of shares sold at prices ranging from $10.14 to $10.31. The Reporting Person undertakes to provide to the Issuer, any securityholder of the Issuer, or the SEC staff, upon request, information regarding the number of shares sold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in Column 4 is a weighted average of shares sold at prices ranging from $9.70 to $10.25. The Reporting Person undertakes to provide to the Issuer, any securityholder of the Issuer, or the SEC staff, upon request, information regarding the number of shares sold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in Column 4 is a weighted average of shares sold at prices ranging from $9.29 to $9.50. The Reporting Person undertakes to provide to the Issuer, any securityholder of the Issuer, or the SEC staff, upon request, information regarding the number of shares sold at each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L. Cleary, 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6609" TargetMode="External"/><Relationship Id="rId5" Type="http://schemas.openxmlformats.org/officeDocument/2006/relationships/hyperlink" Target="http://www.sec.gov/cgi-bin/browse-edgar?action=getcompany&amp;CIK=00015602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979</Words>
  <Characters>5089</Characters>
  <CharactersWithSpaces>5921</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