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Goldberger Daniel S</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465 GREENRIDGE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electroCore,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ecor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04/23/2026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665"/>
        <w:spacing w:after="0"/>
        <w:rPr>
          <w:sz w:val="20"/>
          <w:szCs w:val="20"/>
          <w:color w:val="auto"/>
        </w:rPr>
      </w:pPr>
      <w:r>
        <w:rPr>
          <w:rFonts w:ascii="Times New Roman" w:cs="Times New Roman" w:eastAsia="Times New Roman" w:hAnsi="Times New Roman"/>
          <w:sz w:val="17"/>
          <w:szCs w:val="17"/>
          <w:color w:val="0000FF"/>
        </w:rPr>
        <w:t>Former Officer &amp; Director</w:t>
      </w:r>
    </w:p>
    <w:p>
      <w:pPr>
        <w:spacing w:after="0" w:line="333"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3" w:lineRule="exact"/>
        <w:rPr>
          <w:sz w:val="24"/>
          <w:szCs w:val="24"/>
          <w:color w:val="auto"/>
        </w:rPr>
      </w:pPr>
    </w:p>
    <w:tbl>
      <w:tblPr>
        <w:tblLayout w:type="fixed"/>
        <w:tblInd w:w="0" w:type="dxa"/>
        <w:tblCellMar>
          <w:top w:w="0" w:type="dxa"/>
          <w:left w:w="0" w:type="dxa"/>
          <w:bottom w:w="0" w:type="dxa"/>
          <w:right w:w="0" w:type="dxa"/>
        </w:tblCellMar>
      </w:tblP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300" w:type="dxa"/>
            <w:vAlign w:val="bottom"/>
            <w:tcBorders>
              <w:bottom w:val="single" w:sz="8" w:color="9A9A9A"/>
            </w:tcBorders>
          </w:tcPr>
          <w:p>
            <w:pPr>
              <w:spacing w:after="0"/>
              <w:rPr>
                <w:sz w:val="3"/>
                <w:szCs w:val="3"/>
                <w:color w:val="auto"/>
              </w:rPr>
            </w:pPr>
          </w:p>
        </w:tc>
        <w:tc>
          <w:tcPr>
            <w:tcW w:w="82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vMerge w:val="restart"/>
          </w:tcPr>
          <w:p>
            <w:pPr>
              <w:spacing w:after="0"/>
              <w:rPr>
                <w:sz w:val="3"/>
                <w:szCs w:val="3"/>
                <w:color w:val="auto"/>
              </w:rPr>
            </w:pPr>
          </w:p>
        </w:tc>
        <w:tc>
          <w:tcPr>
            <w:tcW w:w="3540" w:type="dxa"/>
            <w:vAlign w:val="bottom"/>
            <w:gridSpan w:val="6"/>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20" w:type="dxa"/>
            <w:vAlign w:val="bottom"/>
          </w:tcPr>
          <w:p>
            <w:pPr>
              <w:spacing w:after="0"/>
              <w:rPr>
                <w:sz w:val="3"/>
                <w:szCs w:val="3"/>
                <w:color w:val="auto"/>
              </w:rPr>
            </w:pPr>
          </w:p>
        </w:tc>
        <w:tc>
          <w:tcPr>
            <w:tcW w:w="3540" w:type="dxa"/>
            <w:vAlign w:val="bottom"/>
            <w:gridSpan w:val="9"/>
            <w:vMerge w:val="restart"/>
          </w:tcPr>
          <w:p>
            <w:pPr>
              <w:ind w:left="2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540" w:type="dxa"/>
            <w:vAlign w:val="bottom"/>
            <w:gridSpan w:val="6"/>
            <w:vMerge w:val="continue"/>
          </w:tcPr>
          <w:p>
            <w:pPr>
              <w:spacing w:after="0"/>
              <w:rPr>
                <w:sz w:val="8"/>
                <w:szCs w:val="8"/>
                <w:color w:val="auto"/>
              </w:rPr>
            </w:pPr>
          </w:p>
        </w:tc>
        <w:tc>
          <w:tcPr>
            <w:tcW w:w="220" w:type="dxa"/>
            <w:vAlign w:val="bottom"/>
          </w:tcPr>
          <w:p>
            <w:pPr>
              <w:spacing w:after="0"/>
              <w:rPr>
                <w:sz w:val="8"/>
                <w:szCs w:val="8"/>
                <w:color w:val="auto"/>
              </w:rPr>
            </w:pPr>
          </w:p>
        </w:tc>
        <w:tc>
          <w:tcPr>
            <w:tcW w:w="354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gridSpan w:val="3"/>
          </w:tcPr>
          <w:p>
            <w:pPr>
              <w:ind w:left="20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BOZEMAN</w:t>
            </w:r>
          </w:p>
        </w:tc>
        <w:tc>
          <w:tcPr>
            <w:tcW w:w="300" w:type="dxa"/>
            <w:vAlign w:val="bottom"/>
          </w:tcPr>
          <w:p>
            <w:pPr>
              <w:ind w:left="40"/>
              <w:spacing w:after="0"/>
              <w:rPr>
                <w:sz w:val="20"/>
                <w:szCs w:val="20"/>
                <w:color w:val="auto"/>
              </w:rPr>
            </w:pPr>
            <w:r>
              <w:rPr>
                <w:rFonts w:ascii="Times New Roman" w:cs="Times New Roman" w:eastAsia="Times New Roman" w:hAnsi="Times New Roman"/>
                <w:sz w:val="17"/>
                <w:szCs w:val="17"/>
                <w:color w:val="0000FF"/>
                <w:w w:val="93"/>
              </w:rPr>
              <w:t>MT</w:t>
            </w:r>
          </w:p>
        </w:tc>
        <w:tc>
          <w:tcPr>
            <w:tcW w:w="82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59715</w:t>
            </w: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960" w:type="dxa"/>
            <w:vAlign w:val="bottom"/>
            <w:gridSpan w:val="6"/>
          </w:tcPr>
          <w:p>
            <w:pPr>
              <w:ind w:left="14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15"/>
                <w:szCs w:val="15"/>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56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04/23/2026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80,000</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gridSpan w:val="3"/>
          </w:tcPr>
          <w:p>
            <w:pPr>
              <w:jc w:val="right"/>
              <w:ind w:right="40"/>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6.8</w:t>
            </w:r>
            <w:r>
              <w:rPr>
                <w:rFonts w:ascii="Times New Roman" w:cs="Times New Roman" w:eastAsia="Times New Roman" w:hAnsi="Times New Roman"/>
                <w:sz w:val="22"/>
                <w:szCs w:val="22"/>
                <w:color w:val="008000"/>
                <w:w w:val="96"/>
                <w:vertAlign w:val="superscript"/>
              </w:rPr>
              <w:t>(1)</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211,471</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$6.00 to $8.52 per share between 04/23/26 and 05/26/26 subject to Rule 144. The reporting person undertakes to provide to the Issuer, any security holder of the Issuer, or the staff of the Securities and Exchange Commission, upon request, full information regarding the number of shares sold by him at each separate price.</w:t>
      </w:r>
    </w:p>
    <w:p>
      <w:pPr>
        <w:spacing w:after="0" w:line="3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dan goldberger</w:t>
            </w: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06/12/2026</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382042" TargetMode="External"/><Relationship Id="rId14" Type="http://schemas.openxmlformats.org/officeDocument/2006/relationships/hyperlink" Target="http://www.sec.gov/cgi-bin/browse-edgar?action=getcompany&amp;CIK=00015602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2026-06-12T17:12:55Z</dcterms:created>
  <dcterms:modified xsi:type="dcterms:W3CDTF">2026-06-12T17:12:55Z</dcterms:modified>
</cp:coreProperties>
</file>