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Wilber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 SUITE 205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11,123</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83,448</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Deferred Stock Units award which vests in 12 equal monthly installments from the grant date; provided, however, that the Deferred Stock Units shall vest in full on the earlier of (i) the close of business one business day prior to the Issuer's next annual stockholder meeting following the grant date, and (ii) the date immediately prior to a change of control, in each case, provided that the Reporting Person (RP) remains in continuous service with the Issuer or an affiliate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35,594 shares that have vested pursuant to previously issued Restricted Stock Units. All such vested shares were previously reported on Form 4 filings at the time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Ira Kotel,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7356"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3644</Characters>
  <CharactersWithSpaces>4253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